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65F5" w14:textId="4F09B084" w:rsidR="00672514" w:rsidRDefault="00207E3C" w:rsidP="00207E3C">
      <w:pPr>
        <w:pStyle w:val="Heading3"/>
        <w:numPr>
          <w:ilvl w:val="0"/>
          <w:numId w:val="0"/>
        </w:numPr>
        <w:ind w:left="720" w:hanging="720"/>
      </w:pPr>
      <w:r w:rsidRPr="009D1B97">
        <w:rPr>
          <w:rFonts w:cs="Calibri"/>
          <w:noProof/>
          <w:sz w:val="24"/>
          <w:szCs w:val="24"/>
        </w:rPr>
        <w:drawing>
          <wp:inline distT="0" distB="0" distL="0" distR="0" wp14:anchorId="41C5A98B" wp14:editId="5706216C">
            <wp:extent cx="2589312" cy="762000"/>
            <wp:effectExtent l="0" t="0" r="1905" b="0"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A00-000003000000}"/>
                        </a:ext>
                      </a:extLst>
                    </pic:cNvPr>
                    <pic:cNvPicPr>
                      <a:picLocks noChangeAspect="1"/>
                      <a:extLst>
                        <a:ext uri="{84589F7E-364E-4C9E-8A38-B11213B215E9}">
                          <a14:cameraTool xmlns:a14="http://schemas.microsoft.com/office/drawing/2010/main" cellRange="Picture" spid="_x0000_s8945"/>
                        </a:ext>
                      </a:extLst>
                    </pic:cNvPicPr>
                  </pic:nvPicPr>
                  <pic:blipFill rotWithShape="1">
                    <a:blip r:embed="rId5"/>
                    <a:srcRect r="-193"/>
                    <a:stretch>
                      <a:fillRect/>
                    </a:stretch>
                  </pic:blipFill>
                  <pic:spPr>
                    <a:xfrm>
                      <a:off x="0" y="0"/>
                      <a:ext cx="2589312" cy="76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EC250" w14:textId="77777777" w:rsidR="00207E3C" w:rsidRDefault="00207E3C" w:rsidP="00207E3C"/>
    <w:p w14:paraId="715CB7D8" w14:textId="77777777" w:rsidR="00207E3C" w:rsidRPr="009D1B97" w:rsidRDefault="00207E3C" w:rsidP="00207E3C">
      <w:pPr>
        <w:rPr>
          <w:rFonts w:cs="Calibri"/>
          <w:b/>
          <w:bCs/>
          <w:sz w:val="24"/>
          <w:szCs w:val="24"/>
        </w:rPr>
      </w:pPr>
      <w:r w:rsidRPr="009D1B97">
        <w:rPr>
          <w:rFonts w:cs="Calibri"/>
          <w:b/>
          <w:bCs/>
          <w:sz w:val="24"/>
          <w:szCs w:val="24"/>
        </w:rPr>
        <w:t xml:space="preserve">Appendix </w:t>
      </w:r>
      <w:r>
        <w:rPr>
          <w:rFonts w:cs="Calibri"/>
          <w:b/>
          <w:bCs/>
          <w:sz w:val="24"/>
          <w:szCs w:val="24"/>
        </w:rPr>
        <w:t>1</w:t>
      </w:r>
    </w:p>
    <w:p w14:paraId="0D05DC86" w14:textId="77777777" w:rsidR="00207E3C" w:rsidRDefault="00207E3C" w:rsidP="00207E3C">
      <w:pPr>
        <w:pStyle w:val="Heading1"/>
      </w:pPr>
      <w:r w:rsidRPr="009D1B97">
        <w:t xml:space="preserve">Lot 1 – </w:t>
      </w:r>
      <w:r w:rsidRPr="00207E3C">
        <w:t>General</w:t>
      </w:r>
      <w:r w:rsidRPr="009D1B97">
        <w:t xml:space="preserve"> Project Management and Estates Consultancy</w:t>
      </w:r>
    </w:p>
    <w:p w14:paraId="288DD492" w14:textId="77777777" w:rsidR="00207E3C" w:rsidRDefault="00207E3C" w:rsidP="00207E3C"/>
    <w:p w14:paraId="03EE8B25" w14:textId="5C4A46E0" w:rsidR="00207E3C" w:rsidRDefault="00207E3C" w:rsidP="00207E3C">
      <w:pPr>
        <w:pStyle w:val="Heading2"/>
      </w:pPr>
      <w:r w:rsidRPr="00207E3C">
        <w:t>Scope of Services</w:t>
      </w:r>
    </w:p>
    <w:p w14:paraId="360652E3" w14:textId="77777777" w:rsidR="00207E3C" w:rsidRPr="00207E3C" w:rsidRDefault="00207E3C" w:rsidP="00207E3C">
      <w:pPr>
        <w:rPr>
          <w:rFonts w:cs="Calibri"/>
        </w:rPr>
      </w:pPr>
      <w:r w:rsidRPr="00207E3C">
        <w:rPr>
          <w:rFonts w:cs="Calibri"/>
        </w:rPr>
        <w:t>This Lot is intended to support the delivery of capital and estate-related projects through the provision of high-quality, collaborative professional consultancy services. Consultants appointed under this Lot will provide strategic, technical, and project-level advice to Institutions, enabling effective planning, delivery, and management of built environment projects.</w:t>
      </w:r>
    </w:p>
    <w:p w14:paraId="2BA6A1A3" w14:textId="77777777" w:rsidR="00207E3C" w:rsidRPr="00207E3C" w:rsidRDefault="00207E3C" w:rsidP="00207E3C">
      <w:pPr>
        <w:rPr>
          <w:rFonts w:cs="Calibri"/>
        </w:rPr>
      </w:pPr>
      <w:r w:rsidRPr="00207E3C">
        <w:rPr>
          <w:rFonts w:cs="Calibri"/>
        </w:rPr>
        <w:t>Services may include, but are not limited to:</w:t>
      </w:r>
    </w:p>
    <w:p w14:paraId="3293B585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Project and programme management</w:t>
      </w:r>
    </w:p>
    <w:p w14:paraId="67A777D8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Cost management and quantity surveying</w:t>
      </w:r>
    </w:p>
    <w:p w14:paraId="1EAD9314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Architectural design and technical drawing support</w:t>
      </w:r>
    </w:p>
    <w:p w14:paraId="03F0388A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Mechanical and Electrical (M&amp;E) design and coordination</w:t>
      </w:r>
    </w:p>
    <w:p w14:paraId="31B5CA8B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Structural engineering and design services</w:t>
      </w:r>
    </w:p>
    <w:p w14:paraId="26280A1E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Condition and lifecycle surveys (fabric and M&amp;E), including structural assessment and repair advice</w:t>
      </w:r>
    </w:p>
    <w:p w14:paraId="6918EFA5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Contract administration and contractor liaison</w:t>
      </w:r>
    </w:p>
    <w:p w14:paraId="7CAE8978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Design and specification development</w:t>
      </w:r>
    </w:p>
    <w:p w14:paraId="4EDCBC73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Energy efficiency and sustainability consultancy</w:t>
      </w:r>
    </w:p>
    <w:p w14:paraId="05366B5C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Fire safety advisory and risk assessment</w:t>
      </w:r>
    </w:p>
    <w:p w14:paraId="13C16B43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CDM compliance, including Principal Designer role</w:t>
      </w:r>
    </w:p>
    <w:p w14:paraId="7E3C9DB6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Health and safety oversight and reporting</w:t>
      </w:r>
    </w:p>
    <w:p w14:paraId="767B4E0B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Planning and statutory consents</w:t>
      </w:r>
    </w:p>
    <w:p w14:paraId="736DF0CE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Risk and quality management</w:t>
      </w:r>
    </w:p>
    <w:p w14:paraId="5BBC15EE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Tender preparation and evaluation support</w:t>
      </w:r>
    </w:p>
    <w:p w14:paraId="59A2387B" w14:textId="77777777" w:rsidR="00207E3C" w:rsidRPr="00207E3C" w:rsidRDefault="00207E3C" w:rsidP="00207E3C">
      <w:pPr>
        <w:numPr>
          <w:ilvl w:val="0"/>
          <w:numId w:val="3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Professional advice across estates, construction, regulation, and legal matters</w:t>
      </w:r>
    </w:p>
    <w:p w14:paraId="3F5DAB8A" w14:textId="77777777" w:rsidR="00207E3C" w:rsidRPr="00207E3C" w:rsidRDefault="00207E3C" w:rsidP="00207E3C">
      <w:pPr>
        <w:rPr>
          <w:rFonts w:cs="Calibri"/>
        </w:rPr>
      </w:pPr>
      <w:r w:rsidRPr="00207E3C">
        <w:rPr>
          <w:rFonts w:cs="Calibri"/>
        </w:rPr>
        <w:lastRenderedPageBreak/>
        <w:t>It is acknowledged that roles may overlap; consultants may be required to operate flexibly across these functions, depending on project needs.</w:t>
      </w:r>
    </w:p>
    <w:p w14:paraId="078A9358" w14:textId="77777777" w:rsidR="00207E3C" w:rsidRDefault="00207E3C" w:rsidP="00207E3C">
      <w:pPr>
        <w:rPr>
          <w:rFonts w:cs="Calibri"/>
        </w:rPr>
      </w:pPr>
      <w:r w:rsidRPr="00207E3C">
        <w:rPr>
          <w:rFonts w:cs="Calibri"/>
        </w:rPr>
        <w:t xml:space="preserve">Where applicable, all services must adhere to relevant statutory requirements, including </w:t>
      </w:r>
      <w:r w:rsidRPr="00207E3C">
        <w:rPr>
          <w:rFonts w:cs="Calibri"/>
          <w:b/>
          <w:bCs/>
        </w:rPr>
        <w:t>CDM Regulations 2015</w:t>
      </w:r>
      <w:r w:rsidRPr="00207E3C">
        <w:rPr>
          <w:rFonts w:cs="Calibri"/>
        </w:rPr>
        <w:t>, building regulations, planning legislation, and health and safety law.</w:t>
      </w:r>
    </w:p>
    <w:p w14:paraId="427519C0" w14:textId="77777777" w:rsidR="00207E3C" w:rsidRPr="00207E3C" w:rsidRDefault="00207E3C" w:rsidP="00207E3C">
      <w:pPr>
        <w:rPr>
          <w:rFonts w:cs="Calibri"/>
        </w:rPr>
      </w:pPr>
    </w:p>
    <w:p w14:paraId="30D7C794" w14:textId="77777777" w:rsidR="00207E3C" w:rsidRDefault="00207E3C" w:rsidP="00207E3C">
      <w:pPr>
        <w:pStyle w:val="Heading1"/>
        <w:spacing w:before="0" w:after="0" w:line="259" w:lineRule="auto"/>
      </w:pPr>
      <w:r w:rsidRPr="009D1B97">
        <w:t>Service Descriptions and Requirements</w:t>
      </w:r>
    </w:p>
    <w:p w14:paraId="1B92C3AC" w14:textId="7E25408B" w:rsidR="00207E3C" w:rsidRDefault="00207E3C" w:rsidP="00207E3C">
      <w:r w:rsidRPr="00207E3C">
        <w:t>This section outlines the specific responsibilities associated with each service area, acknowledging that delivery may be combined or adapted to meet individual project needs:</w:t>
      </w:r>
    </w:p>
    <w:p w14:paraId="70B3CFF0" w14:textId="77777777" w:rsidR="00207E3C" w:rsidRPr="009D1B97" w:rsidRDefault="00207E3C" w:rsidP="00207E3C">
      <w:pPr>
        <w:pStyle w:val="Heading2"/>
      </w:pPr>
      <w:r w:rsidRPr="009D1B97">
        <w:t>Project and Programme Management</w:t>
      </w:r>
    </w:p>
    <w:p w14:paraId="3D3D1C4E" w14:textId="77777777" w:rsidR="00207E3C" w:rsidRPr="00207E3C" w:rsidRDefault="00207E3C" w:rsidP="00207E3C">
      <w:pPr>
        <w:numPr>
          <w:ilvl w:val="0"/>
          <w:numId w:val="4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Lead or support the end-to-end delivery of capital projects.</w:t>
      </w:r>
    </w:p>
    <w:p w14:paraId="6C73A863" w14:textId="77777777" w:rsidR="00207E3C" w:rsidRPr="00207E3C" w:rsidRDefault="00207E3C" w:rsidP="00207E3C">
      <w:pPr>
        <w:numPr>
          <w:ilvl w:val="0"/>
          <w:numId w:val="4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Develop project execution plans, stakeholder engagement strategies, and governance models.</w:t>
      </w:r>
    </w:p>
    <w:p w14:paraId="2C0FC5D1" w14:textId="77777777" w:rsidR="00207E3C" w:rsidRPr="00207E3C" w:rsidRDefault="00207E3C" w:rsidP="00207E3C">
      <w:pPr>
        <w:numPr>
          <w:ilvl w:val="0"/>
          <w:numId w:val="4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Monitor performance against time, cost, quality, and risk parameters.</w:t>
      </w:r>
    </w:p>
    <w:p w14:paraId="7424B379" w14:textId="77777777" w:rsidR="00207E3C" w:rsidRPr="00207E3C" w:rsidRDefault="00207E3C" w:rsidP="00207E3C">
      <w:pPr>
        <w:numPr>
          <w:ilvl w:val="0"/>
          <w:numId w:val="4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Ensure compliance with internal approval gateways and funding conditions.</w:t>
      </w:r>
    </w:p>
    <w:p w14:paraId="3F060CE9" w14:textId="77777777" w:rsidR="00207E3C" w:rsidRPr="009D1B97" w:rsidRDefault="00207E3C" w:rsidP="00207E3C">
      <w:pPr>
        <w:rPr>
          <w:rFonts w:cs="Calibri"/>
          <w:b/>
          <w:bCs/>
          <w:sz w:val="24"/>
          <w:szCs w:val="24"/>
        </w:rPr>
      </w:pPr>
    </w:p>
    <w:p w14:paraId="2D5DAE4B" w14:textId="77777777" w:rsidR="00207E3C" w:rsidRPr="009D1B97" w:rsidRDefault="00207E3C" w:rsidP="00207E3C">
      <w:pPr>
        <w:pStyle w:val="Heading2"/>
      </w:pPr>
      <w:r w:rsidRPr="009D1B97">
        <w:t>Cost Management and Quantity Surveying</w:t>
      </w:r>
    </w:p>
    <w:p w14:paraId="7DF43B19" w14:textId="77777777" w:rsidR="00207E3C" w:rsidRPr="00207E3C" w:rsidRDefault="00207E3C" w:rsidP="00207E3C">
      <w:pPr>
        <w:numPr>
          <w:ilvl w:val="0"/>
          <w:numId w:val="5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Provide feasibility-level cost estimates.</w:t>
      </w:r>
    </w:p>
    <w:p w14:paraId="1D8C35B4" w14:textId="77777777" w:rsidR="00207E3C" w:rsidRPr="00207E3C" w:rsidRDefault="00207E3C" w:rsidP="00207E3C">
      <w:pPr>
        <w:numPr>
          <w:ilvl w:val="0"/>
          <w:numId w:val="5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Monitor budgets, tender returns, and financial performance throughout the project lifecycle.</w:t>
      </w:r>
    </w:p>
    <w:p w14:paraId="26F50B8A" w14:textId="77777777" w:rsidR="00207E3C" w:rsidRPr="00207E3C" w:rsidRDefault="00207E3C" w:rsidP="00207E3C">
      <w:pPr>
        <w:numPr>
          <w:ilvl w:val="0"/>
          <w:numId w:val="5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Undertake value engineering where appropriate.</w:t>
      </w:r>
    </w:p>
    <w:p w14:paraId="21C87C1C" w14:textId="77777777" w:rsidR="00207E3C" w:rsidRPr="00207E3C" w:rsidRDefault="00207E3C" w:rsidP="00207E3C">
      <w:pPr>
        <w:numPr>
          <w:ilvl w:val="0"/>
          <w:numId w:val="5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Report on financial status to project boards and funders.</w:t>
      </w:r>
    </w:p>
    <w:p w14:paraId="234E02E2" w14:textId="77777777" w:rsidR="00207E3C" w:rsidRPr="009D1B97" w:rsidRDefault="00207E3C" w:rsidP="00207E3C">
      <w:pPr>
        <w:ind w:left="720"/>
        <w:rPr>
          <w:rFonts w:cs="Calibri"/>
          <w:sz w:val="24"/>
          <w:szCs w:val="24"/>
        </w:rPr>
      </w:pPr>
    </w:p>
    <w:p w14:paraId="02D1613C" w14:textId="77777777" w:rsidR="00207E3C" w:rsidRPr="009D1B97" w:rsidRDefault="00207E3C" w:rsidP="00207E3C">
      <w:pPr>
        <w:pStyle w:val="Heading2"/>
      </w:pPr>
      <w:r w:rsidRPr="009D1B97">
        <w:t xml:space="preserve"> Architectural Design and Technical Drawings</w:t>
      </w:r>
    </w:p>
    <w:p w14:paraId="358BF910" w14:textId="77777777" w:rsidR="00207E3C" w:rsidRPr="00207E3C" w:rsidRDefault="00207E3C" w:rsidP="00207E3C">
      <w:pPr>
        <w:numPr>
          <w:ilvl w:val="0"/>
          <w:numId w:val="17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Prepare architectural concept designs, planning drawings, and technical working drawings.</w:t>
      </w:r>
    </w:p>
    <w:p w14:paraId="55DEB27B" w14:textId="77777777" w:rsidR="00207E3C" w:rsidRPr="00207E3C" w:rsidRDefault="00207E3C" w:rsidP="00207E3C">
      <w:pPr>
        <w:numPr>
          <w:ilvl w:val="0"/>
          <w:numId w:val="17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Ensure that designs meet institutional briefs, comply with planning and regulatory requirements, and reflect sustainability, accessibility, and operational considerations.</w:t>
      </w:r>
    </w:p>
    <w:p w14:paraId="5B71F718" w14:textId="77777777" w:rsidR="00207E3C" w:rsidRPr="00207E3C" w:rsidRDefault="00207E3C" w:rsidP="00207E3C">
      <w:pPr>
        <w:numPr>
          <w:ilvl w:val="0"/>
          <w:numId w:val="17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Liaise with statutory consultees (e.g. planning, fire, access).</w:t>
      </w:r>
    </w:p>
    <w:p w14:paraId="3E212877" w14:textId="77777777" w:rsidR="00207E3C" w:rsidRPr="00207E3C" w:rsidRDefault="00207E3C" w:rsidP="00207E3C">
      <w:pPr>
        <w:numPr>
          <w:ilvl w:val="0"/>
          <w:numId w:val="17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Collaborate with multidisciplinary teams to integrate architectural proposals with M&amp;E and structural inputs.</w:t>
      </w:r>
    </w:p>
    <w:p w14:paraId="191A216B" w14:textId="77777777" w:rsidR="00207E3C" w:rsidRPr="00207E3C" w:rsidRDefault="00207E3C" w:rsidP="00207E3C">
      <w:pPr>
        <w:numPr>
          <w:ilvl w:val="0"/>
          <w:numId w:val="17"/>
        </w:numPr>
        <w:spacing w:after="160" w:line="259" w:lineRule="auto"/>
        <w:rPr>
          <w:rFonts w:cs="Calibri"/>
        </w:rPr>
      </w:pPr>
      <w:r w:rsidRPr="00207E3C">
        <w:rPr>
          <w:rFonts w:cs="Calibri"/>
        </w:rPr>
        <w:t>Provide input to design risk assessments and CDM documentation.</w:t>
      </w:r>
    </w:p>
    <w:p w14:paraId="1A80C497" w14:textId="77777777" w:rsidR="00207E3C" w:rsidRPr="00207E3C" w:rsidRDefault="00207E3C" w:rsidP="00207E3C">
      <w:pPr>
        <w:ind w:left="720"/>
        <w:rPr>
          <w:rFonts w:cs="Calibri"/>
          <w:b/>
          <w:bCs/>
        </w:rPr>
      </w:pPr>
    </w:p>
    <w:p w14:paraId="5902899B" w14:textId="77777777" w:rsidR="00207E3C" w:rsidRPr="009D1B97" w:rsidRDefault="00207E3C" w:rsidP="00207E3C">
      <w:pPr>
        <w:pStyle w:val="Heading2"/>
      </w:pPr>
      <w:r w:rsidRPr="009D1B97">
        <w:t>Mechanical and Electrical (M&amp;E) Design</w:t>
      </w:r>
    </w:p>
    <w:p w14:paraId="5165D45A" w14:textId="77777777" w:rsidR="00207E3C" w:rsidRPr="00A74115" w:rsidRDefault="00207E3C" w:rsidP="00207E3C">
      <w:pPr>
        <w:numPr>
          <w:ilvl w:val="0"/>
          <w:numId w:val="18"/>
        </w:numPr>
        <w:spacing w:after="160" w:line="259" w:lineRule="auto"/>
        <w:rPr>
          <w:rFonts w:cs="Calibri"/>
          <w:sz w:val="24"/>
          <w:szCs w:val="24"/>
        </w:rPr>
      </w:pPr>
      <w:r w:rsidRPr="00A74115">
        <w:rPr>
          <w:rFonts w:cs="Calibri"/>
          <w:sz w:val="24"/>
          <w:szCs w:val="24"/>
        </w:rPr>
        <w:t>Develop designs for mechanical, electrical, and public health services, including heating, ventilation, lighting, power, and building management systems.</w:t>
      </w:r>
    </w:p>
    <w:p w14:paraId="4A9060C1" w14:textId="77777777" w:rsidR="00207E3C" w:rsidRPr="00A74115" w:rsidRDefault="00207E3C" w:rsidP="00207E3C">
      <w:pPr>
        <w:numPr>
          <w:ilvl w:val="0"/>
          <w:numId w:val="18"/>
        </w:numPr>
        <w:spacing w:after="160" w:line="259" w:lineRule="auto"/>
        <w:rPr>
          <w:rFonts w:cs="Calibri"/>
          <w:sz w:val="24"/>
          <w:szCs w:val="24"/>
        </w:rPr>
      </w:pPr>
      <w:r w:rsidRPr="00A74115">
        <w:rPr>
          <w:rFonts w:cs="Calibri"/>
          <w:sz w:val="24"/>
          <w:szCs w:val="24"/>
        </w:rPr>
        <w:lastRenderedPageBreak/>
        <w:t>Carry out performance specifications, load assessments, and system integration plans.</w:t>
      </w:r>
    </w:p>
    <w:p w14:paraId="1FDCA0B6" w14:textId="77777777" w:rsidR="00207E3C" w:rsidRPr="00A74115" w:rsidRDefault="00207E3C" w:rsidP="00207E3C">
      <w:pPr>
        <w:numPr>
          <w:ilvl w:val="0"/>
          <w:numId w:val="18"/>
        </w:numPr>
        <w:spacing w:after="160" w:line="259" w:lineRule="auto"/>
        <w:rPr>
          <w:rFonts w:cs="Calibri"/>
          <w:sz w:val="24"/>
          <w:szCs w:val="24"/>
        </w:rPr>
      </w:pPr>
      <w:r w:rsidRPr="00A74115">
        <w:rPr>
          <w:rFonts w:cs="Calibri"/>
          <w:sz w:val="24"/>
          <w:szCs w:val="24"/>
        </w:rPr>
        <w:t>Ensure design aligns with energy efficiency and decarbonisation goals, including net zero strategies.</w:t>
      </w:r>
    </w:p>
    <w:p w14:paraId="6E0E1C5D" w14:textId="77777777" w:rsidR="00207E3C" w:rsidRPr="00A74115" w:rsidRDefault="00207E3C" w:rsidP="00207E3C">
      <w:pPr>
        <w:numPr>
          <w:ilvl w:val="0"/>
          <w:numId w:val="18"/>
        </w:numPr>
        <w:spacing w:after="160" w:line="259" w:lineRule="auto"/>
        <w:rPr>
          <w:rFonts w:cs="Calibri"/>
          <w:sz w:val="24"/>
          <w:szCs w:val="24"/>
        </w:rPr>
      </w:pPr>
      <w:r w:rsidRPr="00A74115">
        <w:rPr>
          <w:rFonts w:cs="Calibri"/>
          <w:sz w:val="24"/>
          <w:szCs w:val="24"/>
        </w:rPr>
        <w:t>Coordinate with architectural and structural designers and contribute to clash detection processes using BIM where applicable.</w:t>
      </w:r>
    </w:p>
    <w:p w14:paraId="2E63091B" w14:textId="77777777" w:rsidR="00207E3C" w:rsidRDefault="00207E3C" w:rsidP="00207E3C">
      <w:pPr>
        <w:numPr>
          <w:ilvl w:val="0"/>
          <w:numId w:val="18"/>
        </w:numPr>
        <w:spacing w:after="160" w:line="259" w:lineRule="auto"/>
        <w:rPr>
          <w:rFonts w:cs="Calibri"/>
          <w:sz w:val="24"/>
          <w:szCs w:val="24"/>
        </w:rPr>
      </w:pPr>
      <w:r w:rsidRPr="00A74115">
        <w:rPr>
          <w:rFonts w:cs="Calibri"/>
          <w:sz w:val="24"/>
          <w:szCs w:val="24"/>
        </w:rPr>
        <w:t>Support commissioning, snagging, and handover stages as needed.</w:t>
      </w:r>
    </w:p>
    <w:p w14:paraId="28612B40" w14:textId="77777777" w:rsidR="00207E3C" w:rsidRPr="00A74115" w:rsidRDefault="00207E3C" w:rsidP="00207E3C">
      <w:pPr>
        <w:rPr>
          <w:rFonts w:cs="Calibri"/>
          <w:sz w:val="24"/>
          <w:szCs w:val="24"/>
        </w:rPr>
      </w:pPr>
    </w:p>
    <w:p w14:paraId="32C4F2F1" w14:textId="77777777" w:rsidR="00207E3C" w:rsidRPr="005D0B15" w:rsidRDefault="00207E3C" w:rsidP="005D0B15">
      <w:pPr>
        <w:pStyle w:val="Heading2"/>
      </w:pPr>
      <w:r w:rsidRPr="005D0B15">
        <w:rPr>
          <w:rStyle w:val="Strong"/>
          <w:rFonts w:cs="Calibri"/>
          <w:b/>
          <w:bCs w:val="0"/>
          <w:szCs w:val="24"/>
        </w:rPr>
        <w:t>Structural</w:t>
      </w:r>
      <w:r w:rsidRPr="005D0B15">
        <w:rPr>
          <w:rStyle w:val="Strong"/>
          <w:rFonts w:cs="Calibri"/>
          <w:szCs w:val="24"/>
        </w:rPr>
        <w:t xml:space="preserve"> </w:t>
      </w:r>
      <w:r w:rsidRPr="005D0B15">
        <w:rPr>
          <w:rStyle w:val="Strong"/>
          <w:b/>
          <w:bCs w:val="0"/>
        </w:rPr>
        <w:t>Design</w:t>
      </w:r>
    </w:p>
    <w:p w14:paraId="48A8E656" w14:textId="77777777" w:rsidR="00207E3C" w:rsidRPr="009D1B97" w:rsidRDefault="00207E3C" w:rsidP="00207E3C">
      <w:pPr>
        <w:pStyle w:val="NormalWeb"/>
        <w:numPr>
          <w:ilvl w:val="0"/>
          <w:numId w:val="20"/>
        </w:numPr>
        <w:rPr>
          <w:rFonts w:ascii="Calibri" w:hAnsi="Calibri" w:cs="Calibri"/>
        </w:rPr>
      </w:pPr>
      <w:r w:rsidRPr="009D1B97">
        <w:rPr>
          <w:rFonts w:ascii="Calibri" w:hAnsi="Calibri" w:cs="Calibri"/>
        </w:rPr>
        <w:t>Provide structural engineering advice for new-build and refurbishment projects, including feasibility assessments, load analysis, and foundation design.</w:t>
      </w:r>
    </w:p>
    <w:p w14:paraId="12994278" w14:textId="77777777" w:rsidR="00207E3C" w:rsidRPr="009D1B97" w:rsidRDefault="00207E3C" w:rsidP="00207E3C">
      <w:pPr>
        <w:pStyle w:val="NormalWeb"/>
        <w:numPr>
          <w:ilvl w:val="0"/>
          <w:numId w:val="20"/>
        </w:numPr>
        <w:rPr>
          <w:rFonts w:ascii="Calibri" w:hAnsi="Calibri" w:cs="Calibri"/>
        </w:rPr>
      </w:pPr>
      <w:r w:rsidRPr="009D1B97">
        <w:rPr>
          <w:rFonts w:ascii="Calibri" w:hAnsi="Calibri" w:cs="Calibri"/>
        </w:rPr>
        <w:t>Develop coordinated structural drawings, calculations, and specifications to support building design and statutory approvals.</w:t>
      </w:r>
    </w:p>
    <w:p w14:paraId="1C97A52D" w14:textId="77777777" w:rsidR="00207E3C" w:rsidRPr="009D1B97" w:rsidRDefault="00207E3C" w:rsidP="00207E3C">
      <w:pPr>
        <w:pStyle w:val="NormalWeb"/>
        <w:numPr>
          <w:ilvl w:val="0"/>
          <w:numId w:val="20"/>
        </w:numPr>
        <w:rPr>
          <w:rFonts w:ascii="Calibri" w:hAnsi="Calibri" w:cs="Calibri"/>
        </w:rPr>
      </w:pPr>
      <w:r w:rsidRPr="009D1B97">
        <w:rPr>
          <w:rFonts w:ascii="Calibri" w:hAnsi="Calibri" w:cs="Calibri"/>
        </w:rPr>
        <w:t>Ensure integration with architectural and M&amp;E designs and provide input to multidisciplinary coordination processes.</w:t>
      </w:r>
    </w:p>
    <w:p w14:paraId="00A86FF1" w14:textId="77777777" w:rsidR="00207E3C" w:rsidRPr="009D1B97" w:rsidRDefault="00207E3C" w:rsidP="00207E3C">
      <w:pPr>
        <w:pStyle w:val="NormalWeb"/>
        <w:numPr>
          <w:ilvl w:val="0"/>
          <w:numId w:val="20"/>
        </w:numPr>
        <w:rPr>
          <w:rFonts w:ascii="Calibri" w:hAnsi="Calibri" w:cs="Calibri"/>
        </w:rPr>
      </w:pPr>
      <w:r w:rsidRPr="009D1B97">
        <w:rPr>
          <w:rFonts w:ascii="Calibri" w:hAnsi="Calibri" w:cs="Calibri"/>
        </w:rPr>
        <w:t>Advise on materials, structural integrity, sustainability of solutions, and cost-efficiency.</w:t>
      </w:r>
    </w:p>
    <w:p w14:paraId="58DB13B1" w14:textId="77777777" w:rsidR="00207E3C" w:rsidRPr="00A74115" w:rsidRDefault="00207E3C" w:rsidP="00207E3C">
      <w:pPr>
        <w:pStyle w:val="NormalWeb"/>
        <w:numPr>
          <w:ilvl w:val="0"/>
          <w:numId w:val="20"/>
        </w:numPr>
        <w:rPr>
          <w:rFonts w:ascii="Calibri" w:hAnsi="Calibri" w:cs="Calibri"/>
        </w:rPr>
      </w:pPr>
      <w:r w:rsidRPr="009D1B97">
        <w:rPr>
          <w:rFonts w:ascii="Calibri" w:hAnsi="Calibri" w:cs="Calibri"/>
        </w:rPr>
        <w:t>Participate in design risk assessments and contribute to CDM compliance documentation.</w:t>
      </w:r>
    </w:p>
    <w:p w14:paraId="678F4E68" w14:textId="7D280011" w:rsidR="00207E3C" w:rsidRPr="009D1B97" w:rsidRDefault="00207E3C" w:rsidP="005D0B15">
      <w:pPr>
        <w:pStyle w:val="Heading2"/>
      </w:pPr>
      <w:r w:rsidRPr="009D1B97">
        <w:t>Condition and Lifecycle Surveys</w:t>
      </w:r>
    </w:p>
    <w:p w14:paraId="7FBFE0AA" w14:textId="77777777" w:rsidR="00207E3C" w:rsidRPr="009D1B97" w:rsidRDefault="00207E3C" w:rsidP="00207E3C">
      <w:pPr>
        <w:numPr>
          <w:ilvl w:val="0"/>
          <w:numId w:val="6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Survey and report on the condition of buildings, M&amp;E systems, and fabric.</w:t>
      </w:r>
    </w:p>
    <w:p w14:paraId="7F1AE7BE" w14:textId="77777777" w:rsidR="00207E3C" w:rsidRPr="009D1B97" w:rsidRDefault="00207E3C" w:rsidP="00207E3C">
      <w:pPr>
        <w:numPr>
          <w:ilvl w:val="0"/>
          <w:numId w:val="6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Identify and prioritise repairs with costed recommendations.</w:t>
      </w:r>
    </w:p>
    <w:p w14:paraId="46396C51" w14:textId="77777777" w:rsidR="00207E3C" w:rsidRPr="009D1B97" w:rsidRDefault="00207E3C" w:rsidP="00207E3C">
      <w:pPr>
        <w:numPr>
          <w:ilvl w:val="0"/>
          <w:numId w:val="6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Support lifecycle planning and asset management strategies.</w:t>
      </w:r>
    </w:p>
    <w:p w14:paraId="23FD48DA" w14:textId="77777777" w:rsidR="00207E3C" w:rsidRPr="009D1B97" w:rsidRDefault="00207E3C" w:rsidP="00207E3C">
      <w:pPr>
        <w:rPr>
          <w:rFonts w:cs="Calibri"/>
          <w:b/>
          <w:bCs/>
          <w:sz w:val="24"/>
          <w:szCs w:val="24"/>
        </w:rPr>
      </w:pPr>
    </w:p>
    <w:p w14:paraId="46E09C7A" w14:textId="4E40AC68" w:rsidR="00207E3C" w:rsidRPr="009D1B97" w:rsidRDefault="00207E3C" w:rsidP="005D0B15">
      <w:pPr>
        <w:pStyle w:val="Heading2"/>
      </w:pPr>
      <w:r w:rsidRPr="009D1B97">
        <w:t>Contract Administration and Contractor Liaison</w:t>
      </w:r>
    </w:p>
    <w:p w14:paraId="31DFC086" w14:textId="77777777" w:rsidR="00207E3C" w:rsidRPr="009D1B97" w:rsidRDefault="00207E3C" w:rsidP="00207E3C">
      <w:pPr>
        <w:numPr>
          <w:ilvl w:val="0"/>
          <w:numId w:val="7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Administer construction contracts (e.g., NEC, JCT) in accordance with best practice.</w:t>
      </w:r>
    </w:p>
    <w:p w14:paraId="6FE9A41A" w14:textId="77777777" w:rsidR="00207E3C" w:rsidRPr="009D1B97" w:rsidRDefault="00207E3C" w:rsidP="00207E3C">
      <w:pPr>
        <w:numPr>
          <w:ilvl w:val="0"/>
          <w:numId w:val="7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Manage contract changes, valuations, and certification.</w:t>
      </w:r>
    </w:p>
    <w:p w14:paraId="714967F6" w14:textId="77777777" w:rsidR="00207E3C" w:rsidRPr="009D1B97" w:rsidRDefault="00207E3C" w:rsidP="00207E3C">
      <w:pPr>
        <w:numPr>
          <w:ilvl w:val="0"/>
          <w:numId w:val="7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Liaise with contractors to resolve issues and monitor compliance.</w:t>
      </w:r>
    </w:p>
    <w:p w14:paraId="28264593" w14:textId="77777777" w:rsidR="00207E3C" w:rsidRPr="009D1B97" w:rsidRDefault="00207E3C" w:rsidP="00207E3C">
      <w:pPr>
        <w:rPr>
          <w:rFonts w:cs="Calibri"/>
          <w:sz w:val="24"/>
          <w:szCs w:val="24"/>
        </w:rPr>
      </w:pPr>
    </w:p>
    <w:p w14:paraId="5F47DFF5" w14:textId="053F1844" w:rsidR="00207E3C" w:rsidRPr="009D1B97" w:rsidRDefault="00207E3C" w:rsidP="005D0B15">
      <w:pPr>
        <w:pStyle w:val="Heading2"/>
      </w:pPr>
      <w:r w:rsidRPr="009D1B97">
        <w:t>Design and Specification Development</w:t>
      </w:r>
    </w:p>
    <w:p w14:paraId="6367A5C0" w14:textId="77777777" w:rsidR="00207E3C" w:rsidRPr="009D1B97" w:rsidRDefault="00207E3C" w:rsidP="00207E3C">
      <w:pPr>
        <w:numPr>
          <w:ilvl w:val="0"/>
          <w:numId w:val="8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Develop design briefs and specifications.</w:t>
      </w:r>
    </w:p>
    <w:p w14:paraId="1A4E983C" w14:textId="77777777" w:rsidR="00207E3C" w:rsidRPr="009D1B97" w:rsidRDefault="00207E3C" w:rsidP="00207E3C">
      <w:pPr>
        <w:numPr>
          <w:ilvl w:val="0"/>
          <w:numId w:val="8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Integrate health and safety, accessibility, sustainability, and legislative compliance.</w:t>
      </w:r>
    </w:p>
    <w:p w14:paraId="5432F556" w14:textId="77777777" w:rsidR="00207E3C" w:rsidRPr="009D1B97" w:rsidRDefault="00207E3C" w:rsidP="00207E3C">
      <w:pPr>
        <w:numPr>
          <w:ilvl w:val="0"/>
          <w:numId w:val="8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Coordinate design team inputs and monitor programme progress.</w:t>
      </w:r>
    </w:p>
    <w:p w14:paraId="41FABF48" w14:textId="77777777" w:rsidR="00207E3C" w:rsidRPr="009D1B97" w:rsidRDefault="00207E3C" w:rsidP="00207E3C">
      <w:pPr>
        <w:rPr>
          <w:rFonts w:cs="Calibri"/>
          <w:b/>
          <w:bCs/>
          <w:sz w:val="24"/>
          <w:szCs w:val="24"/>
        </w:rPr>
      </w:pPr>
    </w:p>
    <w:p w14:paraId="4B88FB3B" w14:textId="4DEDC72F" w:rsidR="00207E3C" w:rsidRPr="009D1B97" w:rsidRDefault="00207E3C" w:rsidP="005D0B15">
      <w:pPr>
        <w:pStyle w:val="Heading2"/>
      </w:pPr>
      <w:r w:rsidRPr="009D1B97">
        <w:t>Energy Efficiency and Sustainability</w:t>
      </w:r>
    </w:p>
    <w:p w14:paraId="611AEA9C" w14:textId="77777777" w:rsidR="00207E3C" w:rsidRPr="009D1B97" w:rsidRDefault="00207E3C" w:rsidP="00207E3C">
      <w:pPr>
        <w:numPr>
          <w:ilvl w:val="0"/>
          <w:numId w:val="9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Undertake energy audits and support carbon reduction strategies.</w:t>
      </w:r>
    </w:p>
    <w:p w14:paraId="60A75D41" w14:textId="77777777" w:rsidR="00207E3C" w:rsidRPr="009D1B97" w:rsidRDefault="00207E3C" w:rsidP="00207E3C">
      <w:pPr>
        <w:numPr>
          <w:ilvl w:val="0"/>
          <w:numId w:val="9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Advise on net-zero pathways and implementation of decarbonisation measures.</w:t>
      </w:r>
    </w:p>
    <w:p w14:paraId="0FB166C0" w14:textId="77777777" w:rsidR="00207E3C" w:rsidRPr="009D1B97" w:rsidRDefault="00207E3C" w:rsidP="00207E3C">
      <w:pPr>
        <w:numPr>
          <w:ilvl w:val="0"/>
          <w:numId w:val="9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Develop proposals that balance environmental and financial outcomes.</w:t>
      </w:r>
    </w:p>
    <w:p w14:paraId="23BF88F3" w14:textId="77777777" w:rsidR="00207E3C" w:rsidRPr="009D1B97" w:rsidRDefault="00207E3C" w:rsidP="00207E3C">
      <w:pPr>
        <w:rPr>
          <w:rFonts w:cs="Calibri"/>
          <w:b/>
          <w:bCs/>
          <w:sz w:val="24"/>
          <w:szCs w:val="24"/>
        </w:rPr>
      </w:pPr>
    </w:p>
    <w:p w14:paraId="05F5AAC6" w14:textId="1AB015EF" w:rsidR="00207E3C" w:rsidRPr="009D1B97" w:rsidRDefault="00207E3C" w:rsidP="005D0B15">
      <w:pPr>
        <w:pStyle w:val="Heading2"/>
      </w:pPr>
      <w:r w:rsidRPr="009D1B97">
        <w:t>Fire Safety Advisory</w:t>
      </w:r>
    </w:p>
    <w:p w14:paraId="3CA50EE6" w14:textId="77777777" w:rsidR="00207E3C" w:rsidRPr="009D1B97" w:rsidRDefault="00207E3C" w:rsidP="00207E3C">
      <w:pPr>
        <w:numPr>
          <w:ilvl w:val="0"/>
          <w:numId w:val="10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Conduct fire risk assessments and advise on compliance with regulations.</w:t>
      </w:r>
    </w:p>
    <w:p w14:paraId="23396466" w14:textId="77777777" w:rsidR="00207E3C" w:rsidRPr="009D1B97" w:rsidRDefault="00207E3C" w:rsidP="00207E3C">
      <w:pPr>
        <w:numPr>
          <w:ilvl w:val="0"/>
          <w:numId w:val="10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Review evacuation plans, design intent, and construction details.</w:t>
      </w:r>
    </w:p>
    <w:p w14:paraId="6BCD6489" w14:textId="77777777" w:rsidR="00207E3C" w:rsidRPr="009D1B97" w:rsidRDefault="00207E3C" w:rsidP="00207E3C">
      <w:pPr>
        <w:numPr>
          <w:ilvl w:val="0"/>
          <w:numId w:val="10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Liaise with statutory bodies where needed.</w:t>
      </w:r>
    </w:p>
    <w:p w14:paraId="4196C08C" w14:textId="77777777" w:rsidR="00207E3C" w:rsidRPr="009D1B97" w:rsidRDefault="00207E3C" w:rsidP="00207E3C">
      <w:pPr>
        <w:rPr>
          <w:rFonts w:cs="Calibri"/>
          <w:b/>
          <w:bCs/>
          <w:sz w:val="24"/>
          <w:szCs w:val="24"/>
        </w:rPr>
      </w:pPr>
    </w:p>
    <w:p w14:paraId="4F65A089" w14:textId="4C523BD7" w:rsidR="00207E3C" w:rsidRPr="009D1B97" w:rsidRDefault="00207E3C" w:rsidP="005D0B15">
      <w:pPr>
        <w:pStyle w:val="Heading2"/>
      </w:pPr>
      <w:r w:rsidRPr="009D1B97">
        <w:t>CDM and Principal Designer Services</w:t>
      </w:r>
    </w:p>
    <w:p w14:paraId="08CC9445" w14:textId="77777777" w:rsidR="00207E3C" w:rsidRPr="009D1B97" w:rsidRDefault="00207E3C" w:rsidP="00207E3C">
      <w:pPr>
        <w:numPr>
          <w:ilvl w:val="0"/>
          <w:numId w:val="11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Deliver the Principal Designer role under the CDM Regulations 2015.</w:t>
      </w:r>
    </w:p>
    <w:p w14:paraId="2B60CF25" w14:textId="77777777" w:rsidR="00207E3C" w:rsidRPr="009D1B97" w:rsidRDefault="00207E3C" w:rsidP="00207E3C">
      <w:pPr>
        <w:numPr>
          <w:ilvl w:val="0"/>
          <w:numId w:val="11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Coordinate and manage pre-construction information, design risk registers, and CDM documentation.</w:t>
      </w:r>
    </w:p>
    <w:p w14:paraId="3BF77B22" w14:textId="77777777" w:rsidR="00207E3C" w:rsidRPr="009D1B97" w:rsidRDefault="00207E3C" w:rsidP="00207E3C">
      <w:pPr>
        <w:rPr>
          <w:rFonts w:cs="Calibri"/>
          <w:b/>
          <w:bCs/>
          <w:sz w:val="24"/>
          <w:szCs w:val="24"/>
        </w:rPr>
      </w:pPr>
    </w:p>
    <w:p w14:paraId="203BA623" w14:textId="5ECFAF9A" w:rsidR="00207E3C" w:rsidRPr="009D1B97" w:rsidRDefault="00207E3C" w:rsidP="005D0B15">
      <w:pPr>
        <w:pStyle w:val="Heading2"/>
      </w:pPr>
      <w:r w:rsidRPr="009D1B97">
        <w:t>Health and Safety</w:t>
      </w:r>
    </w:p>
    <w:p w14:paraId="2B615DF0" w14:textId="77777777" w:rsidR="00207E3C" w:rsidRPr="009D1B97" w:rsidRDefault="00207E3C" w:rsidP="00207E3C">
      <w:pPr>
        <w:numPr>
          <w:ilvl w:val="0"/>
          <w:numId w:val="12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Ensure ongoing health and safety oversight throughout project stages.</w:t>
      </w:r>
    </w:p>
    <w:p w14:paraId="515D9621" w14:textId="77777777" w:rsidR="00207E3C" w:rsidRPr="009D1B97" w:rsidRDefault="00207E3C" w:rsidP="00207E3C">
      <w:pPr>
        <w:numPr>
          <w:ilvl w:val="0"/>
          <w:numId w:val="12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Conduct audits, advise on risk assessments, and ensure contractor compliance.</w:t>
      </w:r>
    </w:p>
    <w:p w14:paraId="0E5556F1" w14:textId="77777777" w:rsidR="00207E3C" w:rsidRPr="009D1B97" w:rsidRDefault="00207E3C" w:rsidP="00207E3C">
      <w:pPr>
        <w:numPr>
          <w:ilvl w:val="0"/>
          <w:numId w:val="12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Support training and incident reporting as required.</w:t>
      </w:r>
    </w:p>
    <w:p w14:paraId="7AF5250D" w14:textId="77777777" w:rsidR="00207E3C" w:rsidRPr="009D1B97" w:rsidRDefault="00207E3C" w:rsidP="00207E3C">
      <w:pPr>
        <w:rPr>
          <w:rFonts w:cs="Calibri"/>
          <w:b/>
          <w:bCs/>
          <w:sz w:val="24"/>
          <w:szCs w:val="24"/>
        </w:rPr>
      </w:pPr>
    </w:p>
    <w:p w14:paraId="299B6B32" w14:textId="2DD113F3" w:rsidR="00207E3C" w:rsidRPr="009D1B97" w:rsidRDefault="00207E3C" w:rsidP="005D0B15">
      <w:pPr>
        <w:pStyle w:val="Heading2"/>
      </w:pPr>
      <w:r w:rsidRPr="009D1B97">
        <w:t>Planning and Statutory Consents</w:t>
      </w:r>
    </w:p>
    <w:p w14:paraId="4A6C2039" w14:textId="77777777" w:rsidR="00207E3C" w:rsidRPr="009D1B97" w:rsidRDefault="00207E3C" w:rsidP="00207E3C">
      <w:pPr>
        <w:numPr>
          <w:ilvl w:val="0"/>
          <w:numId w:val="13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Provide planning strategy advice and prepare submissions.</w:t>
      </w:r>
    </w:p>
    <w:p w14:paraId="311D1A5A" w14:textId="77777777" w:rsidR="00207E3C" w:rsidRPr="009D1B97" w:rsidRDefault="00207E3C" w:rsidP="00207E3C">
      <w:pPr>
        <w:numPr>
          <w:ilvl w:val="0"/>
          <w:numId w:val="13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Support engagement with local planning authorities and statutory consultees.</w:t>
      </w:r>
    </w:p>
    <w:p w14:paraId="4488BAE6" w14:textId="77777777" w:rsidR="00207E3C" w:rsidRPr="009D1B97" w:rsidRDefault="00207E3C" w:rsidP="00207E3C">
      <w:pPr>
        <w:numPr>
          <w:ilvl w:val="0"/>
          <w:numId w:val="13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Ensure compliance with all required building and environmental consents.</w:t>
      </w:r>
    </w:p>
    <w:p w14:paraId="4C76D8FA" w14:textId="77777777" w:rsidR="00207E3C" w:rsidRPr="009D1B97" w:rsidRDefault="00207E3C" w:rsidP="00207E3C">
      <w:pPr>
        <w:rPr>
          <w:rFonts w:cs="Calibri"/>
          <w:b/>
          <w:bCs/>
          <w:sz w:val="24"/>
          <w:szCs w:val="24"/>
        </w:rPr>
      </w:pPr>
    </w:p>
    <w:p w14:paraId="066EDD58" w14:textId="741B556A" w:rsidR="00207E3C" w:rsidRPr="009D1B97" w:rsidRDefault="00207E3C" w:rsidP="005D0B15">
      <w:pPr>
        <w:pStyle w:val="Heading2"/>
      </w:pPr>
      <w:r w:rsidRPr="009D1B97">
        <w:t>Risk and Quality Management</w:t>
      </w:r>
    </w:p>
    <w:p w14:paraId="662E295F" w14:textId="77777777" w:rsidR="00207E3C" w:rsidRPr="009D1B97" w:rsidRDefault="00207E3C" w:rsidP="00207E3C">
      <w:pPr>
        <w:numPr>
          <w:ilvl w:val="0"/>
          <w:numId w:val="14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Develop risk registers and manage risk mitigation throughout delivery.</w:t>
      </w:r>
    </w:p>
    <w:p w14:paraId="13F60864" w14:textId="77777777" w:rsidR="00207E3C" w:rsidRPr="009D1B97" w:rsidRDefault="00207E3C" w:rsidP="00207E3C">
      <w:pPr>
        <w:numPr>
          <w:ilvl w:val="0"/>
          <w:numId w:val="14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Oversee quality assurance and monitor contractor performance.</w:t>
      </w:r>
    </w:p>
    <w:p w14:paraId="60ACA6DD" w14:textId="77777777" w:rsidR="00207E3C" w:rsidRPr="009D1B97" w:rsidRDefault="00207E3C" w:rsidP="00207E3C">
      <w:pPr>
        <w:numPr>
          <w:ilvl w:val="0"/>
          <w:numId w:val="14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Support resolution of defects and post-completion reviews.</w:t>
      </w:r>
    </w:p>
    <w:p w14:paraId="5A8A5183" w14:textId="77777777" w:rsidR="00207E3C" w:rsidRPr="009D1B97" w:rsidRDefault="00207E3C" w:rsidP="00207E3C">
      <w:pPr>
        <w:rPr>
          <w:rFonts w:cs="Calibri"/>
          <w:b/>
          <w:bCs/>
          <w:sz w:val="24"/>
          <w:szCs w:val="24"/>
        </w:rPr>
      </w:pPr>
    </w:p>
    <w:p w14:paraId="0765F7A5" w14:textId="4A06F509" w:rsidR="00207E3C" w:rsidRPr="009D1B97" w:rsidRDefault="00207E3C" w:rsidP="005D0B15">
      <w:pPr>
        <w:pStyle w:val="Heading2"/>
      </w:pPr>
      <w:r w:rsidRPr="009D1B97">
        <w:t>Tender Support</w:t>
      </w:r>
    </w:p>
    <w:p w14:paraId="6DDA1B61" w14:textId="77777777" w:rsidR="00207E3C" w:rsidRPr="009D1B97" w:rsidRDefault="00207E3C" w:rsidP="00207E3C">
      <w:pPr>
        <w:numPr>
          <w:ilvl w:val="0"/>
          <w:numId w:val="15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Draft technical specifications and input to tender documentation.</w:t>
      </w:r>
    </w:p>
    <w:p w14:paraId="6359390B" w14:textId="77777777" w:rsidR="00207E3C" w:rsidRPr="009D1B97" w:rsidRDefault="00207E3C" w:rsidP="00207E3C">
      <w:pPr>
        <w:numPr>
          <w:ilvl w:val="0"/>
          <w:numId w:val="15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Support the evaluation process, including moderation and clarifications.</w:t>
      </w:r>
    </w:p>
    <w:p w14:paraId="70EE4EE8" w14:textId="77777777" w:rsidR="00207E3C" w:rsidRPr="009D1B97" w:rsidRDefault="00207E3C" w:rsidP="00207E3C">
      <w:pPr>
        <w:numPr>
          <w:ilvl w:val="0"/>
          <w:numId w:val="15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Ensure tender processes align with procurement law and University requirements.</w:t>
      </w:r>
    </w:p>
    <w:p w14:paraId="01561A6A" w14:textId="77777777" w:rsidR="00207E3C" w:rsidRPr="009D1B97" w:rsidRDefault="00207E3C" w:rsidP="00207E3C">
      <w:pPr>
        <w:rPr>
          <w:rFonts w:cs="Calibri"/>
          <w:b/>
          <w:bCs/>
          <w:sz w:val="24"/>
          <w:szCs w:val="24"/>
        </w:rPr>
      </w:pPr>
    </w:p>
    <w:p w14:paraId="5F3FF8FF" w14:textId="58EFDC16" w:rsidR="00207E3C" w:rsidRPr="009D1B97" w:rsidRDefault="00207E3C" w:rsidP="005D0B15">
      <w:pPr>
        <w:pStyle w:val="Heading2"/>
      </w:pPr>
      <w:r w:rsidRPr="009D1B97">
        <w:t>Professional Advice</w:t>
      </w:r>
    </w:p>
    <w:p w14:paraId="34403A16" w14:textId="77777777" w:rsidR="00207E3C" w:rsidRPr="009D1B97" w:rsidRDefault="00207E3C" w:rsidP="00207E3C">
      <w:pPr>
        <w:numPr>
          <w:ilvl w:val="0"/>
          <w:numId w:val="16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Provide responsive, expert advice on construction, estates, legal, and regulatory matters.</w:t>
      </w:r>
    </w:p>
    <w:p w14:paraId="1F012F11" w14:textId="77777777" w:rsidR="00207E3C" w:rsidRPr="009D1B97" w:rsidRDefault="00207E3C" w:rsidP="00207E3C">
      <w:pPr>
        <w:numPr>
          <w:ilvl w:val="0"/>
          <w:numId w:val="16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Support strategic decision-making, feasibility studies, and business case development.</w:t>
      </w:r>
    </w:p>
    <w:p w14:paraId="0B77672F" w14:textId="77777777" w:rsidR="00207E3C" w:rsidRPr="009D1B97" w:rsidRDefault="00207E3C" w:rsidP="00207E3C">
      <w:pPr>
        <w:numPr>
          <w:ilvl w:val="0"/>
          <w:numId w:val="16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Deliver advice both in written form and through in-person engagement.</w:t>
      </w:r>
    </w:p>
    <w:p w14:paraId="1C2A445E" w14:textId="77777777" w:rsidR="00207E3C" w:rsidRPr="00207E3C" w:rsidRDefault="00207E3C" w:rsidP="00207E3C"/>
    <w:p w14:paraId="011B5FAC" w14:textId="77777777" w:rsidR="005D0B15" w:rsidRPr="009D1B97" w:rsidRDefault="005D0B15" w:rsidP="005D0B15">
      <w:pPr>
        <w:pStyle w:val="Heading1"/>
      </w:pPr>
      <w:r w:rsidRPr="009D1B97">
        <w:t>Collaborative Working and Governance</w:t>
      </w:r>
    </w:p>
    <w:p w14:paraId="1231EF67" w14:textId="77777777" w:rsidR="005D0B15" w:rsidRPr="009D1B97" w:rsidRDefault="005D0B15" w:rsidP="005D0B15">
      <w:pPr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Consultants appointed under this Lot will be expected to work collaboratively with Institutions, fostering openness, knowledge sharing, and joint problem-solving. Core expectations include:</w:t>
      </w:r>
    </w:p>
    <w:p w14:paraId="20B9F273" w14:textId="77777777" w:rsidR="005D0B15" w:rsidRPr="009D1B97" w:rsidRDefault="005D0B15" w:rsidP="005D0B15">
      <w:pPr>
        <w:numPr>
          <w:ilvl w:val="0"/>
          <w:numId w:val="21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Engaging constructively with internal client roles, including the Investment Decision Maker (IDM), Senior Responsible Owner (SRO), and Client Project Manager (CPM)</w:t>
      </w:r>
    </w:p>
    <w:p w14:paraId="1896F551" w14:textId="77777777" w:rsidR="005D0B15" w:rsidRPr="009D1B97" w:rsidRDefault="005D0B15" w:rsidP="005D0B15">
      <w:pPr>
        <w:numPr>
          <w:ilvl w:val="0"/>
          <w:numId w:val="21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Supporting cross-functional delivery involving stakeholders from Estates, Procurement, Finance, and Academic departments</w:t>
      </w:r>
    </w:p>
    <w:p w14:paraId="724DE3DA" w14:textId="77777777" w:rsidR="005D0B15" w:rsidRPr="009D1B97" w:rsidRDefault="005D0B15" w:rsidP="005D0B15">
      <w:pPr>
        <w:numPr>
          <w:ilvl w:val="0"/>
          <w:numId w:val="21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Representing the Institution in communications with contractors, regulators, and external partners</w:t>
      </w:r>
    </w:p>
    <w:p w14:paraId="312B05F7" w14:textId="77777777" w:rsidR="005D0B15" w:rsidRPr="009D1B97" w:rsidRDefault="005D0B15" w:rsidP="005D0B15">
      <w:pPr>
        <w:numPr>
          <w:ilvl w:val="0"/>
          <w:numId w:val="21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Supporting post-project reflection, continuous improvement, and knowledge transfer</w:t>
      </w:r>
    </w:p>
    <w:p w14:paraId="5A9095D8" w14:textId="77777777" w:rsidR="005D0B15" w:rsidRDefault="005D0B15" w:rsidP="005D0B15">
      <w:pPr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The appointed Consultant will play an essential role in facilitating communication and trust among all parties, helping to align project outputs with institutional strategy and long-term estate goals.</w:t>
      </w:r>
    </w:p>
    <w:p w14:paraId="3478E797" w14:textId="6C0DD8E0" w:rsidR="005D0B15" w:rsidRPr="009D1B97" w:rsidRDefault="005D0B15" w:rsidP="005D0B15">
      <w:pPr>
        <w:pStyle w:val="Heading1"/>
      </w:pPr>
      <w:r w:rsidRPr="009D1B97">
        <w:t>Outcomes and Legislative Alignment</w:t>
      </w:r>
    </w:p>
    <w:p w14:paraId="1D59519E" w14:textId="77777777" w:rsidR="005D0B15" w:rsidRPr="009D1B97" w:rsidRDefault="005D0B15" w:rsidP="005D0B15">
      <w:pPr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 xml:space="preserve">Services delivered under this Lot must contribute to the wider public good, in alignment with the </w:t>
      </w:r>
      <w:r w:rsidRPr="009D1B97">
        <w:rPr>
          <w:rFonts w:cs="Calibri"/>
          <w:b/>
          <w:bCs/>
          <w:sz w:val="24"/>
          <w:szCs w:val="24"/>
        </w:rPr>
        <w:t>Welsh Procurement Act 2023</w:t>
      </w:r>
      <w:r w:rsidRPr="009D1B97">
        <w:rPr>
          <w:rFonts w:cs="Calibri"/>
          <w:sz w:val="24"/>
          <w:szCs w:val="24"/>
        </w:rPr>
        <w:t xml:space="preserve"> and the </w:t>
      </w:r>
      <w:r w:rsidRPr="009D1B97">
        <w:rPr>
          <w:rFonts w:cs="Calibri"/>
          <w:b/>
          <w:bCs/>
          <w:sz w:val="24"/>
          <w:szCs w:val="24"/>
        </w:rPr>
        <w:t>Well-being of Future Generations (Wales) Act 2015</w:t>
      </w:r>
      <w:r w:rsidRPr="009D1B97">
        <w:rPr>
          <w:rFonts w:cs="Calibri"/>
          <w:sz w:val="24"/>
          <w:szCs w:val="24"/>
        </w:rPr>
        <w:t>. Consultants are expected to demonstrate their contribution to the following outcomes:</w:t>
      </w:r>
    </w:p>
    <w:p w14:paraId="069CD200" w14:textId="77777777" w:rsidR="005D0B15" w:rsidRPr="009D1B97" w:rsidRDefault="005D0B15" w:rsidP="005D0B15">
      <w:pPr>
        <w:numPr>
          <w:ilvl w:val="0"/>
          <w:numId w:val="22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b/>
          <w:bCs/>
          <w:sz w:val="24"/>
          <w:szCs w:val="24"/>
        </w:rPr>
        <w:lastRenderedPageBreak/>
        <w:t>Public Good</w:t>
      </w:r>
      <w:r w:rsidRPr="009D1B97">
        <w:rPr>
          <w:rFonts w:cs="Calibri"/>
          <w:sz w:val="24"/>
          <w:szCs w:val="24"/>
        </w:rPr>
        <w:t>: Supporting social, environmental, and economic value through investment in the built environment</w:t>
      </w:r>
    </w:p>
    <w:p w14:paraId="4930F4EF" w14:textId="77777777" w:rsidR="005D0B15" w:rsidRPr="009D1B97" w:rsidRDefault="005D0B15" w:rsidP="005D0B15">
      <w:pPr>
        <w:numPr>
          <w:ilvl w:val="0"/>
          <w:numId w:val="22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b/>
          <w:bCs/>
          <w:sz w:val="24"/>
          <w:szCs w:val="24"/>
        </w:rPr>
        <w:t>Value for Money</w:t>
      </w:r>
      <w:r w:rsidRPr="009D1B97">
        <w:rPr>
          <w:rFonts w:cs="Calibri"/>
          <w:sz w:val="24"/>
          <w:szCs w:val="24"/>
        </w:rPr>
        <w:t>: Ensuring that projects are affordable, accountable, and effective</w:t>
      </w:r>
    </w:p>
    <w:p w14:paraId="763151BB" w14:textId="77777777" w:rsidR="005D0B15" w:rsidRPr="009D1B97" w:rsidRDefault="005D0B15" w:rsidP="005D0B15">
      <w:pPr>
        <w:numPr>
          <w:ilvl w:val="0"/>
          <w:numId w:val="22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b/>
          <w:bCs/>
          <w:sz w:val="24"/>
          <w:szCs w:val="24"/>
        </w:rPr>
        <w:t>Sustainability</w:t>
      </w:r>
      <w:r w:rsidRPr="009D1B97">
        <w:rPr>
          <w:rFonts w:cs="Calibri"/>
          <w:sz w:val="24"/>
          <w:szCs w:val="24"/>
        </w:rPr>
        <w:t>: Reducing environmental impact and contributing to carbon targets</w:t>
      </w:r>
    </w:p>
    <w:p w14:paraId="5D197C20" w14:textId="77777777" w:rsidR="005D0B15" w:rsidRPr="009D1B97" w:rsidRDefault="005D0B15" w:rsidP="005D0B15">
      <w:pPr>
        <w:numPr>
          <w:ilvl w:val="0"/>
          <w:numId w:val="22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b/>
          <w:bCs/>
          <w:sz w:val="24"/>
          <w:szCs w:val="24"/>
        </w:rPr>
        <w:t>Fair Work</w:t>
      </w:r>
      <w:r w:rsidRPr="009D1B97">
        <w:rPr>
          <w:rFonts w:cs="Calibri"/>
          <w:sz w:val="24"/>
          <w:szCs w:val="24"/>
        </w:rPr>
        <w:t>: Supporting inclusive employment, ethical supply chains, and regional development</w:t>
      </w:r>
    </w:p>
    <w:p w14:paraId="35BBC7F2" w14:textId="77777777" w:rsidR="005D0B15" w:rsidRPr="009D1B97" w:rsidRDefault="005D0B15" w:rsidP="005D0B15">
      <w:pPr>
        <w:numPr>
          <w:ilvl w:val="0"/>
          <w:numId w:val="22"/>
        </w:numPr>
        <w:spacing w:after="160" w:line="259" w:lineRule="auto"/>
        <w:rPr>
          <w:rFonts w:cs="Calibri"/>
          <w:sz w:val="24"/>
          <w:szCs w:val="24"/>
        </w:rPr>
      </w:pPr>
      <w:r w:rsidRPr="009D1B97">
        <w:rPr>
          <w:rFonts w:cs="Calibri"/>
          <w:b/>
          <w:bCs/>
          <w:sz w:val="24"/>
          <w:szCs w:val="24"/>
        </w:rPr>
        <w:t>Transparency and Integrity</w:t>
      </w:r>
      <w:r w:rsidRPr="009D1B97">
        <w:rPr>
          <w:rFonts w:cs="Calibri"/>
          <w:sz w:val="24"/>
          <w:szCs w:val="24"/>
        </w:rPr>
        <w:t>: Acting with professionalism, clarity, and fairness in all client relationships</w:t>
      </w:r>
    </w:p>
    <w:p w14:paraId="7FF24D1A" w14:textId="77777777" w:rsidR="005D0B15" w:rsidRPr="009D1B97" w:rsidRDefault="005D0B15" w:rsidP="005D0B15">
      <w:pPr>
        <w:rPr>
          <w:rFonts w:cs="Calibri"/>
          <w:sz w:val="24"/>
          <w:szCs w:val="24"/>
        </w:rPr>
      </w:pPr>
      <w:r w:rsidRPr="009D1B97">
        <w:rPr>
          <w:rFonts w:cs="Calibri"/>
          <w:sz w:val="24"/>
          <w:szCs w:val="24"/>
        </w:rPr>
        <w:t>Consultants should be suitably qualified and experienced, with professional accreditations such as RICS, CIOB, RTPI, RIBA or equivalent as appropriate to the services being provided.</w:t>
      </w:r>
    </w:p>
    <w:p w14:paraId="0D84D583" w14:textId="77777777" w:rsidR="005D0B15" w:rsidRPr="009D1B97" w:rsidRDefault="005D0B15" w:rsidP="005D0B15">
      <w:pPr>
        <w:rPr>
          <w:rFonts w:cs="Calibri"/>
          <w:sz w:val="24"/>
          <w:szCs w:val="24"/>
        </w:rPr>
      </w:pPr>
    </w:p>
    <w:p w14:paraId="3BFFA7D4" w14:textId="77777777" w:rsidR="005D0B15" w:rsidRPr="009D1B97" w:rsidRDefault="005D0B15" w:rsidP="005D0B15">
      <w:pPr>
        <w:rPr>
          <w:rFonts w:cs="Calibri"/>
          <w:vanish/>
          <w:sz w:val="24"/>
          <w:szCs w:val="24"/>
        </w:rPr>
      </w:pPr>
      <w:r w:rsidRPr="009D1B97">
        <w:rPr>
          <w:rFonts w:cs="Calibri"/>
          <w:vanish/>
          <w:sz w:val="24"/>
          <w:szCs w:val="24"/>
        </w:rPr>
        <w:t>Bottom of Form</w:t>
      </w:r>
    </w:p>
    <w:p w14:paraId="3720B66A" w14:textId="77777777" w:rsidR="00207E3C" w:rsidRPr="00207E3C" w:rsidRDefault="00207E3C" w:rsidP="005D0B15">
      <w:pPr>
        <w:pStyle w:val="Heading1"/>
        <w:numPr>
          <w:ilvl w:val="0"/>
          <w:numId w:val="0"/>
        </w:numPr>
      </w:pPr>
    </w:p>
    <w:sectPr w:rsidR="00207E3C" w:rsidRPr="00207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9B1"/>
    <w:multiLevelType w:val="multilevel"/>
    <w:tmpl w:val="17B4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D6258"/>
    <w:multiLevelType w:val="multilevel"/>
    <w:tmpl w:val="28BA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D2113"/>
    <w:multiLevelType w:val="multilevel"/>
    <w:tmpl w:val="1FDC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86A41"/>
    <w:multiLevelType w:val="multilevel"/>
    <w:tmpl w:val="394A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F66B9"/>
    <w:multiLevelType w:val="multilevel"/>
    <w:tmpl w:val="25EE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B6E2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580EB3"/>
    <w:multiLevelType w:val="multilevel"/>
    <w:tmpl w:val="2114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1646A"/>
    <w:multiLevelType w:val="multilevel"/>
    <w:tmpl w:val="2BD0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E317D"/>
    <w:multiLevelType w:val="multilevel"/>
    <w:tmpl w:val="92C6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65D7D"/>
    <w:multiLevelType w:val="multilevel"/>
    <w:tmpl w:val="9FEA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566E2"/>
    <w:multiLevelType w:val="multilevel"/>
    <w:tmpl w:val="5E06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B1D88"/>
    <w:multiLevelType w:val="multilevel"/>
    <w:tmpl w:val="570C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F03F5"/>
    <w:multiLevelType w:val="hybridMultilevel"/>
    <w:tmpl w:val="4208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64DA2"/>
    <w:multiLevelType w:val="multilevel"/>
    <w:tmpl w:val="0498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F459AF"/>
    <w:multiLevelType w:val="multilevel"/>
    <w:tmpl w:val="B6D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10C7E"/>
    <w:multiLevelType w:val="multilevel"/>
    <w:tmpl w:val="DF14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593BEF"/>
    <w:multiLevelType w:val="multilevel"/>
    <w:tmpl w:val="E43A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F6778"/>
    <w:multiLevelType w:val="multilevel"/>
    <w:tmpl w:val="451E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D08ED"/>
    <w:multiLevelType w:val="multilevel"/>
    <w:tmpl w:val="505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DD3B97"/>
    <w:multiLevelType w:val="multilevel"/>
    <w:tmpl w:val="B5E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8A2459"/>
    <w:multiLevelType w:val="multilevel"/>
    <w:tmpl w:val="2E3E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0A5C13"/>
    <w:multiLevelType w:val="multilevel"/>
    <w:tmpl w:val="01403B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01801422">
    <w:abstractNumId w:val="5"/>
  </w:num>
  <w:num w:numId="2" w16cid:durableId="1920358189">
    <w:abstractNumId w:val="12"/>
  </w:num>
  <w:num w:numId="3" w16cid:durableId="388967642">
    <w:abstractNumId w:val="15"/>
  </w:num>
  <w:num w:numId="4" w16cid:durableId="2002536049">
    <w:abstractNumId w:val="16"/>
  </w:num>
  <w:num w:numId="5" w16cid:durableId="334958762">
    <w:abstractNumId w:val="9"/>
  </w:num>
  <w:num w:numId="6" w16cid:durableId="1638875305">
    <w:abstractNumId w:val="0"/>
  </w:num>
  <w:num w:numId="7" w16cid:durableId="1610817363">
    <w:abstractNumId w:val="14"/>
  </w:num>
  <w:num w:numId="8" w16cid:durableId="822811890">
    <w:abstractNumId w:val="18"/>
  </w:num>
  <w:num w:numId="9" w16cid:durableId="1207448675">
    <w:abstractNumId w:val="2"/>
  </w:num>
  <w:num w:numId="10" w16cid:durableId="1614904242">
    <w:abstractNumId w:val="20"/>
  </w:num>
  <w:num w:numId="11" w16cid:durableId="695472693">
    <w:abstractNumId w:val="11"/>
  </w:num>
  <w:num w:numId="12" w16cid:durableId="1937249356">
    <w:abstractNumId w:val="8"/>
  </w:num>
  <w:num w:numId="13" w16cid:durableId="1316832507">
    <w:abstractNumId w:val="17"/>
  </w:num>
  <w:num w:numId="14" w16cid:durableId="1159686906">
    <w:abstractNumId w:val="4"/>
  </w:num>
  <w:num w:numId="15" w16cid:durableId="2139491946">
    <w:abstractNumId w:val="13"/>
  </w:num>
  <w:num w:numId="16" w16cid:durableId="476722530">
    <w:abstractNumId w:val="6"/>
  </w:num>
  <w:num w:numId="17" w16cid:durableId="1401749836">
    <w:abstractNumId w:val="1"/>
  </w:num>
  <w:num w:numId="18" w16cid:durableId="1335259591">
    <w:abstractNumId w:val="19"/>
  </w:num>
  <w:num w:numId="19" w16cid:durableId="1162089348">
    <w:abstractNumId w:val="21"/>
  </w:num>
  <w:num w:numId="20" w16cid:durableId="2130395959">
    <w:abstractNumId w:val="7"/>
  </w:num>
  <w:num w:numId="21" w16cid:durableId="683240215">
    <w:abstractNumId w:val="10"/>
  </w:num>
  <w:num w:numId="22" w16cid:durableId="189172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3C"/>
    <w:rsid w:val="00136B99"/>
    <w:rsid w:val="00207E3C"/>
    <w:rsid w:val="00254CE3"/>
    <w:rsid w:val="00263F95"/>
    <w:rsid w:val="003C1CCE"/>
    <w:rsid w:val="00482009"/>
    <w:rsid w:val="004F10CB"/>
    <w:rsid w:val="005959AD"/>
    <w:rsid w:val="005B0E05"/>
    <w:rsid w:val="005D0B15"/>
    <w:rsid w:val="005F5AB4"/>
    <w:rsid w:val="00672514"/>
    <w:rsid w:val="00676243"/>
    <w:rsid w:val="006C7DEC"/>
    <w:rsid w:val="0078129A"/>
    <w:rsid w:val="008A05AC"/>
    <w:rsid w:val="00A22035"/>
    <w:rsid w:val="00A66738"/>
    <w:rsid w:val="00B27CF9"/>
    <w:rsid w:val="00B62688"/>
    <w:rsid w:val="00BE4797"/>
    <w:rsid w:val="00BE4A25"/>
    <w:rsid w:val="00C3176E"/>
    <w:rsid w:val="00C578CA"/>
    <w:rsid w:val="00D47685"/>
    <w:rsid w:val="00DE40B9"/>
    <w:rsid w:val="00E947BA"/>
    <w:rsid w:val="00EB5FB4"/>
    <w:rsid w:val="00F2039A"/>
    <w:rsid w:val="00FC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5027"/>
  <w15:chartTrackingRefBased/>
  <w15:docId w15:val="{E71483C3-326D-4818-8950-3D88331B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14"/>
    <w:pPr>
      <w:spacing w:after="200" w:line="276" w:lineRule="auto"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E3C"/>
    <w:pPr>
      <w:keepNext/>
      <w:keepLines/>
      <w:numPr>
        <w:numId w:val="1"/>
      </w:numPr>
      <w:spacing w:before="360" w:after="80"/>
      <w:outlineLvl w:val="0"/>
    </w:pPr>
    <w:rPr>
      <w:rFonts w:eastAsiaTheme="majorEastAsia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E3C"/>
    <w:pPr>
      <w:keepNext/>
      <w:keepLines/>
      <w:numPr>
        <w:ilvl w:val="1"/>
        <w:numId w:val="1"/>
      </w:numPr>
      <w:spacing w:before="160" w:after="80"/>
      <w:ind w:left="1296"/>
      <w:outlineLvl w:val="1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E3C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E3C"/>
    <w:pPr>
      <w:keepNext/>
      <w:keepLines/>
      <w:numPr>
        <w:ilvl w:val="3"/>
        <w:numId w:val="1"/>
      </w:num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E3C"/>
    <w:pPr>
      <w:keepNext/>
      <w:keepLines/>
      <w:numPr>
        <w:ilvl w:val="4"/>
        <w:numId w:val="1"/>
      </w:num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E3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E3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E3C"/>
    <w:pPr>
      <w:keepNext/>
      <w:keepLines/>
      <w:numPr>
        <w:ilvl w:val="7"/>
        <w:numId w:val="1"/>
      </w:numP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E3C"/>
    <w:pPr>
      <w:keepNext/>
      <w:keepLines/>
      <w:numPr>
        <w:ilvl w:val="8"/>
        <w:numId w:val="1"/>
      </w:numP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E3C"/>
    <w:rPr>
      <w:rFonts w:ascii="Calibri" w:eastAsiaTheme="majorEastAsia" w:hAnsi="Calibri" w:cstheme="majorBidi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07E3C"/>
    <w:rPr>
      <w:rFonts w:ascii="Calibri" w:eastAsiaTheme="majorEastAsia" w:hAnsi="Calibri" w:cstheme="majorBidi"/>
      <w:b/>
      <w:color w:val="000000" w:themeColor="text1"/>
      <w:kern w:val="0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07E3C"/>
    <w:rPr>
      <w:rFonts w:ascii="Calibri" w:eastAsiaTheme="majorEastAsia" w:hAnsi="Calibri" w:cstheme="majorBidi"/>
      <w:b/>
      <w:color w:val="000000" w:themeColor="text1"/>
      <w:kern w:val="0"/>
      <w:sz w:val="22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E3C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E3C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E3C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E3C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E3C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E3C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07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E3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E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E3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07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E3C"/>
    <w:rPr>
      <w:rFonts w:ascii="Calibri" w:eastAsiaTheme="minorEastAsia" w:hAnsi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07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E3C"/>
    <w:rPr>
      <w:rFonts w:ascii="Calibri" w:eastAsiaTheme="minorEastAsia" w:hAnsi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07E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07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Davies</dc:creator>
  <cp:keywords/>
  <dc:description/>
  <cp:lastModifiedBy>Heidi Davies</cp:lastModifiedBy>
  <cp:revision>1</cp:revision>
  <dcterms:created xsi:type="dcterms:W3CDTF">2025-07-31T12:52:00Z</dcterms:created>
  <dcterms:modified xsi:type="dcterms:W3CDTF">2025-07-31T15:09:00Z</dcterms:modified>
</cp:coreProperties>
</file>