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765F5" w14:textId="4F09B084" w:rsidR="00672514" w:rsidRDefault="00207E3C" w:rsidP="00207E3C">
      <w:pPr>
        <w:pStyle w:val="Heading3"/>
        <w:numPr>
          <w:ilvl w:val="0"/>
          <w:numId w:val="0"/>
        </w:numPr>
        <w:ind w:left="720" w:hanging="720"/>
      </w:pPr>
      <w:r w:rsidRPr="009D1B97">
        <w:rPr>
          <w:rFonts w:cs="Calibri"/>
          <w:noProof/>
          <w:sz w:val="24"/>
          <w:szCs w:val="24"/>
        </w:rPr>
        <w:drawing>
          <wp:inline distT="0" distB="0" distL="0" distR="0" wp14:anchorId="41C5A98B" wp14:editId="5706216C">
            <wp:extent cx="2589312" cy="762000"/>
            <wp:effectExtent l="0" t="0" r="1905" b="0"/>
            <wp:docPr id="4" name="Picture 2">
              <a:extLst xmlns:a="http://schemas.openxmlformats.org/drawingml/2006/main">
                <a:ext uri="{FF2B5EF4-FFF2-40B4-BE49-F238E27FC236}">
                  <a16:creationId xmlns:a16="http://schemas.microsoft.com/office/drawing/2014/main" id="{00000000-0008-0000-0A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A00-000003000000}"/>
                        </a:ext>
                      </a:extLst>
                    </pic:cNvPr>
                    <pic:cNvPicPr>
                      <a:picLocks noChangeAspect="1"/>
                      <a:extLst>
                        <a:ext uri="{84589F7E-364E-4C9E-8A38-B11213B215E9}">
                          <a14:cameraTool xmlns:a14="http://schemas.microsoft.com/office/drawing/2010/main" cellRange="Picture" spid="_x0000_s8945"/>
                        </a:ext>
                      </a:extLst>
                    </pic:cNvPicPr>
                  </pic:nvPicPr>
                  <pic:blipFill rotWithShape="1">
                    <a:blip r:embed="rId5"/>
                    <a:srcRect r="-193"/>
                    <a:stretch>
                      <a:fillRect/>
                    </a:stretch>
                  </pic:blipFill>
                  <pic:spPr>
                    <a:xfrm>
                      <a:off x="0" y="0"/>
                      <a:ext cx="2589312" cy="762000"/>
                    </a:xfrm>
                    <a:prstGeom prst="rect">
                      <a:avLst/>
                    </a:prstGeom>
                    <a:ln>
                      <a:noFill/>
                    </a:ln>
                  </pic:spPr>
                </pic:pic>
              </a:graphicData>
            </a:graphic>
          </wp:inline>
        </w:drawing>
      </w:r>
    </w:p>
    <w:p w14:paraId="7C5EC250" w14:textId="77777777" w:rsidR="00207E3C" w:rsidRDefault="00207E3C" w:rsidP="00207E3C"/>
    <w:p w14:paraId="715CB7D8" w14:textId="2EAE9F4D" w:rsidR="00207E3C" w:rsidRPr="009D1B97" w:rsidRDefault="00207E3C" w:rsidP="00207E3C">
      <w:pPr>
        <w:rPr>
          <w:rFonts w:cs="Calibri"/>
          <w:b/>
          <w:bCs/>
          <w:sz w:val="24"/>
          <w:szCs w:val="24"/>
        </w:rPr>
      </w:pPr>
      <w:r w:rsidRPr="009D1B97">
        <w:rPr>
          <w:rFonts w:cs="Calibri"/>
          <w:b/>
          <w:bCs/>
          <w:sz w:val="24"/>
          <w:szCs w:val="24"/>
        </w:rPr>
        <w:t xml:space="preserve">Appendix </w:t>
      </w:r>
      <w:r w:rsidR="00F26068">
        <w:rPr>
          <w:rFonts w:cs="Calibri"/>
          <w:b/>
          <w:bCs/>
          <w:sz w:val="24"/>
          <w:szCs w:val="24"/>
        </w:rPr>
        <w:t>2</w:t>
      </w:r>
    </w:p>
    <w:p w14:paraId="7B2A94A4" w14:textId="77777777" w:rsidR="00F26068" w:rsidRDefault="00207E3C" w:rsidP="00F26068">
      <w:pPr>
        <w:pStyle w:val="Heading1"/>
        <w:spacing w:before="240" w:after="0" w:line="259" w:lineRule="auto"/>
        <w:rPr>
          <w:lang w:val="en-US"/>
        </w:rPr>
      </w:pPr>
      <w:r w:rsidRPr="009D1B97">
        <w:t xml:space="preserve">Lot 1 – </w:t>
      </w:r>
      <w:r w:rsidR="00F26068" w:rsidRPr="0037014A">
        <w:rPr>
          <w:rFonts w:eastAsia="MS Gothic"/>
          <w:lang w:val="en-US"/>
        </w:rPr>
        <w:t>Lot 2: Property Consultancy</w:t>
      </w:r>
    </w:p>
    <w:p w14:paraId="2B9540DB" w14:textId="77777777" w:rsidR="00F26068" w:rsidRDefault="00F26068" w:rsidP="00F26068">
      <w:pPr>
        <w:pStyle w:val="Heading2"/>
        <w:numPr>
          <w:ilvl w:val="0"/>
          <w:numId w:val="0"/>
        </w:numPr>
        <w:ind w:left="1296" w:hanging="576"/>
      </w:pPr>
    </w:p>
    <w:p w14:paraId="03EE8B25" w14:textId="5C4A46E0" w:rsidR="00207E3C" w:rsidRDefault="00207E3C" w:rsidP="00207E3C">
      <w:pPr>
        <w:pStyle w:val="Heading2"/>
      </w:pPr>
      <w:r w:rsidRPr="00207E3C">
        <w:t>Scope of Services</w:t>
      </w:r>
    </w:p>
    <w:p w14:paraId="7CF1B6A9" w14:textId="77777777" w:rsidR="002D6D80" w:rsidRPr="0037014A" w:rsidRDefault="002D6D80" w:rsidP="002D6D80">
      <w:pPr>
        <w:ind w:left="360"/>
        <w:rPr>
          <w:rFonts w:asciiTheme="minorHAnsi" w:eastAsia="MS Mincho" w:hAnsiTheme="minorHAnsi" w:cstheme="minorHAnsi"/>
          <w:sz w:val="24"/>
          <w:szCs w:val="24"/>
          <w:lang w:val="en-US"/>
        </w:rPr>
      </w:pPr>
      <w:r w:rsidRPr="0037014A">
        <w:rPr>
          <w:rFonts w:asciiTheme="minorHAnsi" w:eastAsia="MS Mincho" w:hAnsiTheme="minorHAnsi" w:cstheme="minorHAnsi"/>
          <w:sz w:val="24"/>
          <w:szCs w:val="24"/>
          <w:lang w:val="en-US"/>
        </w:rPr>
        <w:t>The Consultant may be required to provide a wide range of property consultancy services across the UWTSD Group estate. This includes:</w:t>
      </w:r>
    </w:p>
    <w:p w14:paraId="5FF96B9A" w14:textId="77777777" w:rsidR="002D6D80" w:rsidRPr="00BB6368" w:rsidRDefault="002D6D80" w:rsidP="002D6D80">
      <w:pPr>
        <w:pStyle w:val="ListParagraph"/>
        <w:numPr>
          <w:ilvl w:val="0"/>
          <w:numId w:val="23"/>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Estate management</w:t>
      </w:r>
    </w:p>
    <w:p w14:paraId="7EA1D6AC" w14:textId="77777777" w:rsidR="002D6D80" w:rsidRPr="00BB6368" w:rsidRDefault="002D6D80" w:rsidP="002D6D80">
      <w:pPr>
        <w:pStyle w:val="ListParagraph"/>
        <w:numPr>
          <w:ilvl w:val="0"/>
          <w:numId w:val="23"/>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Professional advice on title, boundaries, and legal matters</w:t>
      </w:r>
    </w:p>
    <w:p w14:paraId="21B57B9F" w14:textId="77777777" w:rsidR="002D6D80" w:rsidRPr="00BB6368" w:rsidRDefault="002D6D80" w:rsidP="002D6D80">
      <w:pPr>
        <w:pStyle w:val="ListParagraph"/>
        <w:numPr>
          <w:ilvl w:val="0"/>
          <w:numId w:val="23"/>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Lease and rent negotiations (landlord and tenant roles)</w:t>
      </w:r>
    </w:p>
    <w:p w14:paraId="4A545568" w14:textId="77777777" w:rsidR="002D6D80" w:rsidRPr="00BB6368" w:rsidRDefault="002D6D80" w:rsidP="002D6D80">
      <w:pPr>
        <w:pStyle w:val="ListParagraph"/>
        <w:numPr>
          <w:ilvl w:val="0"/>
          <w:numId w:val="23"/>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Sales and acquisitions</w:t>
      </w:r>
    </w:p>
    <w:p w14:paraId="205D5E09" w14:textId="77777777" w:rsidR="002D6D80" w:rsidRPr="00BB6368" w:rsidRDefault="002D6D80" w:rsidP="002D6D80">
      <w:pPr>
        <w:pStyle w:val="ListParagraph"/>
        <w:numPr>
          <w:ilvl w:val="0"/>
          <w:numId w:val="23"/>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Valuation for market, insurance, or financial reporting purposes</w:t>
      </w:r>
    </w:p>
    <w:p w14:paraId="38ED3E49" w14:textId="77777777" w:rsidR="002D6D80" w:rsidRPr="00BB6368" w:rsidRDefault="002D6D80" w:rsidP="002D6D80">
      <w:pPr>
        <w:pStyle w:val="ListParagraph"/>
        <w:numPr>
          <w:ilvl w:val="0"/>
          <w:numId w:val="23"/>
        </w:numPr>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While areas of responsibility may overlap, the overarching expectation is for consultants to act as trusted advisors, supporting the University’s strategic aims while working collaboratively with internal teams, legal advisors, and stakeholders.</w:t>
      </w:r>
    </w:p>
    <w:p w14:paraId="007B4726" w14:textId="77777777" w:rsidR="002D6D80" w:rsidRPr="0037014A" w:rsidRDefault="002D6D80" w:rsidP="002D6D80">
      <w:pPr>
        <w:rPr>
          <w:rFonts w:asciiTheme="minorHAnsi" w:eastAsia="MS Mincho" w:hAnsiTheme="minorHAnsi" w:cstheme="minorHAnsi"/>
          <w:sz w:val="24"/>
          <w:szCs w:val="24"/>
          <w:lang w:val="en-US"/>
        </w:rPr>
      </w:pPr>
      <w:r w:rsidRPr="0037014A">
        <w:rPr>
          <w:rFonts w:asciiTheme="minorHAnsi" w:eastAsia="MS Mincho" w:hAnsiTheme="minorHAnsi" w:cstheme="minorHAnsi"/>
          <w:sz w:val="24"/>
          <w:szCs w:val="24"/>
          <w:lang w:val="en-US"/>
        </w:rPr>
        <w:t>Requirements described as ‘must’ or ‘shall’ are mandatory. Those described as ‘should’ or ‘may’ are desirable and context-dependent.</w:t>
      </w:r>
    </w:p>
    <w:p w14:paraId="14651B01" w14:textId="77777777" w:rsidR="002D6D80" w:rsidRPr="00BB6368" w:rsidRDefault="002D6D80" w:rsidP="002D6D80">
      <w:pPr>
        <w:rPr>
          <w:rFonts w:asciiTheme="minorHAnsi" w:eastAsia="MS Mincho" w:hAnsiTheme="minorHAnsi" w:cstheme="minorHAnsi"/>
          <w:sz w:val="24"/>
          <w:szCs w:val="24"/>
          <w:lang w:val="en-US"/>
        </w:rPr>
      </w:pPr>
      <w:r w:rsidRPr="0037014A">
        <w:rPr>
          <w:rFonts w:asciiTheme="minorHAnsi" w:eastAsia="MS Mincho" w:hAnsiTheme="minorHAnsi" w:cstheme="minorHAnsi"/>
          <w:sz w:val="24"/>
          <w:szCs w:val="24"/>
          <w:lang w:val="en-US"/>
        </w:rPr>
        <w:t>The Institutions may require ad hoc or project-specific work beyond what is listed, provided it is within the industry-standard scope of property consultancy services.</w:t>
      </w:r>
    </w:p>
    <w:p w14:paraId="30D7C794" w14:textId="77777777" w:rsidR="00207E3C" w:rsidRDefault="00207E3C" w:rsidP="00207E3C">
      <w:pPr>
        <w:pStyle w:val="Heading1"/>
        <w:spacing w:before="0" w:after="0" w:line="259" w:lineRule="auto"/>
      </w:pPr>
      <w:r w:rsidRPr="009D1B97">
        <w:t>Service Descriptions and Requirements</w:t>
      </w:r>
    </w:p>
    <w:p w14:paraId="20D17CD4" w14:textId="15250256" w:rsidR="002D6D80" w:rsidRPr="0037014A" w:rsidRDefault="002D6D80" w:rsidP="002D6D80">
      <w:pPr>
        <w:pStyle w:val="Heading2"/>
        <w:rPr>
          <w:rFonts w:eastAsia="MS Mincho"/>
          <w:lang w:val="en-US"/>
        </w:rPr>
      </w:pPr>
      <w:r w:rsidRPr="0037014A">
        <w:rPr>
          <w:rFonts w:eastAsia="MS Gothic"/>
          <w:lang w:val="en-US"/>
        </w:rPr>
        <w:t>Estate Management</w:t>
      </w:r>
    </w:p>
    <w:p w14:paraId="1FAE8B16" w14:textId="77777777" w:rsidR="002D6D80" w:rsidRPr="00BB6368" w:rsidRDefault="002D6D80" w:rsidP="002D6D80">
      <w:pPr>
        <w:pStyle w:val="ListParagraph"/>
        <w:numPr>
          <w:ilvl w:val="0"/>
          <w:numId w:val="24"/>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Budgeting and financial forecasting</w:t>
      </w:r>
    </w:p>
    <w:p w14:paraId="061A9C12" w14:textId="77777777" w:rsidR="002D6D80" w:rsidRPr="00BB6368" w:rsidRDefault="002D6D80" w:rsidP="002D6D80">
      <w:pPr>
        <w:pStyle w:val="ListParagraph"/>
        <w:numPr>
          <w:ilvl w:val="0"/>
          <w:numId w:val="24"/>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Service charge and insurance administration</w:t>
      </w:r>
    </w:p>
    <w:p w14:paraId="45E2002F" w14:textId="77777777" w:rsidR="002D6D80" w:rsidRPr="00BB6368" w:rsidRDefault="002D6D80" w:rsidP="002D6D80">
      <w:pPr>
        <w:pStyle w:val="ListParagraph"/>
        <w:numPr>
          <w:ilvl w:val="0"/>
          <w:numId w:val="24"/>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Maintenance and repair oversight</w:t>
      </w:r>
    </w:p>
    <w:p w14:paraId="0A2DD3E8" w14:textId="77777777" w:rsidR="002D6D80" w:rsidRPr="00BB6368" w:rsidRDefault="002D6D80" w:rsidP="002D6D80">
      <w:pPr>
        <w:pStyle w:val="ListParagraph"/>
        <w:numPr>
          <w:ilvl w:val="0"/>
          <w:numId w:val="24"/>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Vacant property management (inspections, security)</w:t>
      </w:r>
    </w:p>
    <w:p w14:paraId="1B27340A" w14:textId="77777777" w:rsidR="002D6D80" w:rsidRPr="00BB6368" w:rsidRDefault="002D6D80" w:rsidP="002D6D80">
      <w:pPr>
        <w:pStyle w:val="ListParagraph"/>
        <w:numPr>
          <w:ilvl w:val="0"/>
          <w:numId w:val="24"/>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 xml:space="preserve">Revenue </w:t>
      </w:r>
      <w:proofErr w:type="spellStart"/>
      <w:r w:rsidRPr="00BB6368">
        <w:rPr>
          <w:rFonts w:asciiTheme="minorHAnsi" w:eastAsia="MS Mincho" w:hAnsiTheme="minorHAnsi" w:cstheme="minorHAnsi"/>
          <w:sz w:val="24"/>
          <w:szCs w:val="24"/>
          <w:lang w:val="en-US"/>
        </w:rPr>
        <w:t>optimisation</w:t>
      </w:r>
      <w:proofErr w:type="spellEnd"/>
      <w:r w:rsidRPr="00BB6368">
        <w:rPr>
          <w:rFonts w:asciiTheme="minorHAnsi" w:eastAsia="MS Mincho" w:hAnsiTheme="minorHAnsi" w:cstheme="minorHAnsi"/>
          <w:sz w:val="24"/>
          <w:szCs w:val="24"/>
          <w:lang w:val="en-US"/>
        </w:rPr>
        <w:t xml:space="preserve"> and cost control</w:t>
      </w:r>
    </w:p>
    <w:p w14:paraId="4A04256B" w14:textId="77777777" w:rsidR="002D6D80" w:rsidRPr="00BB6368" w:rsidRDefault="002D6D80" w:rsidP="002D6D80">
      <w:pPr>
        <w:pStyle w:val="ListParagraph"/>
        <w:numPr>
          <w:ilvl w:val="0"/>
          <w:numId w:val="24"/>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Tenant liaison and relationship management</w:t>
      </w:r>
    </w:p>
    <w:p w14:paraId="1C1C6625" w14:textId="49058237" w:rsidR="002D6D80" w:rsidRPr="00BB6368" w:rsidRDefault="002D6D80" w:rsidP="002D6D80">
      <w:pPr>
        <w:pStyle w:val="Heading2"/>
        <w:rPr>
          <w:rFonts w:eastAsia="MS Mincho"/>
          <w:lang w:val="en-US"/>
        </w:rPr>
      </w:pPr>
      <w:r w:rsidRPr="00BB6368">
        <w:rPr>
          <w:rFonts w:eastAsia="MS Gothic"/>
          <w:lang w:val="en-US"/>
        </w:rPr>
        <w:t>Property Acquisitions</w:t>
      </w:r>
    </w:p>
    <w:p w14:paraId="08875EFB" w14:textId="77777777" w:rsidR="002D6D80" w:rsidRPr="00BB6368" w:rsidRDefault="002D6D80" w:rsidP="002D6D80">
      <w:pPr>
        <w:pStyle w:val="ListParagraph"/>
        <w:numPr>
          <w:ilvl w:val="0"/>
          <w:numId w:val="25"/>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Identify suitable properties aligned with the Institution’s strategic aims</w:t>
      </w:r>
    </w:p>
    <w:p w14:paraId="4C5365E0" w14:textId="77777777" w:rsidR="002D6D80" w:rsidRPr="00BB6368" w:rsidRDefault="002D6D80" w:rsidP="002D6D80">
      <w:pPr>
        <w:pStyle w:val="ListParagraph"/>
        <w:numPr>
          <w:ilvl w:val="0"/>
          <w:numId w:val="25"/>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lastRenderedPageBreak/>
        <w:t>Undertake due diligence (including surveys and legal reviews)</w:t>
      </w:r>
    </w:p>
    <w:p w14:paraId="36782009" w14:textId="77777777" w:rsidR="002D6D80" w:rsidRPr="00BB6368" w:rsidRDefault="002D6D80" w:rsidP="002D6D80">
      <w:pPr>
        <w:pStyle w:val="ListParagraph"/>
        <w:numPr>
          <w:ilvl w:val="0"/>
          <w:numId w:val="25"/>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Advise on terms and conditions</w:t>
      </w:r>
    </w:p>
    <w:p w14:paraId="3971D50F" w14:textId="77777777" w:rsidR="002D6D80" w:rsidRPr="00BB6368" w:rsidRDefault="002D6D80" w:rsidP="002D6D80">
      <w:pPr>
        <w:pStyle w:val="ListParagraph"/>
        <w:numPr>
          <w:ilvl w:val="0"/>
          <w:numId w:val="25"/>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Lead or support negotiations</w:t>
      </w:r>
    </w:p>
    <w:p w14:paraId="5F07677B" w14:textId="77777777" w:rsidR="002D6D80" w:rsidRPr="00BB6368" w:rsidRDefault="002D6D80" w:rsidP="002D6D80">
      <w:pPr>
        <w:pStyle w:val="ListParagraph"/>
        <w:numPr>
          <w:ilvl w:val="0"/>
          <w:numId w:val="25"/>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Liaise with solicitors and stakeholders</w:t>
      </w:r>
    </w:p>
    <w:p w14:paraId="3A19BB04" w14:textId="77777777" w:rsidR="002D6D80" w:rsidRPr="00BB6368" w:rsidRDefault="002D6D80" w:rsidP="002D6D80">
      <w:pPr>
        <w:pStyle w:val="ListParagraph"/>
        <w:numPr>
          <w:ilvl w:val="0"/>
          <w:numId w:val="25"/>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Prepare business cases and acquisition reports</w:t>
      </w:r>
    </w:p>
    <w:p w14:paraId="0828606C" w14:textId="77777777" w:rsidR="002D6D80" w:rsidRPr="00BB6368" w:rsidRDefault="002D6D80" w:rsidP="002D6D80">
      <w:pPr>
        <w:pStyle w:val="ListParagraph"/>
        <w:numPr>
          <w:ilvl w:val="0"/>
          <w:numId w:val="25"/>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Provide occupancy and suitability assessments</w:t>
      </w:r>
    </w:p>
    <w:p w14:paraId="1007CC28" w14:textId="77777777" w:rsidR="002D6D80" w:rsidRPr="00BB6368" w:rsidRDefault="002D6D80" w:rsidP="002D6D80">
      <w:pPr>
        <w:pStyle w:val="ListParagraph"/>
        <w:tabs>
          <w:tab w:val="num" w:pos="360"/>
        </w:tabs>
        <w:rPr>
          <w:rFonts w:asciiTheme="minorHAnsi" w:eastAsia="MS Mincho" w:hAnsiTheme="minorHAnsi" w:cstheme="minorHAnsi"/>
          <w:sz w:val="24"/>
          <w:szCs w:val="24"/>
          <w:lang w:val="en-US"/>
        </w:rPr>
      </w:pPr>
    </w:p>
    <w:p w14:paraId="162FC17F" w14:textId="77777777" w:rsidR="002D6D80" w:rsidRPr="002D6D80" w:rsidRDefault="002D6D80" w:rsidP="002D6D80">
      <w:pPr>
        <w:pStyle w:val="Heading2"/>
        <w:rPr>
          <w:rFonts w:eastAsia="MS Gothic"/>
          <w:lang w:val="en-US"/>
        </w:rPr>
      </w:pPr>
      <w:r w:rsidRPr="002D6D80">
        <w:rPr>
          <w:rFonts w:eastAsia="MS Gothic"/>
          <w:lang w:val="en-US"/>
        </w:rPr>
        <w:t>Title and Boundary Advice</w:t>
      </w:r>
    </w:p>
    <w:p w14:paraId="411EE9FF" w14:textId="77777777" w:rsidR="002D6D80" w:rsidRPr="00BB6368" w:rsidRDefault="002D6D80" w:rsidP="002D6D80">
      <w:pPr>
        <w:pStyle w:val="ListParagraph"/>
        <w:ind w:left="360"/>
        <w:rPr>
          <w:rFonts w:asciiTheme="minorHAnsi" w:eastAsia="MS Mincho" w:hAnsiTheme="minorHAnsi" w:cstheme="minorHAnsi"/>
          <w:sz w:val="24"/>
          <w:szCs w:val="24"/>
          <w:lang w:val="en-US"/>
        </w:rPr>
      </w:pPr>
    </w:p>
    <w:p w14:paraId="5A03B2B4" w14:textId="77777777" w:rsidR="002D6D80" w:rsidRPr="00BB6368" w:rsidRDefault="002D6D80" w:rsidP="002D6D80">
      <w:pPr>
        <w:pStyle w:val="ListParagraph"/>
        <w:numPr>
          <w:ilvl w:val="0"/>
          <w:numId w:val="28"/>
        </w:numPr>
        <w:tabs>
          <w:tab w:val="num" w:pos="720"/>
        </w:tabs>
        <w:ind w:left="1080"/>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Reviewing and interpreting legal property documentation</w:t>
      </w:r>
    </w:p>
    <w:p w14:paraId="5AEB7FC7" w14:textId="77777777" w:rsidR="002D6D80" w:rsidRPr="00BB6368" w:rsidRDefault="002D6D80" w:rsidP="002D6D80">
      <w:pPr>
        <w:pStyle w:val="ListParagraph"/>
        <w:numPr>
          <w:ilvl w:val="0"/>
          <w:numId w:val="26"/>
        </w:numPr>
        <w:tabs>
          <w:tab w:val="num" w:pos="720"/>
        </w:tabs>
        <w:ind w:left="1080"/>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Advising on registration, amendments, and rectifications</w:t>
      </w:r>
    </w:p>
    <w:p w14:paraId="1791CDB6" w14:textId="77777777" w:rsidR="002D6D80" w:rsidRPr="00BB6368" w:rsidRDefault="002D6D80" w:rsidP="002D6D80">
      <w:pPr>
        <w:pStyle w:val="ListParagraph"/>
        <w:numPr>
          <w:ilvl w:val="0"/>
          <w:numId w:val="26"/>
        </w:numPr>
        <w:tabs>
          <w:tab w:val="num" w:pos="720"/>
        </w:tabs>
        <w:ind w:left="1080"/>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Assisting with or managing disputes with third parties</w:t>
      </w:r>
    </w:p>
    <w:p w14:paraId="4F8D7F7B" w14:textId="77777777" w:rsidR="002D6D80" w:rsidRPr="00BB6368" w:rsidRDefault="002D6D80" w:rsidP="002D6D80">
      <w:pPr>
        <w:pStyle w:val="ListParagraph"/>
        <w:numPr>
          <w:ilvl w:val="0"/>
          <w:numId w:val="26"/>
        </w:numPr>
        <w:tabs>
          <w:tab w:val="num" w:pos="720"/>
        </w:tabs>
        <w:ind w:left="1080"/>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Producing factual summary reports, action plans, and negotiation strategies</w:t>
      </w:r>
    </w:p>
    <w:p w14:paraId="02606CA7" w14:textId="77777777" w:rsidR="002D6D80" w:rsidRPr="00BB6368" w:rsidRDefault="002D6D80" w:rsidP="002D6D80">
      <w:pPr>
        <w:pStyle w:val="ListParagraph"/>
        <w:numPr>
          <w:ilvl w:val="0"/>
          <w:numId w:val="26"/>
        </w:numPr>
        <w:tabs>
          <w:tab w:val="num" w:pos="720"/>
        </w:tabs>
        <w:ind w:left="1080"/>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Supporting resolution through negotiation or legal processes</w:t>
      </w:r>
    </w:p>
    <w:p w14:paraId="4834E369" w14:textId="7ED46783" w:rsidR="002D6D80" w:rsidRPr="00BB6368" w:rsidRDefault="002D6D80" w:rsidP="002D6D80">
      <w:pPr>
        <w:pStyle w:val="Heading2"/>
        <w:rPr>
          <w:rFonts w:eastAsia="MS Mincho"/>
          <w:lang w:val="en-US"/>
        </w:rPr>
      </w:pPr>
      <w:r w:rsidRPr="00BB6368">
        <w:rPr>
          <w:rFonts w:eastAsia="MS Gothic"/>
          <w:lang w:val="en-US"/>
        </w:rPr>
        <w:t>Rent Reviews</w:t>
      </w:r>
    </w:p>
    <w:p w14:paraId="30051B73" w14:textId="77777777" w:rsidR="002D6D80" w:rsidRPr="00BB6368" w:rsidRDefault="002D6D80" w:rsidP="002D6D80">
      <w:pPr>
        <w:pStyle w:val="ListParagraph"/>
        <w:numPr>
          <w:ilvl w:val="0"/>
          <w:numId w:val="29"/>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Provide an initial report with background analysis, risk, and options</w:t>
      </w:r>
    </w:p>
    <w:p w14:paraId="4EFACF43" w14:textId="77777777" w:rsidR="002D6D80" w:rsidRPr="00BB6368" w:rsidRDefault="002D6D80" w:rsidP="002D6D80">
      <w:pPr>
        <w:pStyle w:val="ListParagraph"/>
        <w:numPr>
          <w:ilvl w:val="0"/>
          <w:numId w:val="29"/>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Lead or support negotiations to reach a fair market settlement</w:t>
      </w:r>
    </w:p>
    <w:p w14:paraId="06EE17EF" w14:textId="77777777" w:rsidR="002D6D80" w:rsidRPr="00BB6368" w:rsidRDefault="002D6D80" w:rsidP="002D6D80">
      <w:pPr>
        <w:pStyle w:val="ListParagraph"/>
        <w:numPr>
          <w:ilvl w:val="0"/>
          <w:numId w:val="29"/>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Advise on appropriate lease terms and ensure documentation is clear and aligned with University policy</w:t>
      </w:r>
    </w:p>
    <w:p w14:paraId="7718D016" w14:textId="77777777" w:rsidR="002D6D80" w:rsidRPr="00BB6368" w:rsidRDefault="002D6D80" w:rsidP="002D6D80">
      <w:pPr>
        <w:pStyle w:val="ListParagraph"/>
        <w:numPr>
          <w:ilvl w:val="0"/>
          <w:numId w:val="29"/>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Produce a final recommendation report with supporting rationale</w:t>
      </w:r>
    </w:p>
    <w:p w14:paraId="1903512D" w14:textId="77777777" w:rsidR="002D6D80" w:rsidRDefault="002D6D80" w:rsidP="002D6D80">
      <w:pPr>
        <w:pStyle w:val="ListParagraph"/>
        <w:numPr>
          <w:ilvl w:val="0"/>
          <w:numId w:val="29"/>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Coordinate with legal advisers as required</w:t>
      </w:r>
    </w:p>
    <w:p w14:paraId="5ED4C19A" w14:textId="171D945A" w:rsidR="002D6D80" w:rsidRPr="002D6D80" w:rsidRDefault="002D6D80" w:rsidP="002D6D80">
      <w:pPr>
        <w:pStyle w:val="Heading2"/>
        <w:rPr>
          <w:rFonts w:eastAsia="MS Mincho"/>
          <w:lang w:val="en-US"/>
        </w:rPr>
      </w:pPr>
      <w:r>
        <w:rPr>
          <w:rFonts w:eastAsia="MS Gothic"/>
          <w:lang w:val="en-US"/>
        </w:rPr>
        <w:t>L</w:t>
      </w:r>
      <w:r w:rsidRPr="002D6D80">
        <w:rPr>
          <w:rFonts w:eastAsia="MS Gothic"/>
          <w:lang w:val="en-US"/>
        </w:rPr>
        <w:t>ease Management and Lettings</w:t>
      </w:r>
    </w:p>
    <w:p w14:paraId="231406D1" w14:textId="77777777" w:rsidR="002D6D80" w:rsidRPr="00BB6368" w:rsidRDefault="002D6D80" w:rsidP="002D6D80">
      <w:pPr>
        <w:pStyle w:val="ListParagraph"/>
        <w:rPr>
          <w:rFonts w:asciiTheme="minorHAnsi" w:eastAsia="MS Mincho" w:hAnsiTheme="minorHAnsi" w:cstheme="minorHAnsi"/>
          <w:sz w:val="24"/>
          <w:szCs w:val="24"/>
          <w:lang w:val="en-US"/>
        </w:rPr>
      </w:pPr>
    </w:p>
    <w:p w14:paraId="5256398B" w14:textId="77777777" w:rsidR="002D6D80" w:rsidRPr="00BB6368" w:rsidRDefault="002D6D80" w:rsidP="002D6D80">
      <w:pPr>
        <w:pStyle w:val="ListParagraph"/>
        <w:numPr>
          <w:ilvl w:val="0"/>
          <w:numId w:val="30"/>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Receive, record, and respond to letting enquiries</w:t>
      </w:r>
    </w:p>
    <w:p w14:paraId="50EA7D7C" w14:textId="77777777" w:rsidR="002D6D80" w:rsidRPr="00BB6368" w:rsidRDefault="002D6D80" w:rsidP="002D6D80">
      <w:pPr>
        <w:pStyle w:val="ListParagraph"/>
        <w:numPr>
          <w:ilvl w:val="0"/>
          <w:numId w:val="30"/>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Manage lease negotiations and advise on FRI, IRO, or ground leases</w:t>
      </w:r>
    </w:p>
    <w:p w14:paraId="4EDCDEC7" w14:textId="77777777" w:rsidR="002D6D80" w:rsidRPr="00BB6368" w:rsidRDefault="002D6D80" w:rsidP="002D6D80">
      <w:pPr>
        <w:pStyle w:val="ListParagraph"/>
        <w:numPr>
          <w:ilvl w:val="0"/>
          <w:numId w:val="30"/>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Carry out tenant vetting (e.g. credit checks and references)</w:t>
      </w:r>
    </w:p>
    <w:p w14:paraId="0A5B653E" w14:textId="77777777" w:rsidR="002D6D80" w:rsidRPr="00BB6368" w:rsidRDefault="002D6D80" w:rsidP="002D6D80">
      <w:pPr>
        <w:pStyle w:val="ListParagraph"/>
        <w:numPr>
          <w:ilvl w:val="0"/>
          <w:numId w:val="30"/>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Prepare and agree Heads of Terms and lease plans (aligned with land registry and legal standards)</w:t>
      </w:r>
    </w:p>
    <w:p w14:paraId="6F47B30B" w14:textId="77777777" w:rsidR="002D6D80" w:rsidRPr="00BB6368" w:rsidRDefault="002D6D80" w:rsidP="002D6D80">
      <w:pPr>
        <w:pStyle w:val="ListParagraph"/>
        <w:numPr>
          <w:ilvl w:val="0"/>
          <w:numId w:val="30"/>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Manage lease renewals and ensure adequate notice periods</w:t>
      </w:r>
    </w:p>
    <w:p w14:paraId="2CAC9DB1" w14:textId="77777777" w:rsidR="002D6D80" w:rsidRPr="00BB6368" w:rsidRDefault="002D6D80" w:rsidP="002D6D80">
      <w:pPr>
        <w:pStyle w:val="ListParagraph"/>
        <w:numPr>
          <w:ilvl w:val="0"/>
          <w:numId w:val="30"/>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Ensure tenant insurance obligations and statutory compliance</w:t>
      </w:r>
    </w:p>
    <w:p w14:paraId="752A49F7" w14:textId="77777777" w:rsidR="002D6D80" w:rsidRPr="00BB6368" w:rsidRDefault="002D6D80" w:rsidP="002D6D80">
      <w:pPr>
        <w:pStyle w:val="ListParagraph"/>
        <w:numPr>
          <w:ilvl w:val="0"/>
          <w:numId w:val="30"/>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Support the client in instructing legal services and completing lease documentation</w:t>
      </w:r>
    </w:p>
    <w:p w14:paraId="7264918C" w14:textId="77777777" w:rsidR="002D6D80" w:rsidRPr="00BB6368" w:rsidRDefault="002D6D80" w:rsidP="002D6D80">
      <w:pPr>
        <w:pStyle w:val="ListParagraph"/>
        <w:numPr>
          <w:ilvl w:val="0"/>
          <w:numId w:val="30"/>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Ensure regular reporting and proactive identification of renewals or vacant opportunities</w:t>
      </w:r>
    </w:p>
    <w:p w14:paraId="17309BC7" w14:textId="1765944C" w:rsidR="002D6D80" w:rsidRPr="0037014A" w:rsidRDefault="002D6D80" w:rsidP="002D6D80">
      <w:pPr>
        <w:pStyle w:val="Heading2"/>
        <w:rPr>
          <w:rFonts w:eastAsia="MS Gothic"/>
          <w:lang w:val="en-US"/>
        </w:rPr>
      </w:pPr>
      <w:r w:rsidRPr="0037014A">
        <w:rPr>
          <w:rFonts w:eastAsia="MS Gothic"/>
          <w:lang w:val="en-US"/>
        </w:rPr>
        <w:t>Property Sales and Disposals</w:t>
      </w:r>
    </w:p>
    <w:p w14:paraId="3ED4D4C5" w14:textId="77777777" w:rsidR="002D6D80" w:rsidRPr="00BB6368" w:rsidRDefault="002D6D80" w:rsidP="002D6D80">
      <w:pPr>
        <w:pStyle w:val="ListParagraph"/>
        <w:rPr>
          <w:rFonts w:asciiTheme="minorHAnsi" w:eastAsia="MS Mincho" w:hAnsiTheme="minorHAnsi" w:cstheme="minorHAnsi"/>
          <w:sz w:val="24"/>
          <w:szCs w:val="24"/>
          <w:lang w:val="en-US"/>
        </w:rPr>
      </w:pPr>
    </w:p>
    <w:p w14:paraId="05F35B3E" w14:textId="77777777" w:rsidR="002D6D80" w:rsidRPr="00BB6368" w:rsidRDefault="002D6D80" w:rsidP="002D6D80">
      <w:pPr>
        <w:pStyle w:val="ListParagraph"/>
        <w:numPr>
          <w:ilvl w:val="0"/>
          <w:numId w:val="31"/>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Provide market valuation, costs, income forecasts, and risk analysis</w:t>
      </w:r>
    </w:p>
    <w:p w14:paraId="64000C8C" w14:textId="77777777" w:rsidR="002D6D80" w:rsidRPr="00BB6368" w:rsidRDefault="002D6D80" w:rsidP="002D6D80">
      <w:pPr>
        <w:pStyle w:val="ListParagraph"/>
        <w:numPr>
          <w:ilvl w:val="0"/>
          <w:numId w:val="31"/>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lastRenderedPageBreak/>
        <w:t xml:space="preserve">Advise on </w:t>
      </w:r>
      <w:proofErr w:type="spellStart"/>
      <w:r w:rsidRPr="00BB6368">
        <w:rPr>
          <w:rFonts w:asciiTheme="minorHAnsi" w:eastAsia="MS Mincho" w:hAnsiTheme="minorHAnsi" w:cstheme="minorHAnsi"/>
          <w:sz w:val="24"/>
          <w:szCs w:val="24"/>
          <w:lang w:val="en-US"/>
        </w:rPr>
        <w:t>clawback</w:t>
      </w:r>
      <w:proofErr w:type="spellEnd"/>
      <w:r w:rsidRPr="00BB6368">
        <w:rPr>
          <w:rFonts w:asciiTheme="minorHAnsi" w:eastAsia="MS Mincho" w:hAnsiTheme="minorHAnsi" w:cstheme="minorHAnsi"/>
          <w:sz w:val="24"/>
          <w:szCs w:val="24"/>
          <w:lang w:val="en-US"/>
        </w:rPr>
        <w:t xml:space="preserve"> or overage clauses</w:t>
      </w:r>
    </w:p>
    <w:p w14:paraId="70EE4B72" w14:textId="77777777" w:rsidR="002D6D80" w:rsidRPr="00BB6368" w:rsidRDefault="002D6D80" w:rsidP="002D6D80">
      <w:pPr>
        <w:pStyle w:val="ListParagraph"/>
        <w:numPr>
          <w:ilvl w:val="0"/>
          <w:numId w:val="31"/>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Market the property, negotiate terms, and engage with buyers</w:t>
      </w:r>
    </w:p>
    <w:p w14:paraId="00D14689" w14:textId="77777777" w:rsidR="002D6D80" w:rsidRPr="00BB6368" w:rsidRDefault="002D6D80" w:rsidP="002D6D80">
      <w:pPr>
        <w:pStyle w:val="ListParagraph"/>
        <w:numPr>
          <w:ilvl w:val="0"/>
          <w:numId w:val="31"/>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Liaise with solicitors to progress to completion</w:t>
      </w:r>
    </w:p>
    <w:p w14:paraId="778B9B75" w14:textId="77777777" w:rsidR="002D6D80" w:rsidRPr="00BB6368" w:rsidRDefault="002D6D80" w:rsidP="002D6D80">
      <w:pPr>
        <w:pStyle w:val="ListParagraph"/>
        <w:numPr>
          <w:ilvl w:val="0"/>
          <w:numId w:val="31"/>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Provide a final disposal report</w:t>
      </w:r>
    </w:p>
    <w:p w14:paraId="41D7BF5B" w14:textId="24C141A2" w:rsidR="002D6D80" w:rsidRPr="0037014A" w:rsidRDefault="002D6D80" w:rsidP="002D6D80">
      <w:pPr>
        <w:pStyle w:val="Heading2"/>
        <w:rPr>
          <w:rFonts w:eastAsia="MS Gothic"/>
          <w:lang w:val="en-US"/>
        </w:rPr>
      </w:pPr>
      <w:r w:rsidRPr="0037014A">
        <w:rPr>
          <w:rFonts w:eastAsia="MS Gothic"/>
          <w:lang w:val="en-US"/>
        </w:rPr>
        <w:t>Valuation Service</w:t>
      </w:r>
      <w:r w:rsidRPr="00BB6368">
        <w:rPr>
          <w:rFonts w:eastAsia="MS Gothic"/>
          <w:lang w:val="en-US"/>
        </w:rPr>
        <w:t>s</w:t>
      </w:r>
    </w:p>
    <w:p w14:paraId="0CD4E200" w14:textId="77777777" w:rsidR="002D6D80" w:rsidRPr="00BB6368" w:rsidRDefault="002D6D80" w:rsidP="002D6D80">
      <w:pPr>
        <w:pStyle w:val="ListParagraph"/>
        <w:rPr>
          <w:rFonts w:asciiTheme="minorHAnsi" w:eastAsia="MS Mincho" w:hAnsiTheme="minorHAnsi" w:cstheme="minorHAnsi"/>
          <w:sz w:val="24"/>
          <w:szCs w:val="24"/>
          <w:lang w:val="en-US"/>
        </w:rPr>
      </w:pPr>
    </w:p>
    <w:p w14:paraId="5DEEC89B" w14:textId="77777777" w:rsidR="002D6D80" w:rsidRPr="00BB6368" w:rsidRDefault="002D6D80" w:rsidP="002D6D80">
      <w:pPr>
        <w:pStyle w:val="ListParagraph"/>
        <w:numPr>
          <w:ilvl w:val="0"/>
          <w:numId w:val="32"/>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Market value</w:t>
      </w:r>
    </w:p>
    <w:p w14:paraId="2C92BB66" w14:textId="77777777" w:rsidR="002D6D80" w:rsidRPr="00BB6368" w:rsidRDefault="002D6D80" w:rsidP="002D6D80">
      <w:pPr>
        <w:pStyle w:val="ListParagraph"/>
        <w:numPr>
          <w:ilvl w:val="0"/>
          <w:numId w:val="32"/>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Insurance purposes</w:t>
      </w:r>
    </w:p>
    <w:p w14:paraId="142C10C6" w14:textId="77777777" w:rsidR="002D6D80" w:rsidRPr="00BB6368" w:rsidRDefault="002D6D80" w:rsidP="002D6D80">
      <w:pPr>
        <w:pStyle w:val="ListParagraph"/>
        <w:numPr>
          <w:ilvl w:val="0"/>
          <w:numId w:val="32"/>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Asset and financial reporting</w:t>
      </w:r>
    </w:p>
    <w:p w14:paraId="798C31CD" w14:textId="77777777" w:rsidR="002D6D80" w:rsidRPr="0037014A" w:rsidRDefault="002D6D80" w:rsidP="002D6D80">
      <w:pPr>
        <w:rPr>
          <w:rFonts w:asciiTheme="minorHAnsi" w:eastAsia="MS Mincho" w:hAnsiTheme="minorHAnsi" w:cstheme="minorHAnsi"/>
          <w:sz w:val="24"/>
          <w:szCs w:val="24"/>
          <w:lang w:val="en-US"/>
        </w:rPr>
      </w:pPr>
      <w:r w:rsidRPr="0037014A">
        <w:rPr>
          <w:rFonts w:asciiTheme="minorHAnsi" w:eastAsia="MS Mincho" w:hAnsiTheme="minorHAnsi" w:cstheme="minorHAnsi"/>
          <w:sz w:val="24"/>
          <w:szCs w:val="24"/>
          <w:lang w:val="en-US"/>
        </w:rPr>
        <w:t xml:space="preserve">All valuations must comply with the most current edition of the RICS Valuation – Global Standards (Red Book) and relevant public sector financial reporting standards. Reports must include full justification and </w:t>
      </w:r>
      <w:proofErr w:type="spellStart"/>
      <w:r w:rsidRPr="0037014A">
        <w:rPr>
          <w:rFonts w:asciiTheme="minorHAnsi" w:eastAsia="MS Mincho" w:hAnsiTheme="minorHAnsi" w:cstheme="minorHAnsi"/>
          <w:sz w:val="24"/>
          <w:szCs w:val="24"/>
          <w:lang w:val="en-US"/>
        </w:rPr>
        <w:t>comparables</w:t>
      </w:r>
      <w:proofErr w:type="spellEnd"/>
      <w:r w:rsidRPr="0037014A">
        <w:rPr>
          <w:rFonts w:asciiTheme="minorHAnsi" w:eastAsia="MS Mincho" w:hAnsiTheme="minorHAnsi" w:cstheme="minorHAnsi"/>
          <w:sz w:val="24"/>
          <w:szCs w:val="24"/>
          <w:lang w:val="en-US"/>
        </w:rPr>
        <w:t xml:space="preserve"> and align with the Institutions’ accounting requirements.</w:t>
      </w:r>
    </w:p>
    <w:p w14:paraId="125F7651" w14:textId="0F3492C1" w:rsidR="002D6D80" w:rsidRPr="0037014A" w:rsidRDefault="002D6D80" w:rsidP="002D6D80">
      <w:pPr>
        <w:pStyle w:val="Heading2"/>
        <w:rPr>
          <w:rFonts w:eastAsia="MS Gothic"/>
          <w:lang w:val="en-US"/>
        </w:rPr>
      </w:pPr>
      <w:r w:rsidRPr="0037014A">
        <w:rPr>
          <w:rFonts w:eastAsia="MS Gothic"/>
          <w:lang w:val="en-US"/>
        </w:rPr>
        <w:t>Contract Management and Relationship Development</w:t>
      </w:r>
    </w:p>
    <w:p w14:paraId="734ACA2E" w14:textId="77777777" w:rsidR="002D6D80" w:rsidRPr="00BB6368" w:rsidRDefault="002D6D80" w:rsidP="002D6D80">
      <w:pPr>
        <w:pStyle w:val="ListParagraph"/>
        <w:rPr>
          <w:rFonts w:asciiTheme="minorHAnsi" w:eastAsia="MS Mincho" w:hAnsiTheme="minorHAnsi" w:cstheme="minorHAnsi"/>
          <w:sz w:val="24"/>
          <w:szCs w:val="24"/>
          <w:lang w:val="en-US"/>
        </w:rPr>
      </w:pPr>
    </w:p>
    <w:p w14:paraId="173B2EDD" w14:textId="77777777" w:rsidR="002D6D80" w:rsidRPr="00BB6368" w:rsidRDefault="002D6D80" w:rsidP="002D6D80">
      <w:pPr>
        <w:pStyle w:val="ListParagraph"/>
        <w:numPr>
          <w:ilvl w:val="0"/>
          <w:numId w:val="33"/>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Consultant performance and KPIs</w:t>
      </w:r>
    </w:p>
    <w:p w14:paraId="54819A58" w14:textId="77777777" w:rsidR="002D6D80" w:rsidRPr="00BB6368" w:rsidRDefault="002D6D80" w:rsidP="002D6D80">
      <w:pPr>
        <w:pStyle w:val="ListParagraph"/>
        <w:numPr>
          <w:ilvl w:val="0"/>
          <w:numId w:val="33"/>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Project updates and emerging issues</w:t>
      </w:r>
    </w:p>
    <w:p w14:paraId="0B0AF571" w14:textId="77777777" w:rsidR="002D6D80" w:rsidRPr="00BB6368" w:rsidRDefault="002D6D80" w:rsidP="002D6D80">
      <w:pPr>
        <w:pStyle w:val="ListParagraph"/>
        <w:numPr>
          <w:ilvl w:val="0"/>
          <w:numId w:val="33"/>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Continuous improvement opportunities</w:t>
      </w:r>
    </w:p>
    <w:p w14:paraId="3E76B0DD" w14:textId="77777777" w:rsidR="002D6D80" w:rsidRPr="00BB6368" w:rsidRDefault="002D6D80" w:rsidP="002D6D80">
      <w:pPr>
        <w:pStyle w:val="ListParagraph"/>
        <w:numPr>
          <w:ilvl w:val="0"/>
          <w:numId w:val="33"/>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Two-way feedback</w:t>
      </w:r>
    </w:p>
    <w:p w14:paraId="6A6BECB1" w14:textId="77777777" w:rsidR="002D6D80" w:rsidRPr="00BB6368" w:rsidRDefault="002D6D80" w:rsidP="002D6D80">
      <w:pPr>
        <w:rPr>
          <w:rFonts w:asciiTheme="minorHAnsi" w:eastAsia="MS Mincho" w:hAnsiTheme="minorHAnsi" w:cstheme="minorHAnsi"/>
          <w:sz w:val="24"/>
          <w:szCs w:val="24"/>
          <w:lang w:val="en-US"/>
        </w:rPr>
      </w:pPr>
      <w:r w:rsidRPr="0037014A">
        <w:rPr>
          <w:rFonts w:asciiTheme="minorHAnsi" w:eastAsia="MS Mincho" w:hAnsiTheme="minorHAnsi" w:cstheme="minorHAnsi"/>
          <w:sz w:val="24"/>
          <w:szCs w:val="24"/>
          <w:lang w:val="en-US"/>
        </w:rPr>
        <w:t>The University values partnership and encourages open communication, proactive engagement, and knowledge sharing across the consultancy relationship.</w:t>
      </w:r>
    </w:p>
    <w:p w14:paraId="3418A89A" w14:textId="77777777" w:rsidR="002D6D80" w:rsidRPr="0037014A" w:rsidRDefault="002D6D80" w:rsidP="002D6D80">
      <w:pPr>
        <w:pStyle w:val="Heading1"/>
        <w:rPr>
          <w:rFonts w:eastAsia="MS Mincho"/>
          <w:lang w:val="en-US"/>
        </w:rPr>
      </w:pPr>
      <w:r w:rsidRPr="0037014A">
        <w:rPr>
          <w:rFonts w:eastAsia="MS Gothic"/>
          <w:lang w:val="en-US"/>
        </w:rPr>
        <w:t>Skills, Expertise and Collaboration</w:t>
      </w:r>
    </w:p>
    <w:p w14:paraId="3108F0C4" w14:textId="77777777" w:rsidR="002D6D80" w:rsidRPr="00BB6368" w:rsidRDefault="002D6D80" w:rsidP="002D6D80">
      <w:pPr>
        <w:pStyle w:val="ListParagraph"/>
        <w:numPr>
          <w:ilvl w:val="0"/>
          <w:numId w:val="34"/>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Possess relevant qualifications and professional accreditations (e.g. MRICS, AssocRICS, IRRV, etc.)</w:t>
      </w:r>
    </w:p>
    <w:p w14:paraId="3F095A5B" w14:textId="77777777" w:rsidR="002D6D80" w:rsidRPr="00BB6368" w:rsidRDefault="002D6D80" w:rsidP="002D6D80">
      <w:pPr>
        <w:pStyle w:val="ListParagraph"/>
        <w:numPr>
          <w:ilvl w:val="0"/>
          <w:numId w:val="34"/>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Demonstrate strong communication and stakeholder engagement skills</w:t>
      </w:r>
    </w:p>
    <w:p w14:paraId="64DC3604" w14:textId="77777777" w:rsidR="002D6D80" w:rsidRPr="00BB6368" w:rsidRDefault="002D6D80" w:rsidP="002D6D80">
      <w:pPr>
        <w:pStyle w:val="ListParagraph"/>
        <w:numPr>
          <w:ilvl w:val="0"/>
          <w:numId w:val="34"/>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Be able to provide clear, evidence-based advice to both technical and non-technical audiences</w:t>
      </w:r>
    </w:p>
    <w:p w14:paraId="6F1112F0" w14:textId="77777777" w:rsidR="002D6D80" w:rsidRPr="00BB6368" w:rsidRDefault="002D6D80" w:rsidP="002D6D80">
      <w:pPr>
        <w:pStyle w:val="ListParagraph"/>
        <w:numPr>
          <w:ilvl w:val="0"/>
          <w:numId w:val="34"/>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Be familiar with the Welsh Procurement Act 2023 and demonstrate principles of fair work, sustainability, and value for money</w:t>
      </w:r>
    </w:p>
    <w:p w14:paraId="7D107912" w14:textId="77777777" w:rsidR="002D6D80" w:rsidRPr="00BB6368" w:rsidRDefault="002D6D80" w:rsidP="002D6D80">
      <w:pPr>
        <w:pStyle w:val="ListParagraph"/>
        <w:numPr>
          <w:ilvl w:val="0"/>
          <w:numId w:val="34"/>
        </w:numPr>
        <w:tabs>
          <w:tab w:val="num" w:pos="360"/>
        </w:tabs>
        <w:rPr>
          <w:rFonts w:asciiTheme="minorHAnsi" w:eastAsia="MS Mincho" w:hAnsiTheme="minorHAnsi" w:cstheme="minorHAnsi"/>
          <w:sz w:val="24"/>
          <w:szCs w:val="24"/>
          <w:lang w:val="en-US"/>
        </w:rPr>
      </w:pPr>
      <w:r w:rsidRPr="00BB6368">
        <w:rPr>
          <w:rFonts w:asciiTheme="minorHAnsi" w:eastAsia="MS Mincho" w:hAnsiTheme="minorHAnsi" w:cstheme="minorHAnsi"/>
          <w:sz w:val="24"/>
          <w:szCs w:val="24"/>
          <w:lang w:val="en-US"/>
        </w:rPr>
        <w:t>Be willing to collaborate with internal departments (Legal, Finance, Estates, Planning) and third parties as part of a broader project or asset strategy</w:t>
      </w:r>
    </w:p>
    <w:p w14:paraId="1C2A445E" w14:textId="77777777" w:rsidR="00207E3C" w:rsidRPr="00207E3C" w:rsidRDefault="00207E3C" w:rsidP="00207E3C"/>
    <w:p w14:paraId="011B5FAC" w14:textId="77777777" w:rsidR="005D0B15" w:rsidRPr="009D1B97" w:rsidRDefault="005D0B15" w:rsidP="002D6D80">
      <w:pPr>
        <w:pStyle w:val="Heading1"/>
        <w:numPr>
          <w:ilvl w:val="0"/>
          <w:numId w:val="0"/>
        </w:numPr>
        <w:ind w:left="432" w:hanging="432"/>
      </w:pPr>
      <w:r w:rsidRPr="009D1B97">
        <w:lastRenderedPageBreak/>
        <w:t>Collaborative Working and Governance</w:t>
      </w:r>
    </w:p>
    <w:p w14:paraId="1231EF67" w14:textId="77777777" w:rsidR="005D0B15" w:rsidRPr="009D1B97" w:rsidRDefault="005D0B15" w:rsidP="005D0B15">
      <w:pPr>
        <w:rPr>
          <w:rFonts w:cs="Calibri"/>
          <w:sz w:val="24"/>
          <w:szCs w:val="24"/>
        </w:rPr>
      </w:pPr>
      <w:r w:rsidRPr="009D1B97">
        <w:rPr>
          <w:rFonts w:cs="Calibri"/>
          <w:sz w:val="24"/>
          <w:szCs w:val="24"/>
        </w:rPr>
        <w:t>Consultants appointed under this Lot will be expected to work collaboratively with Institutions, fostering openness, knowledge sharing, and joint problem-solving. Core expectations include:</w:t>
      </w:r>
    </w:p>
    <w:p w14:paraId="20B9F273" w14:textId="77777777" w:rsidR="005D0B15" w:rsidRPr="009D1B97" w:rsidRDefault="005D0B15" w:rsidP="005D0B15">
      <w:pPr>
        <w:numPr>
          <w:ilvl w:val="0"/>
          <w:numId w:val="21"/>
        </w:numPr>
        <w:spacing w:after="160" w:line="259" w:lineRule="auto"/>
        <w:rPr>
          <w:rFonts w:cs="Calibri"/>
          <w:sz w:val="24"/>
          <w:szCs w:val="24"/>
        </w:rPr>
      </w:pPr>
      <w:r w:rsidRPr="009D1B97">
        <w:rPr>
          <w:rFonts w:cs="Calibri"/>
          <w:sz w:val="24"/>
          <w:szCs w:val="24"/>
        </w:rPr>
        <w:t>Engaging constructively with internal client roles, including the Investment Decision Maker (IDM), Senior Responsible Owner (SRO), and Client Project Manager (CPM)</w:t>
      </w:r>
    </w:p>
    <w:p w14:paraId="1896F551" w14:textId="77777777" w:rsidR="005D0B15" w:rsidRPr="009D1B97" w:rsidRDefault="005D0B15" w:rsidP="005D0B15">
      <w:pPr>
        <w:numPr>
          <w:ilvl w:val="0"/>
          <w:numId w:val="21"/>
        </w:numPr>
        <w:spacing w:after="160" w:line="259" w:lineRule="auto"/>
        <w:rPr>
          <w:rFonts w:cs="Calibri"/>
          <w:sz w:val="24"/>
          <w:szCs w:val="24"/>
        </w:rPr>
      </w:pPr>
      <w:r w:rsidRPr="009D1B97">
        <w:rPr>
          <w:rFonts w:cs="Calibri"/>
          <w:sz w:val="24"/>
          <w:szCs w:val="24"/>
        </w:rPr>
        <w:t>Supporting cross-functional delivery involving stakeholders from Estates, Procurement, Finance, and Academic departments</w:t>
      </w:r>
    </w:p>
    <w:p w14:paraId="724DE3DA" w14:textId="77777777" w:rsidR="005D0B15" w:rsidRPr="009D1B97" w:rsidRDefault="005D0B15" w:rsidP="005D0B15">
      <w:pPr>
        <w:numPr>
          <w:ilvl w:val="0"/>
          <w:numId w:val="21"/>
        </w:numPr>
        <w:spacing w:after="160" w:line="259" w:lineRule="auto"/>
        <w:rPr>
          <w:rFonts w:cs="Calibri"/>
          <w:sz w:val="24"/>
          <w:szCs w:val="24"/>
        </w:rPr>
      </w:pPr>
      <w:r w:rsidRPr="009D1B97">
        <w:rPr>
          <w:rFonts w:cs="Calibri"/>
          <w:sz w:val="24"/>
          <w:szCs w:val="24"/>
        </w:rPr>
        <w:t>Representing the Institution in communications with contractors, regulators, and external partners</w:t>
      </w:r>
    </w:p>
    <w:p w14:paraId="312B05F7" w14:textId="77777777" w:rsidR="005D0B15" w:rsidRPr="009D1B97" w:rsidRDefault="005D0B15" w:rsidP="005D0B15">
      <w:pPr>
        <w:numPr>
          <w:ilvl w:val="0"/>
          <w:numId w:val="21"/>
        </w:numPr>
        <w:spacing w:after="160" w:line="259" w:lineRule="auto"/>
        <w:rPr>
          <w:rFonts w:cs="Calibri"/>
          <w:sz w:val="24"/>
          <w:szCs w:val="24"/>
        </w:rPr>
      </w:pPr>
      <w:r w:rsidRPr="009D1B97">
        <w:rPr>
          <w:rFonts w:cs="Calibri"/>
          <w:sz w:val="24"/>
          <w:szCs w:val="24"/>
        </w:rPr>
        <w:t>Supporting post-project reflection, continuous improvement, and knowledge transfer</w:t>
      </w:r>
    </w:p>
    <w:p w14:paraId="5A9095D8" w14:textId="77777777" w:rsidR="005D0B15" w:rsidRDefault="005D0B15" w:rsidP="005D0B15">
      <w:pPr>
        <w:rPr>
          <w:rFonts w:cs="Calibri"/>
          <w:sz w:val="24"/>
          <w:szCs w:val="24"/>
        </w:rPr>
      </w:pPr>
      <w:r w:rsidRPr="009D1B97">
        <w:rPr>
          <w:rFonts w:cs="Calibri"/>
          <w:sz w:val="24"/>
          <w:szCs w:val="24"/>
        </w:rPr>
        <w:t>The appointed Consultant will play an essential role in facilitating communication and trust among all parties, helping to align project outputs with institutional strategy and long-term estate goals.</w:t>
      </w:r>
    </w:p>
    <w:p w14:paraId="28ABB17B" w14:textId="77777777" w:rsidR="002D6D80" w:rsidRPr="002D6D80" w:rsidRDefault="002D6D80" w:rsidP="002D6D80">
      <w:pPr>
        <w:pStyle w:val="Heading1"/>
        <w:rPr>
          <w:rFonts w:eastAsia="Calibri"/>
          <w:lang w:eastAsia="zh-CN"/>
        </w:rPr>
      </w:pPr>
      <w:r w:rsidRPr="002D6D80">
        <w:rPr>
          <w:rFonts w:eastAsia="Calibri"/>
          <w:lang w:eastAsia="zh-CN"/>
        </w:rPr>
        <w:t>Outcomes and Legislative Alignment</w:t>
      </w:r>
    </w:p>
    <w:p w14:paraId="5DC495AC" w14:textId="77777777" w:rsidR="002D6D80" w:rsidRPr="002D6D80" w:rsidRDefault="002D6D80" w:rsidP="002D6D80">
      <w:pPr>
        <w:spacing w:after="160" w:line="259" w:lineRule="auto"/>
        <w:rPr>
          <w:rFonts w:eastAsia="Calibri" w:cs="Calibri"/>
          <w:sz w:val="24"/>
          <w:szCs w:val="24"/>
          <w:lang w:eastAsia="zh-CN"/>
        </w:rPr>
      </w:pPr>
      <w:r w:rsidRPr="002D6D80">
        <w:rPr>
          <w:rFonts w:eastAsia="Calibri" w:cs="Calibri"/>
          <w:sz w:val="24"/>
          <w:szCs w:val="24"/>
          <w:lang w:eastAsia="zh-CN"/>
        </w:rPr>
        <w:t xml:space="preserve">Services delivered under this Lot must contribute to the wider public good, in alignment with the </w:t>
      </w:r>
      <w:r w:rsidRPr="002D6D80">
        <w:rPr>
          <w:rFonts w:eastAsia="Calibri" w:cs="Calibri"/>
          <w:b/>
          <w:bCs/>
          <w:sz w:val="24"/>
          <w:szCs w:val="24"/>
          <w:lang w:eastAsia="zh-CN"/>
        </w:rPr>
        <w:t>Welsh Procurement Act 2023</w:t>
      </w:r>
      <w:r w:rsidRPr="002D6D80">
        <w:rPr>
          <w:rFonts w:eastAsia="Calibri" w:cs="Calibri"/>
          <w:sz w:val="24"/>
          <w:szCs w:val="24"/>
          <w:lang w:eastAsia="zh-CN"/>
        </w:rPr>
        <w:t xml:space="preserve"> and the </w:t>
      </w:r>
      <w:r w:rsidRPr="002D6D80">
        <w:rPr>
          <w:rFonts w:eastAsia="Calibri" w:cs="Calibri"/>
          <w:b/>
          <w:bCs/>
          <w:sz w:val="24"/>
          <w:szCs w:val="24"/>
          <w:lang w:eastAsia="zh-CN"/>
        </w:rPr>
        <w:t>Well-being of Future Generations (Wales) Act 2015</w:t>
      </w:r>
      <w:r w:rsidRPr="002D6D80">
        <w:rPr>
          <w:rFonts w:eastAsia="Calibri" w:cs="Calibri"/>
          <w:sz w:val="24"/>
          <w:szCs w:val="24"/>
          <w:lang w:eastAsia="zh-CN"/>
        </w:rPr>
        <w:t>. Consultants are expected to demonstrate their contribution to the following outcomes:</w:t>
      </w:r>
    </w:p>
    <w:p w14:paraId="59AEC717" w14:textId="77777777" w:rsidR="002D6D80" w:rsidRPr="002D6D80" w:rsidRDefault="002D6D80" w:rsidP="002D6D80">
      <w:pPr>
        <w:numPr>
          <w:ilvl w:val="0"/>
          <w:numId w:val="22"/>
        </w:numPr>
        <w:spacing w:after="160" w:line="259" w:lineRule="auto"/>
        <w:rPr>
          <w:rFonts w:eastAsia="Calibri" w:cs="Calibri"/>
          <w:sz w:val="24"/>
          <w:szCs w:val="24"/>
          <w:lang w:eastAsia="zh-CN"/>
        </w:rPr>
      </w:pPr>
      <w:r w:rsidRPr="002D6D80">
        <w:rPr>
          <w:rFonts w:eastAsia="Calibri" w:cs="Calibri"/>
          <w:b/>
          <w:bCs/>
          <w:sz w:val="24"/>
          <w:szCs w:val="24"/>
          <w:lang w:eastAsia="zh-CN"/>
        </w:rPr>
        <w:t>Public Good</w:t>
      </w:r>
      <w:r w:rsidRPr="002D6D80">
        <w:rPr>
          <w:rFonts w:eastAsia="Calibri" w:cs="Calibri"/>
          <w:sz w:val="24"/>
          <w:szCs w:val="24"/>
          <w:lang w:eastAsia="zh-CN"/>
        </w:rPr>
        <w:t>: Supporting social, environmental, and economic value through investment in the built environment</w:t>
      </w:r>
    </w:p>
    <w:p w14:paraId="2118B4DE" w14:textId="77777777" w:rsidR="002D6D80" w:rsidRPr="002D6D80" w:rsidRDefault="002D6D80" w:rsidP="002D6D80">
      <w:pPr>
        <w:numPr>
          <w:ilvl w:val="0"/>
          <w:numId w:val="22"/>
        </w:numPr>
        <w:spacing w:after="160" w:line="259" w:lineRule="auto"/>
        <w:rPr>
          <w:rFonts w:eastAsia="Calibri" w:cs="Calibri"/>
          <w:sz w:val="24"/>
          <w:szCs w:val="24"/>
          <w:lang w:eastAsia="zh-CN"/>
        </w:rPr>
      </w:pPr>
      <w:r w:rsidRPr="002D6D80">
        <w:rPr>
          <w:rFonts w:eastAsia="Calibri" w:cs="Calibri"/>
          <w:b/>
          <w:bCs/>
          <w:sz w:val="24"/>
          <w:szCs w:val="24"/>
          <w:lang w:eastAsia="zh-CN"/>
        </w:rPr>
        <w:t>Value for Money</w:t>
      </w:r>
      <w:r w:rsidRPr="002D6D80">
        <w:rPr>
          <w:rFonts w:eastAsia="Calibri" w:cs="Calibri"/>
          <w:sz w:val="24"/>
          <w:szCs w:val="24"/>
          <w:lang w:eastAsia="zh-CN"/>
        </w:rPr>
        <w:t>: Ensuring that projects are affordable, accountable, and effective</w:t>
      </w:r>
    </w:p>
    <w:p w14:paraId="4BDF779F" w14:textId="77777777" w:rsidR="002D6D80" w:rsidRPr="002D6D80" w:rsidRDefault="002D6D80" w:rsidP="002D6D80">
      <w:pPr>
        <w:numPr>
          <w:ilvl w:val="0"/>
          <w:numId w:val="22"/>
        </w:numPr>
        <w:spacing w:after="160" w:line="259" w:lineRule="auto"/>
        <w:rPr>
          <w:rFonts w:eastAsia="Calibri" w:cs="Calibri"/>
          <w:sz w:val="24"/>
          <w:szCs w:val="24"/>
          <w:lang w:eastAsia="zh-CN"/>
        </w:rPr>
      </w:pPr>
      <w:r w:rsidRPr="002D6D80">
        <w:rPr>
          <w:rFonts w:eastAsia="Calibri" w:cs="Calibri"/>
          <w:b/>
          <w:bCs/>
          <w:sz w:val="24"/>
          <w:szCs w:val="24"/>
          <w:lang w:eastAsia="zh-CN"/>
        </w:rPr>
        <w:t>Sustainability</w:t>
      </w:r>
      <w:r w:rsidRPr="002D6D80">
        <w:rPr>
          <w:rFonts w:eastAsia="Calibri" w:cs="Calibri"/>
          <w:sz w:val="24"/>
          <w:szCs w:val="24"/>
          <w:lang w:eastAsia="zh-CN"/>
        </w:rPr>
        <w:t>: Reducing environmental impact and contributing to carbon targets</w:t>
      </w:r>
    </w:p>
    <w:p w14:paraId="56FCF9D5" w14:textId="77777777" w:rsidR="002D6D80" w:rsidRPr="002D6D80" w:rsidRDefault="002D6D80" w:rsidP="002D6D80">
      <w:pPr>
        <w:numPr>
          <w:ilvl w:val="0"/>
          <w:numId w:val="22"/>
        </w:numPr>
        <w:spacing w:after="160" w:line="259" w:lineRule="auto"/>
        <w:rPr>
          <w:rFonts w:eastAsia="Calibri" w:cs="Calibri"/>
          <w:sz w:val="24"/>
          <w:szCs w:val="24"/>
          <w:lang w:eastAsia="zh-CN"/>
        </w:rPr>
      </w:pPr>
      <w:r w:rsidRPr="002D6D80">
        <w:rPr>
          <w:rFonts w:eastAsia="Calibri" w:cs="Calibri"/>
          <w:b/>
          <w:bCs/>
          <w:sz w:val="24"/>
          <w:szCs w:val="24"/>
          <w:lang w:eastAsia="zh-CN"/>
        </w:rPr>
        <w:t>Fair Work</w:t>
      </w:r>
      <w:r w:rsidRPr="002D6D80">
        <w:rPr>
          <w:rFonts w:eastAsia="Calibri" w:cs="Calibri"/>
          <w:sz w:val="24"/>
          <w:szCs w:val="24"/>
          <w:lang w:eastAsia="zh-CN"/>
        </w:rPr>
        <w:t>: Supporting inclusive employment, ethical supply chains, and regional development</w:t>
      </w:r>
    </w:p>
    <w:p w14:paraId="42094FDF" w14:textId="77777777" w:rsidR="002D6D80" w:rsidRPr="002D6D80" w:rsidRDefault="002D6D80" w:rsidP="002D6D80">
      <w:pPr>
        <w:numPr>
          <w:ilvl w:val="0"/>
          <w:numId w:val="22"/>
        </w:numPr>
        <w:spacing w:after="160" w:line="259" w:lineRule="auto"/>
        <w:rPr>
          <w:rFonts w:eastAsia="Calibri" w:cs="Calibri"/>
          <w:sz w:val="24"/>
          <w:szCs w:val="24"/>
          <w:lang w:eastAsia="zh-CN"/>
        </w:rPr>
      </w:pPr>
      <w:r w:rsidRPr="002D6D80">
        <w:rPr>
          <w:rFonts w:eastAsia="Calibri" w:cs="Calibri"/>
          <w:b/>
          <w:bCs/>
          <w:sz w:val="24"/>
          <w:szCs w:val="24"/>
          <w:lang w:eastAsia="zh-CN"/>
        </w:rPr>
        <w:t>Transparency and Integrity</w:t>
      </w:r>
      <w:r w:rsidRPr="002D6D80">
        <w:rPr>
          <w:rFonts w:eastAsia="Calibri" w:cs="Calibri"/>
          <w:sz w:val="24"/>
          <w:szCs w:val="24"/>
          <w:lang w:eastAsia="zh-CN"/>
        </w:rPr>
        <w:t>: Acting with professionalism, clarity, and fairness in all client relationships</w:t>
      </w:r>
    </w:p>
    <w:p w14:paraId="7A4A02A3" w14:textId="77777777" w:rsidR="002D6D80" w:rsidRPr="002D6D80" w:rsidRDefault="002D6D80" w:rsidP="002D6D80">
      <w:pPr>
        <w:spacing w:after="160" w:line="259" w:lineRule="auto"/>
        <w:rPr>
          <w:rFonts w:eastAsia="Calibri" w:cs="Calibri"/>
          <w:sz w:val="24"/>
          <w:szCs w:val="24"/>
          <w:lang w:eastAsia="zh-CN"/>
        </w:rPr>
      </w:pPr>
      <w:r w:rsidRPr="002D6D80">
        <w:rPr>
          <w:rFonts w:eastAsia="Calibri" w:cs="Calibri"/>
          <w:sz w:val="24"/>
          <w:szCs w:val="24"/>
          <w:lang w:eastAsia="zh-CN"/>
        </w:rPr>
        <w:t>Consultants should be suitably qualified and experienced, with professional accreditations such as RICS, CIOB, RTPI, RIBA or equivalent as appropriate to the services being provided.</w:t>
      </w:r>
    </w:p>
    <w:p w14:paraId="04542540" w14:textId="77777777" w:rsidR="002D6D80" w:rsidRPr="002D6D80" w:rsidRDefault="002D6D80" w:rsidP="002D6D80">
      <w:pPr>
        <w:spacing w:after="160" w:line="259" w:lineRule="auto"/>
        <w:rPr>
          <w:rFonts w:eastAsia="Calibri" w:cs="Calibri"/>
          <w:sz w:val="24"/>
          <w:szCs w:val="24"/>
          <w:lang w:eastAsia="zh-CN"/>
        </w:rPr>
      </w:pPr>
    </w:p>
    <w:p w14:paraId="2B25A972" w14:textId="77777777" w:rsidR="002D6D80" w:rsidRPr="002D6D80" w:rsidRDefault="002D6D80" w:rsidP="002D6D80">
      <w:pPr>
        <w:spacing w:after="160" w:line="259" w:lineRule="auto"/>
        <w:rPr>
          <w:rFonts w:eastAsia="Calibri" w:cs="Calibri"/>
          <w:sz w:val="24"/>
          <w:szCs w:val="24"/>
          <w:lang w:eastAsia="zh-CN"/>
        </w:rPr>
      </w:pPr>
    </w:p>
    <w:p w14:paraId="3720B66A" w14:textId="77777777" w:rsidR="00207E3C" w:rsidRPr="00207E3C" w:rsidRDefault="00207E3C" w:rsidP="002D6D80">
      <w:pPr>
        <w:pStyle w:val="Heading1"/>
        <w:numPr>
          <w:ilvl w:val="0"/>
          <w:numId w:val="0"/>
        </w:numPr>
      </w:pPr>
      <w:bookmarkStart w:id="0" w:name="_GoBack"/>
      <w:bookmarkEnd w:id="0"/>
    </w:p>
    <w:sectPr w:rsidR="00207E3C" w:rsidRPr="00207E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F73"/>
    <w:multiLevelType w:val="hybridMultilevel"/>
    <w:tmpl w:val="5A7A5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A969B1"/>
    <w:multiLevelType w:val="multilevel"/>
    <w:tmpl w:val="17B4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D6258"/>
    <w:multiLevelType w:val="multilevel"/>
    <w:tmpl w:val="28BA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C3522"/>
    <w:multiLevelType w:val="hybridMultilevel"/>
    <w:tmpl w:val="3C2CE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E34693"/>
    <w:multiLevelType w:val="hybridMultilevel"/>
    <w:tmpl w:val="5386A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D963DC"/>
    <w:multiLevelType w:val="hybridMultilevel"/>
    <w:tmpl w:val="91DC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62E0B"/>
    <w:multiLevelType w:val="hybridMultilevel"/>
    <w:tmpl w:val="4C9A2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4D2113"/>
    <w:multiLevelType w:val="multilevel"/>
    <w:tmpl w:val="1FDC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A0A88"/>
    <w:multiLevelType w:val="hybridMultilevel"/>
    <w:tmpl w:val="441AF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186A41"/>
    <w:multiLevelType w:val="multilevel"/>
    <w:tmpl w:val="394A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F66B9"/>
    <w:multiLevelType w:val="multilevel"/>
    <w:tmpl w:val="25EE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B6E2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0580EB3"/>
    <w:multiLevelType w:val="multilevel"/>
    <w:tmpl w:val="2114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1646A"/>
    <w:multiLevelType w:val="multilevel"/>
    <w:tmpl w:val="2BD0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E317D"/>
    <w:multiLevelType w:val="multilevel"/>
    <w:tmpl w:val="92C6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377FE"/>
    <w:multiLevelType w:val="hybridMultilevel"/>
    <w:tmpl w:val="222E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65D7D"/>
    <w:multiLevelType w:val="multilevel"/>
    <w:tmpl w:val="9FEA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566E2"/>
    <w:multiLevelType w:val="multilevel"/>
    <w:tmpl w:val="5E06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B1D88"/>
    <w:multiLevelType w:val="multilevel"/>
    <w:tmpl w:val="570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B6E25"/>
    <w:multiLevelType w:val="hybridMultilevel"/>
    <w:tmpl w:val="8B4EA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1F0920"/>
    <w:multiLevelType w:val="hybridMultilevel"/>
    <w:tmpl w:val="725E1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F51AE6"/>
    <w:multiLevelType w:val="hybridMultilevel"/>
    <w:tmpl w:val="3A04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F03F5"/>
    <w:multiLevelType w:val="hybridMultilevel"/>
    <w:tmpl w:val="4208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64DA2"/>
    <w:multiLevelType w:val="multilevel"/>
    <w:tmpl w:val="0498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459AF"/>
    <w:multiLevelType w:val="multilevel"/>
    <w:tmpl w:val="B6D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10C7E"/>
    <w:multiLevelType w:val="multilevel"/>
    <w:tmpl w:val="DF14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593BEF"/>
    <w:multiLevelType w:val="multilevel"/>
    <w:tmpl w:val="E43A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9F6778"/>
    <w:multiLevelType w:val="multilevel"/>
    <w:tmpl w:val="451E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CD08ED"/>
    <w:multiLevelType w:val="multilevel"/>
    <w:tmpl w:val="505E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9E3EC3"/>
    <w:multiLevelType w:val="hybridMultilevel"/>
    <w:tmpl w:val="04AC9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8DD3B97"/>
    <w:multiLevelType w:val="multilevel"/>
    <w:tmpl w:val="B5EA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8A2459"/>
    <w:multiLevelType w:val="multilevel"/>
    <w:tmpl w:val="2E3E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115BE4"/>
    <w:multiLevelType w:val="multilevel"/>
    <w:tmpl w:val="154690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0A5C13"/>
    <w:multiLevelType w:val="multilevel"/>
    <w:tmpl w:val="01403B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2"/>
  </w:num>
  <w:num w:numId="3">
    <w:abstractNumId w:val="25"/>
  </w:num>
  <w:num w:numId="4">
    <w:abstractNumId w:val="26"/>
  </w:num>
  <w:num w:numId="5">
    <w:abstractNumId w:val="16"/>
  </w:num>
  <w:num w:numId="6">
    <w:abstractNumId w:val="1"/>
  </w:num>
  <w:num w:numId="7">
    <w:abstractNumId w:val="24"/>
  </w:num>
  <w:num w:numId="8">
    <w:abstractNumId w:val="28"/>
  </w:num>
  <w:num w:numId="9">
    <w:abstractNumId w:val="7"/>
  </w:num>
  <w:num w:numId="10">
    <w:abstractNumId w:val="31"/>
  </w:num>
  <w:num w:numId="11">
    <w:abstractNumId w:val="18"/>
  </w:num>
  <w:num w:numId="12">
    <w:abstractNumId w:val="14"/>
  </w:num>
  <w:num w:numId="13">
    <w:abstractNumId w:val="27"/>
  </w:num>
  <w:num w:numId="14">
    <w:abstractNumId w:val="10"/>
  </w:num>
  <w:num w:numId="15">
    <w:abstractNumId w:val="23"/>
  </w:num>
  <w:num w:numId="16">
    <w:abstractNumId w:val="12"/>
  </w:num>
  <w:num w:numId="17">
    <w:abstractNumId w:val="2"/>
  </w:num>
  <w:num w:numId="18">
    <w:abstractNumId w:val="30"/>
  </w:num>
  <w:num w:numId="19">
    <w:abstractNumId w:val="33"/>
  </w:num>
  <w:num w:numId="20">
    <w:abstractNumId w:val="13"/>
  </w:num>
  <w:num w:numId="21">
    <w:abstractNumId w:val="17"/>
  </w:num>
  <w:num w:numId="22">
    <w:abstractNumId w:val="9"/>
  </w:num>
  <w:num w:numId="23">
    <w:abstractNumId w:val="6"/>
  </w:num>
  <w:num w:numId="24">
    <w:abstractNumId w:val="8"/>
  </w:num>
  <w:num w:numId="25">
    <w:abstractNumId w:val="19"/>
  </w:num>
  <w:num w:numId="26">
    <w:abstractNumId w:val="21"/>
  </w:num>
  <w:num w:numId="27">
    <w:abstractNumId w:val="32"/>
  </w:num>
  <w:num w:numId="28">
    <w:abstractNumId w:val="15"/>
  </w:num>
  <w:num w:numId="29">
    <w:abstractNumId w:val="4"/>
  </w:num>
  <w:num w:numId="30">
    <w:abstractNumId w:val="29"/>
  </w:num>
  <w:num w:numId="31">
    <w:abstractNumId w:val="20"/>
  </w:num>
  <w:num w:numId="32">
    <w:abstractNumId w:val="0"/>
  </w:num>
  <w:num w:numId="33">
    <w:abstractNumId w:val="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3C"/>
    <w:rsid w:val="00136B99"/>
    <w:rsid w:val="00207E3C"/>
    <w:rsid w:val="00254CE3"/>
    <w:rsid w:val="00263F95"/>
    <w:rsid w:val="002D6D80"/>
    <w:rsid w:val="003C1CCE"/>
    <w:rsid w:val="003F5AE7"/>
    <w:rsid w:val="00482009"/>
    <w:rsid w:val="004F10CB"/>
    <w:rsid w:val="005959AD"/>
    <w:rsid w:val="005B0E05"/>
    <w:rsid w:val="005D0B15"/>
    <w:rsid w:val="005F5AB4"/>
    <w:rsid w:val="00672514"/>
    <w:rsid w:val="00676243"/>
    <w:rsid w:val="006C7DEC"/>
    <w:rsid w:val="0078129A"/>
    <w:rsid w:val="008A05AC"/>
    <w:rsid w:val="00A22035"/>
    <w:rsid w:val="00A66738"/>
    <w:rsid w:val="00B27CF9"/>
    <w:rsid w:val="00B62688"/>
    <w:rsid w:val="00BE4797"/>
    <w:rsid w:val="00BE4A25"/>
    <w:rsid w:val="00C3176E"/>
    <w:rsid w:val="00C578CA"/>
    <w:rsid w:val="00D47685"/>
    <w:rsid w:val="00DE40B9"/>
    <w:rsid w:val="00E947BA"/>
    <w:rsid w:val="00EB5FB4"/>
    <w:rsid w:val="00F2039A"/>
    <w:rsid w:val="00F26068"/>
    <w:rsid w:val="00FC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5027"/>
  <w15:chartTrackingRefBased/>
  <w15:docId w15:val="{E71483C3-326D-4818-8950-3D88331B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514"/>
    <w:pPr>
      <w:spacing w:after="200" w:line="276" w:lineRule="auto"/>
    </w:pPr>
    <w:rPr>
      <w:rFonts w:ascii="Calibri" w:eastAsiaTheme="minorEastAsia" w:hAnsi="Calibri"/>
      <w:kern w:val="0"/>
      <w:sz w:val="22"/>
      <w:szCs w:val="22"/>
      <w14:ligatures w14:val="none"/>
    </w:rPr>
  </w:style>
  <w:style w:type="paragraph" w:styleId="Heading1">
    <w:name w:val="heading 1"/>
    <w:basedOn w:val="Normal"/>
    <w:next w:val="Normal"/>
    <w:link w:val="Heading1Char"/>
    <w:uiPriority w:val="9"/>
    <w:qFormat/>
    <w:rsid w:val="00207E3C"/>
    <w:pPr>
      <w:keepNext/>
      <w:keepLines/>
      <w:numPr>
        <w:numId w:val="1"/>
      </w:numPr>
      <w:spacing w:before="360" w:after="80"/>
      <w:outlineLvl w:val="0"/>
    </w:pPr>
    <w:rPr>
      <w:rFonts w:eastAsiaTheme="majorEastAsia" w:cstheme="majorBidi"/>
      <w:b/>
      <w:sz w:val="24"/>
      <w:szCs w:val="40"/>
    </w:rPr>
  </w:style>
  <w:style w:type="paragraph" w:styleId="Heading2">
    <w:name w:val="heading 2"/>
    <w:basedOn w:val="Normal"/>
    <w:next w:val="Normal"/>
    <w:link w:val="Heading2Char"/>
    <w:uiPriority w:val="9"/>
    <w:unhideWhenUsed/>
    <w:qFormat/>
    <w:rsid w:val="00207E3C"/>
    <w:pPr>
      <w:keepNext/>
      <w:keepLines/>
      <w:numPr>
        <w:ilvl w:val="1"/>
        <w:numId w:val="1"/>
      </w:numPr>
      <w:spacing w:before="160" w:after="80"/>
      <w:ind w:left="1296"/>
      <w:outlineLvl w:val="1"/>
    </w:pPr>
    <w:rPr>
      <w:rFonts w:eastAsiaTheme="majorEastAsia" w:cstheme="majorBidi"/>
      <w:b/>
      <w:color w:val="000000" w:themeColor="text1"/>
      <w:sz w:val="24"/>
      <w:szCs w:val="32"/>
    </w:rPr>
  </w:style>
  <w:style w:type="paragraph" w:styleId="Heading3">
    <w:name w:val="heading 3"/>
    <w:basedOn w:val="Normal"/>
    <w:next w:val="Normal"/>
    <w:link w:val="Heading3Char"/>
    <w:uiPriority w:val="9"/>
    <w:unhideWhenUsed/>
    <w:qFormat/>
    <w:rsid w:val="00207E3C"/>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207E3C"/>
    <w:pPr>
      <w:keepNext/>
      <w:keepLines/>
      <w:numPr>
        <w:ilvl w:val="3"/>
        <w:numId w:val="1"/>
      </w:numPr>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7E3C"/>
    <w:pPr>
      <w:keepNext/>
      <w:keepLines/>
      <w:numPr>
        <w:ilvl w:val="4"/>
        <w:numId w:val="1"/>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7E3C"/>
    <w:pPr>
      <w:keepNext/>
      <w:keepLines/>
      <w:numPr>
        <w:ilvl w:val="5"/>
        <w:numId w:val="1"/>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7E3C"/>
    <w:pPr>
      <w:keepNext/>
      <w:keepLines/>
      <w:numPr>
        <w:ilvl w:val="6"/>
        <w:numId w:val="1"/>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7E3C"/>
    <w:pPr>
      <w:keepNext/>
      <w:keepLines/>
      <w:numPr>
        <w:ilvl w:val="7"/>
        <w:numId w:val="1"/>
      </w:numPr>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7E3C"/>
    <w:pPr>
      <w:keepNext/>
      <w:keepLines/>
      <w:numPr>
        <w:ilvl w:val="8"/>
        <w:numId w:val="1"/>
      </w:numPr>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3C"/>
    <w:rPr>
      <w:rFonts w:ascii="Calibri" w:eastAsiaTheme="majorEastAsia" w:hAnsi="Calibri" w:cstheme="majorBidi"/>
      <w:b/>
      <w:kern w:val="0"/>
      <w:szCs w:val="40"/>
      <w14:ligatures w14:val="none"/>
    </w:rPr>
  </w:style>
  <w:style w:type="character" w:customStyle="1" w:styleId="Heading2Char">
    <w:name w:val="Heading 2 Char"/>
    <w:basedOn w:val="DefaultParagraphFont"/>
    <w:link w:val="Heading2"/>
    <w:uiPriority w:val="9"/>
    <w:rsid w:val="00207E3C"/>
    <w:rPr>
      <w:rFonts w:ascii="Calibri" w:eastAsiaTheme="majorEastAsia" w:hAnsi="Calibri" w:cstheme="majorBidi"/>
      <w:b/>
      <w:color w:val="000000" w:themeColor="text1"/>
      <w:kern w:val="0"/>
      <w:szCs w:val="32"/>
      <w14:ligatures w14:val="none"/>
    </w:rPr>
  </w:style>
  <w:style w:type="character" w:customStyle="1" w:styleId="Heading3Char">
    <w:name w:val="Heading 3 Char"/>
    <w:basedOn w:val="DefaultParagraphFont"/>
    <w:link w:val="Heading3"/>
    <w:uiPriority w:val="9"/>
    <w:rsid w:val="00207E3C"/>
    <w:rPr>
      <w:rFonts w:ascii="Calibri" w:eastAsiaTheme="majorEastAsia" w:hAnsi="Calibri" w:cstheme="majorBidi"/>
      <w:b/>
      <w:color w:val="000000" w:themeColor="text1"/>
      <w:kern w:val="0"/>
      <w:sz w:val="22"/>
      <w:szCs w:val="28"/>
      <w14:ligatures w14:val="none"/>
    </w:rPr>
  </w:style>
  <w:style w:type="character" w:customStyle="1" w:styleId="Heading4Char">
    <w:name w:val="Heading 4 Char"/>
    <w:basedOn w:val="DefaultParagraphFont"/>
    <w:link w:val="Heading4"/>
    <w:uiPriority w:val="9"/>
    <w:semiHidden/>
    <w:rsid w:val="00207E3C"/>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207E3C"/>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207E3C"/>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207E3C"/>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207E3C"/>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207E3C"/>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207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3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07E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E3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07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E3C"/>
    <w:rPr>
      <w:rFonts w:ascii="Calibri" w:eastAsiaTheme="minorEastAsia" w:hAnsi="Calibri"/>
      <w:i/>
      <w:iCs/>
      <w:color w:val="404040" w:themeColor="text1" w:themeTint="BF"/>
      <w:kern w:val="0"/>
      <w:sz w:val="22"/>
      <w:szCs w:val="22"/>
      <w14:ligatures w14:val="none"/>
    </w:rPr>
  </w:style>
  <w:style w:type="paragraph" w:styleId="ListParagraph">
    <w:name w:val="List Paragraph"/>
    <w:basedOn w:val="Normal"/>
    <w:uiPriority w:val="34"/>
    <w:qFormat/>
    <w:rsid w:val="00207E3C"/>
    <w:pPr>
      <w:ind w:left="720"/>
      <w:contextualSpacing/>
    </w:pPr>
  </w:style>
  <w:style w:type="character" w:styleId="IntenseEmphasis">
    <w:name w:val="Intense Emphasis"/>
    <w:basedOn w:val="DefaultParagraphFont"/>
    <w:uiPriority w:val="21"/>
    <w:qFormat/>
    <w:rsid w:val="00207E3C"/>
    <w:rPr>
      <w:i/>
      <w:iCs/>
      <w:color w:val="0F4761" w:themeColor="accent1" w:themeShade="BF"/>
    </w:rPr>
  </w:style>
  <w:style w:type="paragraph" w:styleId="IntenseQuote">
    <w:name w:val="Intense Quote"/>
    <w:basedOn w:val="Normal"/>
    <w:next w:val="Normal"/>
    <w:link w:val="IntenseQuoteChar"/>
    <w:uiPriority w:val="30"/>
    <w:qFormat/>
    <w:rsid w:val="00207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E3C"/>
    <w:rPr>
      <w:rFonts w:ascii="Calibri" w:eastAsiaTheme="minorEastAsia" w:hAnsi="Calibri"/>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207E3C"/>
    <w:rPr>
      <w:b/>
      <w:bCs/>
      <w:smallCaps/>
      <w:color w:val="0F4761" w:themeColor="accent1" w:themeShade="BF"/>
      <w:spacing w:val="5"/>
    </w:rPr>
  </w:style>
  <w:style w:type="paragraph" w:styleId="NormalWeb">
    <w:name w:val="Normal (Web)"/>
    <w:basedOn w:val="Normal"/>
    <w:uiPriority w:val="99"/>
    <w:unhideWhenUsed/>
    <w:rsid w:val="00207E3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207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Davies</dc:creator>
  <cp:keywords/>
  <dc:description/>
  <cp:lastModifiedBy>Heidi Davies</cp:lastModifiedBy>
  <cp:revision>3</cp:revision>
  <dcterms:created xsi:type="dcterms:W3CDTF">2025-08-06T10:04:00Z</dcterms:created>
  <dcterms:modified xsi:type="dcterms:W3CDTF">2025-08-06T10:35:00Z</dcterms:modified>
</cp:coreProperties>
</file>