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D5CC" w14:textId="58DF4B3A" w:rsidR="003E654E" w:rsidRDefault="00557FEA" w:rsidP="00F11C65">
      <w:pPr>
        <w:rPr>
          <w:rFonts w:ascii="Times New Roman"/>
        </w:rPr>
      </w:pPr>
      <w:r>
        <w:rPr>
          <w:noProof/>
        </w:rPr>
        <w:drawing>
          <wp:anchor distT="0" distB="0" distL="0" distR="0" simplePos="0" relativeHeight="251659264" behindDoc="1" locked="0" layoutInCell="1" hidden="0" allowOverlap="1" wp14:anchorId="5E750ABD" wp14:editId="2B214E49">
            <wp:simplePos x="0" y="0"/>
            <wp:positionH relativeFrom="page">
              <wp:align>left</wp:align>
            </wp:positionH>
            <wp:positionV relativeFrom="paragraph">
              <wp:posOffset>-886460</wp:posOffset>
            </wp:positionV>
            <wp:extent cx="7573645" cy="11008360"/>
            <wp:effectExtent l="0" t="0" r="8255" b="254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73645" cy="11008360"/>
                    </a:xfrm>
                    <a:prstGeom prst="rect">
                      <a:avLst/>
                    </a:prstGeom>
                    <a:ln/>
                  </pic:spPr>
                </pic:pic>
              </a:graphicData>
            </a:graphic>
          </wp:anchor>
        </w:drawing>
      </w:r>
    </w:p>
    <w:p w14:paraId="66D6D670" w14:textId="2D9D1267" w:rsidR="003E654E" w:rsidRDefault="003E654E">
      <w:pPr>
        <w:rPr>
          <w:rFonts w:ascii="Times New Roman"/>
        </w:rPr>
      </w:pPr>
    </w:p>
    <w:p w14:paraId="7DD7BD00" w14:textId="587AA30F" w:rsidR="003E654E" w:rsidRDefault="003E654E">
      <w:pPr>
        <w:rPr>
          <w:rFonts w:ascii="Times New Roman"/>
        </w:rPr>
      </w:pPr>
    </w:p>
    <w:p w14:paraId="73CE4C3D" w14:textId="4C4FBF8A" w:rsidR="003E654E" w:rsidRDefault="003E654E">
      <w:pPr>
        <w:rPr>
          <w:rFonts w:ascii="Times New Roman"/>
        </w:rPr>
      </w:pPr>
    </w:p>
    <w:p w14:paraId="2A73E2E2" w14:textId="3AD3B219" w:rsidR="003E654E" w:rsidRDefault="003E654E">
      <w:pPr>
        <w:rPr>
          <w:rFonts w:ascii="Times New Roman"/>
        </w:rPr>
      </w:pPr>
    </w:p>
    <w:p w14:paraId="6664332F" w14:textId="2D0C8491" w:rsidR="003E654E" w:rsidRDefault="003E654E">
      <w:pPr>
        <w:rPr>
          <w:rFonts w:ascii="Times New Roman"/>
        </w:rPr>
      </w:pPr>
    </w:p>
    <w:p w14:paraId="64D56BB2" w14:textId="6338C79D" w:rsidR="003E654E" w:rsidRDefault="003E654E" w:rsidP="003E654E">
      <w:pPr>
        <w:jc w:val="right"/>
        <w:rPr>
          <w:rFonts w:asciiTheme="minorHAnsi" w:hAnsiTheme="minorHAnsi" w:cstheme="minorHAnsi"/>
          <w:sz w:val="32"/>
        </w:rPr>
      </w:pPr>
    </w:p>
    <w:p w14:paraId="144EAC2D" w14:textId="29300188" w:rsidR="003E654E" w:rsidRDefault="003E654E" w:rsidP="003E654E">
      <w:pPr>
        <w:jc w:val="right"/>
        <w:rPr>
          <w:rFonts w:asciiTheme="minorHAnsi" w:hAnsiTheme="minorHAnsi" w:cstheme="minorHAnsi"/>
          <w:sz w:val="32"/>
        </w:rPr>
      </w:pPr>
    </w:p>
    <w:p w14:paraId="31B78750" w14:textId="77777777" w:rsidR="003E654E" w:rsidRDefault="003E654E" w:rsidP="003E654E">
      <w:pPr>
        <w:jc w:val="right"/>
        <w:rPr>
          <w:rFonts w:asciiTheme="minorHAnsi" w:hAnsiTheme="minorHAnsi" w:cstheme="minorHAnsi"/>
          <w:sz w:val="32"/>
        </w:rPr>
      </w:pPr>
    </w:p>
    <w:p w14:paraId="6BE389F7" w14:textId="77777777" w:rsidR="003E654E" w:rsidRDefault="003E654E" w:rsidP="003E654E">
      <w:pPr>
        <w:jc w:val="right"/>
        <w:rPr>
          <w:rFonts w:asciiTheme="minorHAnsi" w:hAnsiTheme="minorHAnsi" w:cstheme="minorHAnsi"/>
          <w:sz w:val="32"/>
        </w:rPr>
      </w:pPr>
    </w:p>
    <w:p w14:paraId="4E2F71E3" w14:textId="77777777" w:rsidR="003E654E" w:rsidRDefault="003E654E" w:rsidP="003E654E">
      <w:pPr>
        <w:jc w:val="right"/>
        <w:rPr>
          <w:rFonts w:asciiTheme="minorHAnsi" w:hAnsiTheme="minorHAnsi" w:cstheme="minorHAnsi"/>
          <w:sz w:val="32"/>
        </w:rPr>
      </w:pPr>
    </w:p>
    <w:p w14:paraId="3F459271" w14:textId="77777777" w:rsidR="00557FEA" w:rsidRDefault="00557FEA" w:rsidP="003E654E">
      <w:pPr>
        <w:jc w:val="right"/>
        <w:rPr>
          <w:rFonts w:asciiTheme="minorHAnsi" w:hAnsiTheme="minorHAnsi" w:cstheme="minorHAnsi"/>
          <w:b/>
          <w:sz w:val="24"/>
        </w:rPr>
      </w:pPr>
    </w:p>
    <w:p w14:paraId="54467721" w14:textId="070AAAC2" w:rsidR="003E654E" w:rsidRPr="003E654E" w:rsidRDefault="003E654E" w:rsidP="003E654E">
      <w:pPr>
        <w:jc w:val="right"/>
        <w:rPr>
          <w:rFonts w:asciiTheme="minorHAnsi" w:hAnsiTheme="minorHAnsi" w:cstheme="minorHAnsi"/>
          <w:b/>
          <w:sz w:val="24"/>
        </w:rPr>
      </w:pPr>
      <w:r w:rsidRPr="003E654E">
        <w:rPr>
          <w:rFonts w:asciiTheme="minorHAnsi" w:hAnsiTheme="minorHAnsi" w:cstheme="minorHAnsi"/>
          <w:b/>
          <w:sz w:val="24"/>
        </w:rPr>
        <w:t>Invitation to Tender for the Provision of:</w:t>
      </w:r>
    </w:p>
    <w:p w14:paraId="2E7DB51A" w14:textId="0A6D41C8" w:rsidR="003E654E" w:rsidRPr="003E654E" w:rsidRDefault="00EC457D" w:rsidP="003E654E">
      <w:pPr>
        <w:jc w:val="right"/>
        <w:rPr>
          <w:rFonts w:asciiTheme="minorHAnsi" w:hAnsiTheme="minorHAnsi" w:cstheme="minorHAnsi"/>
          <w:sz w:val="24"/>
        </w:rPr>
      </w:pPr>
      <w:r>
        <w:rPr>
          <w:rFonts w:asciiTheme="minorHAnsi" w:hAnsiTheme="minorHAnsi" w:cstheme="minorHAnsi"/>
          <w:sz w:val="24"/>
        </w:rPr>
        <w:t xml:space="preserve">Professional Estates Consultancy Services </w:t>
      </w:r>
      <w:r w:rsidR="00A908A4">
        <w:rPr>
          <w:rFonts w:asciiTheme="minorHAnsi" w:hAnsiTheme="minorHAnsi" w:cstheme="minorHAnsi"/>
          <w:sz w:val="24"/>
        </w:rPr>
        <w:t>Framework</w:t>
      </w:r>
    </w:p>
    <w:p w14:paraId="26C5EB8A" w14:textId="11E9D18C" w:rsidR="003E654E" w:rsidRPr="003E654E" w:rsidRDefault="003E654E" w:rsidP="003E654E">
      <w:pPr>
        <w:jc w:val="right"/>
        <w:rPr>
          <w:rFonts w:asciiTheme="minorHAnsi" w:hAnsiTheme="minorHAnsi" w:cstheme="minorHAnsi"/>
          <w:sz w:val="28"/>
        </w:rPr>
      </w:pPr>
    </w:p>
    <w:p w14:paraId="5218951E" w14:textId="141D6EA7" w:rsidR="003E654E" w:rsidRPr="003E654E" w:rsidRDefault="003E654E" w:rsidP="003E654E">
      <w:pPr>
        <w:jc w:val="right"/>
        <w:rPr>
          <w:rFonts w:asciiTheme="minorHAnsi" w:hAnsiTheme="minorHAnsi" w:cstheme="minorHAnsi"/>
          <w:sz w:val="28"/>
        </w:rPr>
      </w:pPr>
    </w:p>
    <w:p w14:paraId="482AAC79" w14:textId="28277374" w:rsidR="003E654E" w:rsidRPr="003E654E" w:rsidRDefault="003E654E" w:rsidP="003E654E">
      <w:pPr>
        <w:jc w:val="right"/>
        <w:rPr>
          <w:rFonts w:asciiTheme="minorHAnsi" w:hAnsiTheme="minorHAnsi" w:cstheme="minorHAnsi"/>
          <w:sz w:val="28"/>
        </w:rPr>
      </w:pPr>
    </w:p>
    <w:p w14:paraId="0C84E649" w14:textId="61833A63" w:rsidR="003E654E" w:rsidRPr="003E654E" w:rsidRDefault="003E654E" w:rsidP="003E654E">
      <w:pPr>
        <w:jc w:val="right"/>
        <w:rPr>
          <w:rFonts w:asciiTheme="minorHAnsi" w:hAnsiTheme="minorHAnsi" w:cstheme="minorHAnsi"/>
          <w:sz w:val="28"/>
        </w:rPr>
      </w:pPr>
    </w:p>
    <w:p w14:paraId="6A50D2B9" w14:textId="5C9453C6" w:rsidR="00987324" w:rsidRDefault="003E654E" w:rsidP="003E654E">
      <w:pPr>
        <w:jc w:val="right"/>
        <w:rPr>
          <w:rFonts w:asciiTheme="minorHAnsi" w:hAnsiTheme="minorHAnsi" w:cstheme="minorHAnsi"/>
          <w:sz w:val="24"/>
        </w:rPr>
      </w:pPr>
      <w:r w:rsidRPr="003E654E">
        <w:rPr>
          <w:rFonts w:asciiTheme="minorHAnsi" w:hAnsiTheme="minorHAnsi" w:cstheme="minorHAnsi"/>
          <w:sz w:val="24"/>
        </w:rPr>
        <w:t>Contract Reference: UWTSD</w:t>
      </w:r>
      <w:r w:rsidR="00904396">
        <w:rPr>
          <w:rFonts w:asciiTheme="minorHAnsi" w:hAnsiTheme="minorHAnsi" w:cstheme="minorHAnsi"/>
          <w:sz w:val="24"/>
        </w:rPr>
        <w:t>2</w:t>
      </w:r>
      <w:r w:rsidR="005B27FC">
        <w:rPr>
          <w:rFonts w:asciiTheme="minorHAnsi" w:hAnsiTheme="minorHAnsi" w:cstheme="minorHAnsi"/>
          <w:sz w:val="24"/>
        </w:rPr>
        <w:t>526/</w:t>
      </w:r>
      <w:r w:rsidR="0051123E">
        <w:rPr>
          <w:rFonts w:asciiTheme="minorHAnsi" w:hAnsiTheme="minorHAnsi" w:cstheme="minorHAnsi"/>
          <w:sz w:val="24"/>
        </w:rPr>
        <w:t>2</w:t>
      </w:r>
      <w:r w:rsidR="00A631B3">
        <w:rPr>
          <w:rFonts w:asciiTheme="minorHAnsi" w:hAnsiTheme="minorHAnsi" w:cstheme="minorHAnsi"/>
          <w:sz w:val="24"/>
        </w:rPr>
        <w:t>231</w:t>
      </w:r>
    </w:p>
    <w:p w14:paraId="10CF1321" w14:textId="1398DC87" w:rsidR="003E654E" w:rsidRPr="003E654E" w:rsidRDefault="003E654E" w:rsidP="003E654E">
      <w:pPr>
        <w:jc w:val="right"/>
        <w:rPr>
          <w:rFonts w:asciiTheme="minorHAnsi" w:hAnsiTheme="minorHAnsi" w:cstheme="minorHAnsi"/>
          <w:sz w:val="24"/>
        </w:rPr>
      </w:pPr>
      <w:r w:rsidRPr="003E654E">
        <w:rPr>
          <w:rFonts w:asciiTheme="minorHAnsi" w:hAnsiTheme="minorHAnsi" w:cstheme="minorHAnsi"/>
          <w:sz w:val="24"/>
        </w:rPr>
        <w:t>Document 2: Tender Specification</w:t>
      </w:r>
    </w:p>
    <w:p w14:paraId="789859A0" w14:textId="2B710080" w:rsidR="003E654E" w:rsidRPr="003E654E" w:rsidRDefault="003E654E" w:rsidP="003E654E">
      <w:pPr>
        <w:jc w:val="right"/>
        <w:rPr>
          <w:rFonts w:asciiTheme="minorHAnsi" w:hAnsiTheme="minorHAnsi" w:cstheme="minorHAnsi"/>
          <w:sz w:val="24"/>
        </w:rPr>
      </w:pPr>
      <w:r w:rsidRPr="00F4584F">
        <w:rPr>
          <w:rFonts w:asciiTheme="minorHAnsi" w:hAnsiTheme="minorHAnsi" w:cstheme="minorHAnsi"/>
          <w:sz w:val="24"/>
        </w:rPr>
        <w:t xml:space="preserve">Issue Date: </w:t>
      </w:r>
      <w:r w:rsidR="00F11C65" w:rsidRPr="00F4584F">
        <w:rPr>
          <w:rFonts w:asciiTheme="minorHAnsi" w:hAnsiTheme="minorHAnsi" w:cstheme="minorHAnsi"/>
          <w:sz w:val="24"/>
        </w:rPr>
        <w:t>08/08/2025</w:t>
      </w:r>
    </w:p>
    <w:p w14:paraId="525D1939" w14:textId="77777777" w:rsidR="003E654E" w:rsidRDefault="003E654E">
      <w:pPr>
        <w:rPr>
          <w:rFonts w:ascii="Times New Roman"/>
        </w:rPr>
      </w:pPr>
    </w:p>
    <w:p w14:paraId="6D721868" w14:textId="4D1F33D5" w:rsidR="003E654E" w:rsidRDefault="003E654E">
      <w:pPr>
        <w:rPr>
          <w:rFonts w:ascii="Times New Roman"/>
        </w:rPr>
      </w:pPr>
    </w:p>
    <w:p w14:paraId="41145B81" w14:textId="450737A2" w:rsidR="003E654E" w:rsidRDefault="003E654E">
      <w:pPr>
        <w:rPr>
          <w:rFonts w:ascii="Times New Roman"/>
        </w:rPr>
      </w:pPr>
    </w:p>
    <w:p w14:paraId="40EE1E8A" w14:textId="0A166210" w:rsidR="003E654E" w:rsidRDefault="003E654E">
      <w:pPr>
        <w:rPr>
          <w:rFonts w:ascii="Times New Roman"/>
        </w:rPr>
      </w:pPr>
    </w:p>
    <w:p w14:paraId="17BCAFB2" w14:textId="77777777" w:rsidR="003E654E" w:rsidRDefault="003E654E">
      <w:pPr>
        <w:rPr>
          <w:rFonts w:ascii="Times New Roman"/>
        </w:rPr>
      </w:pPr>
    </w:p>
    <w:p w14:paraId="7665EF43" w14:textId="7DD9210E" w:rsidR="003E654E" w:rsidRDefault="003E654E">
      <w:pPr>
        <w:pStyle w:val="BodyText"/>
        <w:ind w:left="120"/>
        <w:rPr>
          <w:rFonts w:ascii="Times New Roman"/>
        </w:rPr>
      </w:pPr>
    </w:p>
    <w:p w14:paraId="0DD60655" w14:textId="77777777" w:rsidR="003E654E" w:rsidRDefault="003E654E">
      <w:pPr>
        <w:rPr>
          <w:rFonts w:ascii="Times New Roman"/>
        </w:rPr>
      </w:pPr>
      <w:r>
        <w:rPr>
          <w:rFonts w:ascii="Times New Roman"/>
        </w:rPr>
        <w:br w:type="page"/>
      </w:r>
    </w:p>
    <w:sdt>
      <w:sdtPr>
        <w:id w:val="696892700"/>
        <w:docPartObj>
          <w:docPartGallery w:val="Table of Contents"/>
          <w:docPartUnique/>
        </w:docPartObj>
      </w:sdtPr>
      <w:sdtEndPr>
        <w:rPr>
          <w:b/>
          <w:bCs/>
          <w:noProof/>
        </w:rPr>
      </w:sdtEndPr>
      <w:sdtContent>
        <w:p w14:paraId="17D69098" w14:textId="1BF57464" w:rsidR="003E654E" w:rsidRPr="006A6E57" w:rsidRDefault="003E654E" w:rsidP="006A6E57">
          <w:pPr>
            <w:rPr>
              <w:b/>
              <w:szCs w:val="20"/>
            </w:rPr>
          </w:pPr>
          <w:r w:rsidRPr="006A6E57">
            <w:rPr>
              <w:b/>
              <w:szCs w:val="20"/>
            </w:rPr>
            <w:t>Contents</w:t>
          </w:r>
        </w:p>
        <w:p w14:paraId="3DC8601F" w14:textId="4B892AC1" w:rsidR="004A69DA" w:rsidRDefault="003E654E">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r w:rsidRPr="006A6E57">
            <w:rPr>
              <w:szCs w:val="20"/>
            </w:rPr>
            <w:fldChar w:fldCharType="begin"/>
          </w:r>
          <w:r w:rsidRPr="006A6E57">
            <w:rPr>
              <w:szCs w:val="20"/>
            </w:rPr>
            <w:instrText xml:space="preserve"> TOC \o "1-3" \h \z \u </w:instrText>
          </w:r>
          <w:r w:rsidRPr="006A6E57">
            <w:rPr>
              <w:szCs w:val="20"/>
            </w:rPr>
            <w:fldChar w:fldCharType="separate"/>
          </w:r>
          <w:hyperlink w:anchor="_Toc205559931" w:history="1">
            <w:r w:rsidR="004A69DA" w:rsidRPr="009E3C83">
              <w:rPr>
                <w:rStyle w:val="Hyperlink"/>
                <w:noProof/>
                <w:lang w:val="en-GB"/>
              </w:rPr>
              <w:t>1</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lang w:val="en-GB"/>
              </w:rPr>
              <w:t>Proposed Procurement Timetable.</w:t>
            </w:r>
            <w:r w:rsidR="004A69DA">
              <w:rPr>
                <w:noProof/>
                <w:webHidden/>
              </w:rPr>
              <w:tab/>
            </w:r>
            <w:r w:rsidR="004A69DA">
              <w:rPr>
                <w:noProof/>
                <w:webHidden/>
              </w:rPr>
              <w:fldChar w:fldCharType="begin"/>
            </w:r>
            <w:r w:rsidR="004A69DA">
              <w:rPr>
                <w:noProof/>
                <w:webHidden/>
              </w:rPr>
              <w:instrText xml:space="preserve"> PAGEREF _Toc205559931 \h </w:instrText>
            </w:r>
            <w:r w:rsidR="004A69DA">
              <w:rPr>
                <w:noProof/>
                <w:webHidden/>
              </w:rPr>
            </w:r>
            <w:r w:rsidR="004A69DA">
              <w:rPr>
                <w:noProof/>
                <w:webHidden/>
              </w:rPr>
              <w:fldChar w:fldCharType="separate"/>
            </w:r>
            <w:r w:rsidR="004A69DA">
              <w:rPr>
                <w:noProof/>
                <w:webHidden/>
              </w:rPr>
              <w:t>2</w:t>
            </w:r>
            <w:r w:rsidR="004A69DA">
              <w:rPr>
                <w:noProof/>
                <w:webHidden/>
              </w:rPr>
              <w:fldChar w:fldCharType="end"/>
            </w:r>
          </w:hyperlink>
        </w:p>
        <w:p w14:paraId="4B1C5E6D" w14:textId="2E954217"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2" w:history="1">
            <w:r w:rsidR="004A69DA" w:rsidRPr="009E3C83">
              <w:rPr>
                <w:rStyle w:val="Hyperlink"/>
                <w:noProof/>
              </w:rPr>
              <w:t>2</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Overview</w:t>
            </w:r>
            <w:r w:rsidR="004A69DA">
              <w:rPr>
                <w:noProof/>
                <w:webHidden/>
              </w:rPr>
              <w:tab/>
            </w:r>
            <w:r w:rsidR="004A69DA">
              <w:rPr>
                <w:noProof/>
                <w:webHidden/>
              </w:rPr>
              <w:fldChar w:fldCharType="begin"/>
            </w:r>
            <w:r w:rsidR="004A69DA">
              <w:rPr>
                <w:noProof/>
                <w:webHidden/>
              </w:rPr>
              <w:instrText xml:space="preserve"> PAGEREF _Toc205559932 \h </w:instrText>
            </w:r>
            <w:r w:rsidR="004A69DA">
              <w:rPr>
                <w:noProof/>
                <w:webHidden/>
              </w:rPr>
            </w:r>
            <w:r w:rsidR="004A69DA">
              <w:rPr>
                <w:noProof/>
                <w:webHidden/>
              </w:rPr>
              <w:fldChar w:fldCharType="separate"/>
            </w:r>
            <w:r w:rsidR="004A69DA">
              <w:rPr>
                <w:noProof/>
                <w:webHidden/>
              </w:rPr>
              <w:t>2</w:t>
            </w:r>
            <w:r w:rsidR="004A69DA">
              <w:rPr>
                <w:noProof/>
                <w:webHidden/>
              </w:rPr>
              <w:fldChar w:fldCharType="end"/>
            </w:r>
          </w:hyperlink>
        </w:p>
        <w:p w14:paraId="1A5F5B49" w14:textId="7D35DC48"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3" w:history="1">
            <w:r w:rsidR="004A69DA" w:rsidRPr="009E3C83">
              <w:rPr>
                <w:rStyle w:val="Hyperlink"/>
                <w:noProof/>
                <w:lang w:val="en-GB"/>
              </w:rPr>
              <w:t>3</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lang w:val="en-GB"/>
              </w:rPr>
              <w:t xml:space="preserve">Framework </w:t>
            </w:r>
            <w:r w:rsidR="004A69DA" w:rsidRPr="009E3C83">
              <w:rPr>
                <w:rStyle w:val="Hyperlink"/>
                <w:noProof/>
              </w:rPr>
              <w:t>Information</w:t>
            </w:r>
            <w:r w:rsidR="004A69DA">
              <w:rPr>
                <w:noProof/>
                <w:webHidden/>
              </w:rPr>
              <w:tab/>
            </w:r>
            <w:r w:rsidR="004A69DA">
              <w:rPr>
                <w:noProof/>
                <w:webHidden/>
              </w:rPr>
              <w:fldChar w:fldCharType="begin"/>
            </w:r>
            <w:r w:rsidR="004A69DA">
              <w:rPr>
                <w:noProof/>
                <w:webHidden/>
              </w:rPr>
              <w:instrText xml:space="preserve"> PAGEREF _Toc205559933 \h </w:instrText>
            </w:r>
            <w:r w:rsidR="004A69DA">
              <w:rPr>
                <w:noProof/>
                <w:webHidden/>
              </w:rPr>
            </w:r>
            <w:r w:rsidR="004A69DA">
              <w:rPr>
                <w:noProof/>
                <w:webHidden/>
              </w:rPr>
              <w:fldChar w:fldCharType="separate"/>
            </w:r>
            <w:r w:rsidR="004A69DA">
              <w:rPr>
                <w:noProof/>
                <w:webHidden/>
              </w:rPr>
              <w:t>3</w:t>
            </w:r>
            <w:r w:rsidR="004A69DA">
              <w:rPr>
                <w:noProof/>
                <w:webHidden/>
              </w:rPr>
              <w:fldChar w:fldCharType="end"/>
            </w:r>
          </w:hyperlink>
        </w:p>
        <w:p w14:paraId="573DB145" w14:textId="3C6E7A97"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4" w:history="1">
            <w:r w:rsidR="004A69DA" w:rsidRPr="009E3C83">
              <w:rPr>
                <w:rStyle w:val="Hyperlink"/>
                <w:noProof/>
              </w:rPr>
              <w:t>4</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Duration of Framework Agreement</w:t>
            </w:r>
            <w:r w:rsidR="004A69DA">
              <w:rPr>
                <w:noProof/>
                <w:webHidden/>
              </w:rPr>
              <w:tab/>
            </w:r>
            <w:r w:rsidR="004A69DA">
              <w:rPr>
                <w:noProof/>
                <w:webHidden/>
              </w:rPr>
              <w:fldChar w:fldCharType="begin"/>
            </w:r>
            <w:r w:rsidR="004A69DA">
              <w:rPr>
                <w:noProof/>
                <w:webHidden/>
              </w:rPr>
              <w:instrText xml:space="preserve"> PAGEREF _Toc205559934 \h </w:instrText>
            </w:r>
            <w:r w:rsidR="004A69DA">
              <w:rPr>
                <w:noProof/>
                <w:webHidden/>
              </w:rPr>
            </w:r>
            <w:r w:rsidR="004A69DA">
              <w:rPr>
                <w:noProof/>
                <w:webHidden/>
              </w:rPr>
              <w:fldChar w:fldCharType="separate"/>
            </w:r>
            <w:r w:rsidR="004A69DA">
              <w:rPr>
                <w:noProof/>
                <w:webHidden/>
              </w:rPr>
              <w:t>3</w:t>
            </w:r>
            <w:r w:rsidR="004A69DA">
              <w:rPr>
                <w:noProof/>
                <w:webHidden/>
              </w:rPr>
              <w:fldChar w:fldCharType="end"/>
            </w:r>
          </w:hyperlink>
        </w:p>
        <w:p w14:paraId="74C69548" w14:textId="627FAC4A"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5" w:history="1">
            <w:r w:rsidR="004A69DA" w:rsidRPr="009E3C83">
              <w:rPr>
                <w:rStyle w:val="Hyperlink"/>
                <w:noProof/>
              </w:rPr>
              <w:t>5</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Access to the agreement</w:t>
            </w:r>
            <w:r w:rsidR="004A69DA">
              <w:rPr>
                <w:noProof/>
                <w:webHidden/>
              </w:rPr>
              <w:tab/>
            </w:r>
            <w:r w:rsidR="004A69DA">
              <w:rPr>
                <w:noProof/>
                <w:webHidden/>
              </w:rPr>
              <w:fldChar w:fldCharType="begin"/>
            </w:r>
            <w:r w:rsidR="004A69DA">
              <w:rPr>
                <w:noProof/>
                <w:webHidden/>
              </w:rPr>
              <w:instrText xml:space="preserve"> PAGEREF _Toc205559935 \h </w:instrText>
            </w:r>
            <w:r w:rsidR="004A69DA">
              <w:rPr>
                <w:noProof/>
                <w:webHidden/>
              </w:rPr>
            </w:r>
            <w:r w:rsidR="004A69DA">
              <w:rPr>
                <w:noProof/>
                <w:webHidden/>
              </w:rPr>
              <w:fldChar w:fldCharType="separate"/>
            </w:r>
            <w:r w:rsidR="004A69DA">
              <w:rPr>
                <w:noProof/>
                <w:webHidden/>
              </w:rPr>
              <w:t>4</w:t>
            </w:r>
            <w:r w:rsidR="004A69DA">
              <w:rPr>
                <w:noProof/>
                <w:webHidden/>
              </w:rPr>
              <w:fldChar w:fldCharType="end"/>
            </w:r>
          </w:hyperlink>
        </w:p>
        <w:p w14:paraId="0159D69C" w14:textId="1560565F"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6" w:history="1">
            <w:r w:rsidR="004A69DA" w:rsidRPr="009E3C83">
              <w:rPr>
                <w:rStyle w:val="Hyperlink"/>
                <w:noProof/>
              </w:rPr>
              <w:t>6</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Background Information</w:t>
            </w:r>
            <w:r w:rsidR="004A69DA">
              <w:rPr>
                <w:noProof/>
                <w:webHidden/>
              </w:rPr>
              <w:tab/>
            </w:r>
            <w:r w:rsidR="004A69DA">
              <w:rPr>
                <w:noProof/>
                <w:webHidden/>
              </w:rPr>
              <w:fldChar w:fldCharType="begin"/>
            </w:r>
            <w:r w:rsidR="004A69DA">
              <w:rPr>
                <w:noProof/>
                <w:webHidden/>
              </w:rPr>
              <w:instrText xml:space="preserve"> PAGEREF _Toc205559936 \h </w:instrText>
            </w:r>
            <w:r w:rsidR="004A69DA">
              <w:rPr>
                <w:noProof/>
                <w:webHidden/>
              </w:rPr>
            </w:r>
            <w:r w:rsidR="004A69DA">
              <w:rPr>
                <w:noProof/>
                <w:webHidden/>
              </w:rPr>
              <w:fldChar w:fldCharType="separate"/>
            </w:r>
            <w:r w:rsidR="004A69DA">
              <w:rPr>
                <w:noProof/>
                <w:webHidden/>
              </w:rPr>
              <w:t>4</w:t>
            </w:r>
            <w:r w:rsidR="004A69DA">
              <w:rPr>
                <w:noProof/>
                <w:webHidden/>
              </w:rPr>
              <w:fldChar w:fldCharType="end"/>
            </w:r>
          </w:hyperlink>
        </w:p>
        <w:p w14:paraId="6E8ABE10" w14:textId="0230C0A6" w:rsidR="004A69DA" w:rsidRDefault="00000000">
          <w:pPr>
            <w:pStyle w:val="TOC2"/>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7" w:history="1">
            <w:r w:rsidR="004A69DA" w:rsidRPr="009E3C83">
              <w:rPr>
                <w:rStyle w:val="Hyperlink"/>
                <w:noProof/>
                <w14:scene3d>
                  <w14:camera w14:prst="orthographicFront"/>
                  <w14:lightRig w14:rig="threePt" w14:dir="t">
                    <w14:rot w14:lat="0" w14:lon="0" w14:rev="0"/>
                  </w14:lightRig>
                </w14:scene3d>
              </w:rPr>
              <w:t>6.1</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University of Wales Trinity Saint David</w:t>
            </w:r>
            <w:r w:rsidR="004A69DA">
              <w:rPr>
                <w:noProof/>
                <w:webHidden/>
              </w:rPr>
              <w:tab/>
            </w:r>
            <w:r w:rsidR="004A69DA">
              <w:rPr>
                <w:noProof/>
                <w:webHidden/>
              </w:rPr>
              <w:fldChar w:fldCharType="begin"/>
            </w:r>
            <w:r w:rsidR="004A69DA">
              <w:rPr>
                <w:noProof/>
                <w:webHidden/>
              </w:rPr>
              <w:instrText xml:space="preserve"> PAGEREF _Toc205559937 \h </w:instrText>
            </w:r>
            <w:r w:rsidR="004A69DA">
              <w:rPr>
                <w:noProof/>
                <w:webHidden/>
              </w:rPr>
            </w:r>
            <w:r w:rsidR="004A69DA">
              <w:rPr>
                <w:noProof/>
                <w:webHidden/>
              </w:rPr>
              <w:fldChar w:fldCharType="separate"/>
            </w:r>
            <w:r w:rsidR="004A69DA">
              <w:rPr>
                <w:noProof/>
                <w:webHidden/>
              </w:rPr>
              <w:t>4</w:t>
            </w:r>
            <w:r w:rsidR="004A69DA">
              <w:rPr>
                <w:noProof/>
                <w:webHidden/>
              </w:rPr>
              <w:fldChar w:fldCharType="end"/>
            </w:r>
          </w:hyperlink>
        </w:p>
        <w:p w14:paraId="5BAA7023" w14:textId="65FA827B" w:rsidR="004A69DA" w:rsidRDefault="00000000">
          <w:pPr>
            <w:pStyle w:val="TOC2"/>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8" w:history="1">
            <w:r w:rsidR="004A69DA" w:rsidRPr="009E3C83">
              <w:rPr>
                <w:rStyle w:val="Hyperlink"/>
                <w:noProof/>
                <w14:scene3d>
                  <w14:camera w14:prst="orthographicFront"/>
                  <w14:lightRig w14:rig="threePt" w14:dir="t">
                    <w14:rot w14:lat="0" w14:lon="0" w14:rev="0"/>
                  </w14:lightRig>
                </w14:scene3d>
              </w:rPr>
              <w:t>6.2</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Coleg Sir G</w:t>
            </w:r>
            <w:r w:rsidR="004A69DA" w:rsidRPr="009E3C83">
              <w:rPr>
                <w:rStyle w:val="Hyperlink"/>
                <w:rFonts w:cstheme="minorHAnsi"/>
                <w:noProof/>
              </w:rPr>
              <w:t>â</w:t>
            </w:r>
            <w:r w:rsidR="004A69DA" w:rsidRPr="009E3C83">
              <w:rPr>
                <w:rStyle w:val="Hyperlink"/>
                <w:noProof/>
              </w:rPr>
              <w:t>r</w:t>
            </w:r>
            <w:r w:rsidR="004A69DA">
              <w:rPr>
                <w:noProof/>
                <w:webHidden/>
              </w:rPr>
              <w:tab/>
            </w:r>
            <w:r w:rsidR="004A69DA">
              <w:rPr>
                <w:noProof/>
                <w:webHidden/>
              </w:rPr>
              <w:fldChar w:fldCharType="begin"/>
            </w:r>
            <w:r w:rsidR="004A69DA">
              <w:rPr>
                <w:noProof/>
                <w:webHidden/>
              </w:rPr>
              <w:instrText xml:space="preserve"> PAGEREF _Toc205559938 \h </w:instrText>
            </w:r>
            <w:r w:rsidR="004A69DA">
              <w:rPr>
                <w:noProof/>
                <w:webHidden/>
              </w:rPr>
            </w:r>
            <w:r w:rsidR="004A69DA">
              <w:rPr>
                <w:noProof/>
                <w:webHidden/>
              </w:rPr>
              <w:fldChar w:fldCharType="separate"/>
            </w:r>
            <w:r w:rsidR="004A69DA">
              <w:rPr>
                <w:noProof/>
                <w:webHidden/>
              </w:rPr>
              <w:t>4</w:t>
            </w:r>
            <w:r w:rsidR="004A69DA">
              <w:rPr>
                <w:noProof/>
                <w:webHidden/>
              </w:rPr>
              <w:fldChar w:fldCharType="end"/>
            </w:r>
          </w:hyperlink>
        </w:p>
        <w:p w14:paraId="349CCB8D" w14:textId="551B6C57" w:rsidR="004A69DA" w:rsidRDefault="00000000">
          <w:pPr>
            <w:pStyle w:val="TOC2"/>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39" w:history="1">
            <w:r w:rsidR="004A69DA" w:rsidRPr="009E3C83">
              <w:rPr>
                <w:rStyle w:val="Hyperlink"/>
                <w:noProof/>
                <w14:scene3d>
                  <w14:camera w14:prst="orthographicFront"/>
                  <w14:lightRig w14:rig="threePt" w14:dir="t">
                    <w14:rot w14:lat="0" w14:lon="0" w14:rev="0"/>
                  </w14:lightRig>
                </w14:scene3d>
              </w:rPr>
              <w:t>6.3</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Coleg Ceredigion</w:t>
            </w:r>
            <w:r w:rsidR="004A69DA">
              <w:rPr>
                <w:noProof/>
                <w:webHidden/>
              </w:rPr>
              <w:tab/>
            </w:r>
            <w:r w:rsidR="004A69DA">
              <w:rPr>
                <w:noProof/>
                <w:webHidden/>
              </w:rPr>
              <w:fldChar w:fldCharType="begin"/>
            </w:r>
            <w:r w:rsidR="004A69DA">
              <w:rPr>
                <w:noProof/>
                <w:webHidden/>
              </w:rPr>
              <w:instrText xml:space="preserve"> PAGEREF _Toc205559939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7E39BC15" w14:textId="327BF0B9" w:rsidR="004A69DA" w:rsidRDefault="00000000">
          <w:pPr>
            <w:pStyle w:val="TOC2"/>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0" w:history="1">
            <w:r w:rsidR="004A69DA" w:rsidRPr="009E3C83">
              <w:rPr>
                <w:rStyle w:val="Hyperlink"/>
                <w:noProof/>
                <w14:scene3d>
                  <w14:camera w14:prst="orthographicFront"/>
                  <w14:lightRig w14:rig="threePt" w14:dir="t">
                    <w14:rot w14:lat="0" w14:lon="0" w14:rev="0"/>
                  </w14:lightRig>
                </w14:scene3d>
              </w:rPr>
              <w:t>6.4</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Pembrokeshire college</w:t>
            </w:r>
            <w:r w:rsidR="004A69DA">
              <w:rPr>
                <w:noProof/>
                <w:webHidden/>
              </w:rPr>
              <w:tab/>
            </w:r>
            <w:r w:rsidR="004A69DA">
              <w:rPr>
                <w:noProof/>
                <w:webHidden/>
              </w:rPr>
              <w:fldChar w:fldCharType="begin"/>
            </w:r>
            <w:r w:rsidR="004A69DA">
              <w:rPr>
                <w:noProof/>
                <w:webHidden/>
              </w:rPr>
              <w:instrText xml:space="preserve"> PAGEREF _Toc205559940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07F165FF" w14:textId="21CF50DA"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1" w:history="1">
            <w:r w:rsidR="004A69DA" w:rsidRPr="009E3C83">
              <w:rPr>
                <w:rStyle w:val="Hyperlink"/>
                <w:noProof/>
              </w:rPr>
              <w:t>7</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Campus Locations</w:t>
            </w:r>
            <w:r w:rsidR="004A69DA">
              <w:rPr>
                <w:noProof/>
                <w:webHidden/>
              </w:rPr>
              <w:tab/>
            </w:r>
            <w:r w:rsidR="004A69DA">
              <w:rPr>
                <w:noProof/>
                <w:webHidden/>
              </w:rPr>
              <w:fldChar w:fldCharType="begin"/>
            </w:r>
            <w:r w:rsidR="004A69DA">
              <w:rPr>
                <w:noProof/>
                <w:webHidden/>
              </w:rPr>
              <w:instrText xml:space="preserve"> PAGEREF _Toc205559941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52E29E8F" w14:textId="58817AB1" w:rsidR="004A69DA" w:rsidRDefault="00000000">
          <w:pPr>
            <w:pStyle w:val="TOC1"/>
            <w:tabs>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2" w:history="1">
            <w:r w:rsidR="004A69DA" w:rsidRPr="009E3C83">
              <w:rPr>
                <w:rStyle w:val="Hyperlink"/>
                <w:noProof/>
              </w:rPr>
              <w:t>University Of Wales Trinity Saint David</w:t>
            </w:r>
            <w:r w:rsidR="004A69DA">
              <w:rPr>
                <w:noProof/>
                <w:webHidden/>
              </w:rPr>
              <w:tab/>
            </w:r>
            <w:r w:rsidR="004A69DA">
              <w:rPr>
                <w:noProof/>
                <w:webHidden/>
              </w:rPr>
              <w:fldChar w:fldCharType="begin"/>
            </w:r>
            <w:r w:rsidR="004A69DA">
              <w:rPr>
                <w:noProof/>
                <w:webHidden/>
              </w:rPr>
              <w:instrText xml:space="preserve"> PAGEREF _Toc205559942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5AE9B342" w14:textId="66D1D24A" w:rsidR="004A69DA" w:rsidRDefault="00000000">
          <w:pPr>
            <w:pStyle w:val="TOC1"/>
            <w:tabs>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3" w:history="1">
            <w:r w:rsidR="004A69DA" w:rsidRPr="009E3C83">
              <w:rPr>
                <w:rStyle w:val="Hyperlink"/>
                <w:noProof/>
              </w:rPr>
              <w:t>Coleg Sir Gar</w:t>
            </w:r>
            <w:r w:rsidR="004A69DA">
              <w:rPr>
                <w:noProof/>
                <w:webHidden/>
              </w:rPr>
              <w:tab/>
            </w:r>
            <w:r w:rsidR="004A69DA">
              <w:rPr>
                <w:noProof/>
                <w:webHidden/>
              </w:rPr>
              <w:fldChar w:fldCharType="begin"/>
            </w:r>
            <w:r w:rsidR="004A69DA">
              <w:rPr>
                <w:noProof/>
                <w:webHidden/>
              </w:rPr>
              <w:instrText xml:space="preserve"> PAGEREF _Toc205559943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528EC69D" w14:textId="0F11B29F" w:rsidR="004A69DA" w:rsidRDefault="00000000">
          <w:pPr>
            <w:pStyle w:val="TOC1"/>
            <w:tabs>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4" w:history="1">
            <w:r w:rsidR="004A69DA" w:rsidRPr="009E3C83">
              <w:rPr>
                <w:rStyle w:val="Hyperlink"/>
                <w:noProof/>
              </w:rPr>
              <w:t>Coleg Ceredigion</w:t>
            </w:r>
            <w:r w:rsidR="004A69DA">
              <w:rPr>
                <w:noProof/>
                <w:webHidden/>
              </w:rPr>
              <w:tab/>
            </w:r>
            <w:r w:rsidR="004A69DA">
              <w:rPr>
                <w:noProof/>
                <w:webHidden/>
              </w:rPr>
              <w:fldChar w:fldCharType="begin"/>
            </w:r>
            <w:r w:rsidR="004A69DA">
              <w:rPr>
                <w:noProof/>
                <w:webHidden/>
              </w:rPr>
              <w:instrText xml:space="preserve"> PAGEREF _Toc205559944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4A66547E" w14:textId="717AA525" w:rsidR="004A69DA" w:rsidRDefault="00000000">
          <w:pPr>
            <w:pStyle w:val="TOC1"/>
            <w:tabs>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5" w:history="1">
            <w:r w:rsidR="004A69DA" w:rsidRPr="009E3C83">
              <w:rPr>
                <w:rStyle w:val="Hyperlink"/>
                <w:noProof/>
              </w:rPr>
              <w:t>Pembrokeshire College</w:t>
            </w:r>
            <w:r w:rsidR="004A69DA">
              <w:rPr>
                <w:noProof/>
                <w:webHidden/>
              </w:rPr>
              <w:tab/>
            </w:r>
            <w:r w:rsidR="004A69DA">
              <w:rPr>
                <w:noProof/>
                <w:webHidden/>
              </w:rPr>
              <w:fldChar w:fldCharType="begin"/>
            </w:r>
            <w:r w:rsidR="004A69DA">
              <w:rPr>
                <w:noProof/>
                <w:webHidden/>
              </w:rPr>
              <w:instrText xml:space="preserve"> PAGEREF _Toc205559945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52C44F59" w14:textId="7075563E"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6" w:history="1">
            <w:r w:rsidR="004A69DA" w:rsidRPr="009E3C83">
              <w:rPr>
                <w:rStyle w:val="Hyperlink"/>
                <w:noProof/>
              </w:rPr>
              <w:t>8</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Combined Liability Insurance</w:t>
            </w:r>
            <w:r w:rsidR="004A69DA">
              <w:rPr>
                <w:noProof/>
                <w:webHidden/>
              </w:rPr>
              <w:tab/>
            </w:r>
            <w:r w:rsidR="004A69DA">
              <w:rPr>
                <w:noProof/>
                <w:webHidden/>
              </w:rPr>
              <w:fldChar w:fldCharType="begin"/>
            </w:r>
            <w:r w:rsidR="004A69DA">
              <w:rPr>
                <w:noProof/>
                <w:webHidden/>
              </w:rPr>
              <w:instrText xml:space="preserve"> PAGEREF _Toc205559946 \h </w:instrText>
            </w:r>
            <w:r w:rsidR="004A69DA">
              <w:rPr>
                <w:noProof/>
                <w:webHidden/>
              </w:rPr>
            </w:r>
            <w:r w:rsidR="004A69DA">
              <w:rPr>
                <w:noProof/>
                <w:webHidden/>
              </w:rPr>
              <w:fldChar w:fldCharType="separate"/>
            </w:r>
            <w:r w:rsidR="004A69DA">
              <w:rPr>
                <w:noProof/>
                <w:webHidden/>
              </w:rPr>
              <w:t>5</w:t>
            </w:r>
            <w:r w:rsidR="004A69DA">
              <w:rPr>
                <w:noProof/>
                <w:webHidden/>
              </w:rPr>
              <w:fldChar w:fldCharType="end"/>
            </w:r>
          </w:hyperlink>
        </w:p>
        <w:p w14:paraId="5024E08C" w14:textId="7926E5A5" w:rsidR="004A69DA" w:rsidRDefault="00000000">
          <w:pPr>
            <w:pStyle w:val="TOC1"/>
            <w:tabs>
              <w:tab w:val="left" w:pos="44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7" w:history="1">
            <w:r w:rsidR="004A69DA" w:rsidRPr="009E3C83">
              <w:rPr>
                <w:rStyle w:val="Hyperlink"/>
                <w:noProof/>
              </w:rPr>
              <w:t>9</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Scope of Requirement and Framework Structure</w:t>
            </w:r>
            <w:r w:rsidR="004A69DA">
              <w:rPr>
                <w:noProof/>
                <w:webHidden/>
              </w:rPr>
              <w:tab/>
            </w:r>
            <w:r w:rsidR="004A69DA">
              <w:rPr>
                <w:noProof/>
                <w:webHidden/>
              </w:rPr>
              <w:fldChar w:fldCharType="begin"/>
            </w:r>
            <w:r w:rsidR="004A69DA">
              <w:rPr>
                <w:noProof/>
                <w:webHidden/>
              </w:rPr>
              <w:instrText xml:space="preserve"> PAGEREF _Toc205559947 \h </w:instrText>
            </w:r>
            <w:r w:rsidR="004A69DA">
              <w:rPr>
                <w:noProof/>
                <w:webHidden/>
              </w:rPr>
            </w:r>
            <w:r w:rsidR="004A69DA">
              <w:rPr>
                <w:noProof/>
                <w:webHidden/>
              </w:rPr>
              <w:fldChar w:fldCharType="separate"/>
            </w:r>
            <w:r w:rsidR="004A69DA">
              <w:rPr>
                <w:noProof/>
                <w:webHidden/>
              </w:rPr>
              <w:t>6</w:t>
            </w:r>
            <w:r w:rsidR="004A69DA">
              <w:rPr>
                <w:noProof/>
                <w:webHidden/>
              </w:rPr>
              <w:fldChar w:fldCharType="end"/>
            </w:r>
          </w:hyperlink>
        </w:p>
        <w:p w14:paraId="31C7452F" w14:textId="30CFD924" w:rsidR="004A69DA" w:rsidRDefault="00000000">
          <w:pPr>
            <w:pStyle w:val="TOC1"/>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8" w:history="1">
            <w:r w:rsidR="004A69DA" w:rsidRPr="009E3C83">
              <w:rPr>
                <w:rStyle w:val="Hyperlink"/>
                <w:noProof/>
              </w:rPr>
              <w:t>10</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General information</w:t>
            </w:r>
            <w:r w:rsidR="004A69DA">
              <w:rPr>
                <w:noProof/>
                <w:webHidden/>
              </w:rPr>
              <w:tab/>
            </w:r>
            <w:r w:rsidR="004A69DA">
              <w:rPr>
                <w:noProof/>
                <w:webHidden/>
              </w:rPr>
              <w:fldChar w:fldCharType="begin"/>
            </w:r>
            <w:r w:rsidR="004A69DA">
              <w:rPr>
                <w:noProof/>
                <w:webHidden/>
              </w:rPr>
              <w:instrText xml:space="preserve"> PAGEREF _Toc205559948 \h </w:instrText>
            </w:r>
            <w:r w:rsidR="004A69DA">
              <w:rPr>
                <w:noProof/>
                <w:webHidden/>
              </w:rPr>
            </w:r>
            <w:r w:rsidR="004A69DA">
              <w:rPr>
                <w:noProof/>
                <w:webHidden/>
              </w:rPr>
              <w:fldChar w:fldCharType="separate"/>
            </w:r>
            <w:r w:rsidR="004A69DA">
              <w:rPr>
                <w:noProof/>
                <w:webHidden/>
              </w:rPr>
              <w:t>6</w:t>
            </w:r>
            <w:r w:rsidR="004A69DA">
              <w:rPr>
                <w:noProof/>
                <w:webHidden/>
              </w:rPr>
              <w:fldChar w:fldCharType="end"/>
            </w:r>
          </w:hyperlink>
        </w:p>
        <w:p w14:paraId="44B5EC3F" w14:textId="3F053B11"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49" w:history="1">
            <w:r w:rsidR="004A69DA" w:rsidRPr="009E3C83">
              <w:rPr>
                <w:rStyle w:val="Hyperlink"/>
                <w:noProof/>
                <w14:scene3d>
                  <w14:camera w14:prst="orthographicFront"/>
                  <w14:lightRig w14:rig="threePt" w14:dir="t">
                    <w14:rot w14:lat="0" w14:lon="0" w14:rev="0"/>
                  </w14:lightRig>
                </w14:scene3d>
              </w:rPr>
              <w:t>10.1</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Staffing</w:t>
            </w:r>
            <w:r w:rsidR="004A69DA">
              <w:rPr>
                <w:noProof/>
                <w:webHidden/>
              </w:rPr>
              <w:tab/>
            </w:r>
            <w:r w:rsidR="004A69DA">
              <w:rPr>
                <w:noProof/>
                <w:webHidden/>
              </w:rPr>
              <w:fldChar w:fldCharType="begin"/>
            </w:r>
            <w:r w:rsidR="004A69DA">
              <w:rPr>
                <w:noProof/>
                <w:webHidden/>
              </w:rPr>
              <w:instrText xml:space="preserve"> PAGEREF _Toc205559949 \h </w:instrText>
            </w:r>
            <w:r w:rsidR="004A69DA">
              <w:rPr>
                <w:noProof/>
                <w:webHidden/>
              </w:rPr>
            </w:r>
            <w:r w:rsidR="004A69DA">
              <w:rPr>
                <w:noProof/>
                <w:webHidden/>
              </w:rPr>
              <w:fldChar w:fldCharType="separate"/>
            </w:r>
            <w:r w:rsidR="004A69DA">
              <w:rPr>
                <w:noProof/>
                <w:webHidden/>
              </w:rPr>
              <w:t>6</w:t>
            </w:r>
            <w:r w:rsidR="004A69DA">
              <w:rPr>
                <w:noProof/>
                <w:webHidden/>
              </w:rPr>
              <w:fldChar w:fldCharType="end"/>
            </w:r>
          </w:hyperlink>
        </w:p>
        <w:p w14:paraId="1235145E" w14:textId="3BE3EE68"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0" w:history="1">
            <w:r w:rsidR="004A69DA" w:rsidRPr="009E3C83">
              <w:rPr>
                <w:rStyle w:val="Hyperlink"/>
                <w:noProof/>
                <w14:scene3d>
                  <w14:camera w14:prst="orthographicFront"/>
                  <w14:lightRig w14:rig="threePt" w14:dir="t">
                    <w14:rot w14:lat="0" w14:lon="0" w14:rev="0"/>
                  </w14:lightRig>
                </w14:scene3d>
              </w:rPr>
              <w:t>10.2</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Skills</w:t>
            </w:r>
            <w:r w:rsidR="004A69DA" w:rsidRPr="009E3C83">
              <w:rPr>
                <w:rStyle w:val="Hyperlink"/>
                <w:rFonts w:cstheme="minorHAnsi"/>
                <w:noProof/>
              </w:rPr>
              <w:t xml:space="preserve">, </w:t>
            </w:r>
            <w:r w:rsidR="004A69DA" w:rsidRPr="009E3C83">
              <w:rPr>
                <w:rStyle w:val="Hyperlink"/>
                <w:noProof/>
              </w:rPr>
              <w:t>Knowledge</w:t>
            </w:r>
            <w:r w:rsidR="004A69DA" w:rsidRPr="009E3C83">
              <w:rPr>
                <w:rStyle w:val="Hyperlink"/>
                <w:rFonts w:cstheme="minorHAnsi"/>
                <w:noProof/>
              </w:rPr>
              <w:t xml:space="preserve">, </w:t>
            </w:r>
            <w:r w:rsidR="004A69DA" w:rsidRPr="009E3C83">
              <w:rPr>
                <w:rStyle w:val="Hyperlink"/>
                <w:noProof/>
              </w:rPr>
              <w:t>and</w:t>
            </w:r>
            <w:r w:rsidR="004A69DA" w:rsidRPr="009E3C83">
              <w:rPr>
                <w:rStyle w:val="Hyperlink"/>
                <w:rFonts w:cstheme="minorHAnsi"/>
                <w:noProof/>
              </w:rPr>
              <w:t xml:space="preserve"> </w:t>
            </w:r>
            <w:r w:rsidR="004A69DA" w:rsidRPr="009E3C83">
              <w:rPr>
                <w:rStyle w:val="Hyperlink"/>
                <w:noProof/>
              </w:rPr>
              <w:t>Expertise</w:t>
            </w:r>
            <w:r w:rsidR="004A69DA">
              <w:rPr>
                <w:noProof/>
                <w:webHidden/>
              </w:rPr>
              <w:tab/>
            </w:r>
            <w:r w:rsidR="004A69DA">
              <w:rPr>
                <w:noProof/>
                <w:webHidden/>
              </w:rPr>
              <w:fldChar w:fldCharType="begin"/>
            </w:r>
            <w:r w:rsidR="004A69DA">
              <w:rPr>
                <w:noProof/>
                <w:webHidden/>
              </w:rPr>
              <w:instrText xml:space="preserve"> PAGEREF _Toc205559950 \h </w:instrText>
            </w:r>
            <w:r w:rsidR="004A69DA">
              <w:rPr>
                <w:noProof/>
                <w:webHidden/>
              </w:rPr>
            </w:r>
            <w:r w:rsidR="004A69DA">
              <w:rPr>
                <w:noProof/>
                <w:webHidden/>
              </w:rPr>
              <w:fldChar w:fldCharType="separate"/>
            </w:r>
            <w:r w:rsidR="004A69DA">
              <w:rPr>
                <w:noProof/>
                <w:webHidden/>
              </w:rPr>
              <w:t>6</w:t>
            </w:r>
            <w:r w:rsidR="004A69DA">
              <w:rPr>
                <w:noProof/>
                <w:webHidden/>
              </w:rPr>
              <w:fldChar w:fldCharType="end"/>
            </w:r>
          </w:hyperlink>
        </w:p>
        <w:p w14:paraId="195B07B5" w14:textId="5E50FF9B"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1" w:history="1">
            <w:r w:rsidR="004A69DA" w:rsidRPr="009E3C83">
              <w:rPr>
                <w:rStyle w:val="Hyperlink"/>
                <w:noProof/>
                <w14:scene3d>
                  <w14:camera w14:prst="orthographicFront"/>
                  <w14:lightRig w14:rig="threePt" w14:dir="t">
                    <w14:rot w14:lat="0" w14:lon="0" w14:rev="0"/>
                  </w14:lightRig>
                </w14:scene3d>
              </w:rPr>
              <w:t>10.3</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Legislation</w:t>
            </w:r>
            <w:r w:rsidR="004A69DA">
              <w:rPr>
                <w:noProof/>
                <w:webHidden/>
              </w:rPr>
              <w:tab/>
            </w:r>
            <w:r w:rsidR="004A69DA">
              <w:rPr>
                <w:noProof/>
                <w:webHidden/>
              </w:rPr>
              <w:fldChar w:fldCharType="begin"/>
            </w:r>
            <w:r w:rsidR="004A69DA">
              <w:rPr>
                <w:noProof/>
                <w:webHidden/>
              </w:rPr>
              <w:instrText xml:space="preserve"> PAGEREF _Toc205559951 \h </w:instrText>
            </w:r>
            <w:r w:rsidR="004A69DA">
              <w:rPr>
                <w:noProof/>
                <w:webHidden/>
              </w:rPr>
            </w:r>
            <w:r w:rsidR="004A69DA">
              <w:rPr>
                <w:noProof/>
                <w:webHidden/>
              </w:rPr>
              <w:fldChar w:fldCharType="separate"/>
            </w:r>
            <w:r w:rsidR="004A69DA">
              <w:rPr>
                <w:noProof/>
                <w:webHidden/>
              </w:rPr>
              <w:t>6</w:t>
            </w:r>
            <w:r w:rsidR="004A69DA">
              <w:rPr>
                <w:noProof/>
                <w:webHidden/>
              </w:rPr>
              <w:fldChar w:fldCharType="end"/>
            </w:r>
          </w:hyperlink>
        </w:p>
        <w:p w14:paraId="54436F03" w14:textId="1A874836"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2" w:history="1">
            <w:r w:rsidR="004A69DA" w:rsidRPr="009E3C83">
              <w:rPr>
                <w:rStyle w:val="Hyperlink"/>
                <w:noProof/>
                <w14:scene3d>
                  <w14:camera w14:prst="orthographicFront"/>
                  <w14:lightRig w14:rig="threePt" w14:dir="t">
                    <w14:rot w14:lat="0" w14:lon="0" w14:rev="0"/>
                  </w14:lightRig>
                </w14:scene3d>
              </w:rPr>
              <w:t>10.4</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rFonts w:cstheme="minorHAnsi"/>
                <w:noProof/>
              </w:rPr>
              <w:t xml:space="preserve">Service </w:t>
            </w:r>
            <w:r w:rsidR="004A69DA" w:rsidRPr="009E3C83">
              <w:rPr>
                <w:rStyle w:val="Hyperlink"/>
                <w:noProof/>
              </w:rPr>
              <w:t>Management</w:t>
            </w:r>
            <w:r w:rsidR="004A69DA">
              <w:rPr>
                <w:noProof/>
                <w:webHidden/>
              </w:rPr>
              <w:tab/>
            </w:r>
            <w:r w:rsidR="004A69DA">
              <w:rPr>
                <w:noProof/>
                <w:webHidden/>
              </w:rPr>
              <w:fldChar w:fldCharType="begin"/>
            </w:r>
            <w:r w:rsidR="004A69DA">
              <w:rPr>
                <w:noProof/>
                <w:webHidden/>
              </w:rPr>
              <w:instrText xml:space="preserve"> PAGEREF _Toc205559952 \h </w:instrText>
            </w:r>
            <w:r w:rsidR="004A69DA">
              <w:rPr>
                <w:noProof/>
                <w:webHidden/>
              </w:rPr>
            </w:r>
            <w:r w:rsidR="004A69DA">
              <w:rPr>
                <w:noProof/>
                <w:webHidden/>
              </w:rPr>
              <w:fldChar w:fldCharType="separate"/>
            </w:r>
            <w:r w:rsidR="004A69DA">
              <w:rPr>
                <w:noProof/>
                <w:webHidden/>
              </w:rPr>
              <w:t>6</w:t>
            </w:r>
            <w:r w:rsidR="004A69DA">
              <w:rPr>
                <w:noProof/>
                <w:webHidden/>
              </w:rPr>
              <w:fldChar w:fldCharType="end"/>
            </w:r>
          </w:hyperlink>
        </w:p>
        <w:p w14:paraId="3A06B223" w14:textId="557F1018"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3" w:history="1">
            <w:r w:rsidR="004A69DA" w:rsidRPr="009E3C83">
              <w:rPr>
                <w:rStyle w:val="Hyperlink"/>
                <w:noProof/>
                <w14:scene3d>
                  <w14:camera w14:prst="orthographicFront"/>
                  <w14:lightRig w14:rig="threePt" w14:dir="t">
                    <w14:rot w14:lat="0" w14:lon="0" w14:rev="0"/>
                  </w14:lightRig>
                </w14:scene3d>
              </w:rPr>
              <w:t>10.5</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rFonts w:cstheme="minorHAnsi"/>
                <w:noProof/>
              </w:rPr>
              <w:t>Exit Strategy</w:t>
            </w:r>
            <w:r w:rsidR="004A69DA">
              <w:rPr>
                <w:noProof/>
                <w:webHidden/>
              </w:rPr>
              <w:tab/>
            </w:r>
            <w:r w:rsidR="004A69DA">
              <w:rPr>
                <w:noProof/>
                <w:webHidden/>
              </w:rPr>
              <w:fldChar w:fldCharType="begin"/>
            </w:r>
            <w:r w:rsidR="004A69DA">
              <w:rPr>
                <w:noProof/>
                <w:webHidden/>
              </w:rPr>
              <w:instrText xml:space="preserve"> PAGEREF _Toc205559953 \h </w:instrText>
            </w:r>
            <w:r w:rsidR="004A69DA">
              <w:rPr>
                <w:noProof/>
                <w:webHidden/>
              </w:rPr>
            </w:r>
            <w:r w:rsidR="004A69DA">
              <w:rPr>
                <w:noProof/>
                <w:webHidden/>
              </w:rPr>
              <w:fldChar w:fldCharType="separate"/>
            </w:r>
            <w:r w:rsidR="004A69DA">
              <w:rPr>
                <w:noProof/>
                <w:webHidden/>
              </w:rPr>
              <w:t>7</w:t>
            </w:r>
            <w:r w:rsidR="004A69DA">
              <w:rPr>
                <w:noProof/>
                <w:webHidden/>
              </w:rPr>
              <w:fldChar w:fldCharType="end"/>
            </w:r>
          </w:hyperlink>
        </w:p>
        <w:p w14:paraId="2DECBFB5" w14:textId="78A451DE"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4" w:history="1">
            <w:r w:rsidR="004A69DA" w:rsidRPr="009E3C83">
              <w:rPr>
                <w:rStyle w:val="Hyperlink"/>
                <w:noProof/>
                <w14:scene3d>
                  <w14:camera w14:prst="orthographicFront"/>
                  <w14:lightRig w14:rig="threePt" w14:dir="t">
                    <w14:rot w14:lat="0" w14:lon="0" w14:rev="0"/>
                  </w14:lightRig>
                </w14:scene3d>
              </w:rPr>
              <w:t>10.6</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rFonts w:cstheme="minorHAnsi"/>
                <w:noProof/>
              </w:rPr>
              <w:t>Business Continuity</w:t>
            </w:r>
            <w:r w:rsidR="004A69DA">
              <w:rPr>
                <w:noProof/>
                <w:webHidden/>
              </w:rPr>
              <w:tab/>
            </w:r>
            <w:r w:rsidR="004A69DA">
              <w:rPr>
                <w:noProof/>
                <w:webHidden/>
              </w:rPr>
              <w:fldChar w:fldCharType="begin"/>
            </w:r>
            <w:r w:rsidR="004A69DA">
              <w:rPr>
                <w:noProof/>
                <w:webHidden/>
              </w:rPr>
              <w:instrText xml:space="preserve"> PAGEREF _Toc205559954 \h </w:instrText>
            </w:r>
            <w:r w:rsidR="004A69DA">
              <w:rPr>
                <w:noProof/>
                <w:webHidden/>
              </w:rPr>
            </w:r>
            <w:r w:rsidR="004A69DA">
              <w:rPr>
                <w:noProof/>
                <w:webHidden/>
              </w:rPr>
              <w:fldChar w:fldCharType="separate"/>
            </w:r>
            <w:r w:rsidR="004A69DA">
              <w:rPr>
                <w:noProof/>
                <w:webHidden/>
              </w:rPr>
              <w:t>7</w:t>
            </w:r>
            <w:r w:rsidR="004A69DA">
              <w:rPr>
                <w:noProof/>
                <w:webHidden/>
              </w:rPr>
              <w:fldChar w:fldCharType="end"/>
            </w:r>
          </w:hyperlink>
        </w:p>
        <w:p w14:paraId="6E83582B" w14:textId="74C27450"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5" w:history="1">
            <w:r w:rsidR="004A69DA" w:rsidRPr="009E3C83">
              <w:rPr>
                <w:rStyle w:val="Hyperlink"/>
                <w:noProof/>
                <w14:scene3d>
                  <w14:camera w14:prst="orthographicFront"/>
                  <w14:lightRig w14:rig="threePt" w14:dir="t">
                    <w14:rot w14:lat="0" w14:lon="0" w14:rev="0"/>
                  </w14:lightRig>
                </w14:scene3d>
              </w:rPr>
              <w:t>10.7</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Sub-Contractors / Consultants</w:t>
            </w:r>
            <w:r w:rsidR="004A69DA">
              <w:rPr>
                <w:noProof/>
                <w:webHidden/>
              </w:rPr>
              <w:tab/>
            </w:r>
            <w:r w:rsidR="004A69DA">
              <w:rPr>
                <w:noProof/>
                <w:webHidden/>
              </w:rPr>
              <w:fldChar w:fldCharType="begin"/>
            </w:r>
            <w:r w:rsidR="004A69DA">
              <w:rPr>
                <w:noProof/>
                <w:webHidden/>
              </w:rPr>
              <w:instrText xml:space="preserve"> PAGEREF _Toc205559955 \h </w:instrText>
            </w:r>
            <w:r w:rsidR="004A69DA">
              <w:rPr>
                <w:noProof/>
                <w:webHidden/>
              </w:rPr>
            </w:r>
            <w:r w:rsidR="004A69DA">
              <w:rPr>
                <w:noProof/>
                <w:webHidden/>
              </w:rPr>
              <w:fldChar w:fldCharType="separate"/>
            </w:r>
            <w:r w:rsidR="004A69DA">
              <w:rPr>
                <w:noProof/>
                <w:webHidden/>
              </w:rPr>
              <w:t>7</w:t>
            </w:r>
            <w:r w:rsidR="004A69DA">
              <w:rPr>
                <w:noProof/>
                <w:webHidden/>
              </w:rPr>
              <w:fldChar w:fldCharType="end"/>
            </w:r>
          </w:hyperlink>
        </w:p>
        <w:p w14:paraId="3FDA6C85" w14:textId="2A3B51D8" w:rsidR="004A69DA" w:rsidRDefault="00000000">
          <w:pPr>
            <w:pStyle w:val="TOC1"/>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6" w:history="1">
            <w:r w:rsidR="004A69DA" w:rsidRPr="009E3C83">
              <w:rPr>
                <w:rStyle w:val="Hyperlink"/>
                <w:noProof/>
              </w:rPr>
              <w:t>11</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Guidance for Calling-off from the Framework Agreement</w:t>
            </w:r>
            <w:r w:rsidR="004A69DA">
              <w:rPr>
                <w:noProof/>
                <w:webHidden/>
              </w:rPr>
              <w:tab/>
            </w:r>
            <w:r w:rsidR="004A69DA">
              <w:rPr>
                <w:noProof/>
                <w:webHidden/>
              </w:rPr>
              <w:fldChar w:fldCharType="begin"/>
            </w:r>
            <w:r w:rsidR="004A69DA">
              <w:rPr>
                <w:noProof/>
                <w:webHidden/>
              </w:rPr>
              <w:instrText xml:space="preserve"> PAGEREF _Toc205559956 \h </w:instrText>
            </w:r>
            <w:r w:rsidR="004A69DA">
              <w:rPr>
                <w:noProof/>
                <w:webHidden/>
              </w:rPr>
            </w:r>
            <w:r w:rsidR="004A69DA">
              <w:rPr>
                <w:noProof/>
                <w:webHidden/>
              </w:rPr>
              <w:fldChar w:fldCharType="separate"/>
            </w:r>
            <w:r w:rsidR="004A69DA">
              <w:rPr>
                <w:noProof/>
                <w:webHidden/>
              </w:rPr>
              <w:t>7</w:t>
            </w:r>
            <w:r w:rsidR="004A69DA">
              <w:rPr>
                <w:noProof/>
                <w:webHidden/>
              </w:rPr>
              <w:fldChar w:fldCharType="end"/>
            </w:r>
          </w:hyperlink>
        </w:p>
        <w:p w14:paraId="398210BE" w14:textId="482A0372"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7" w:history="1">
            <w:r w:rsidR="004A69DA" w:rsidRPr="009E3C83">
              <w:rPr>
                <w:rStyle w:val="Hyperlink"/>
                <w:noProof/>
                <w14:scene3d>
                  <w14:camera w14:prst="orthographicFront"/>
                  <w14:lightRig w14:rig="threePt" w14:dir="t">
                    <w14:rot w14:lat="0" w14:lon="0" w14:rev="0"/>
                  </w14:lightRig>
                </w14:scene3d>
              </w:rPr>
              <w:t>11.1</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Call-Off Process 1 - Mini-Competition</w:t>
            </w:r>
            <w:r w:rsidR="004A69DA">
              <w:rPr>
                <w:noProof/>
                <w:webHidden/>
              </w:rPr>
              <w:tab/>
            </w:r>
            <w:r w:rsidR="004A69DA">
              <w:rPr>
                <w:noProof/>
                <w:webHidden/>
              </w:rPr>
              <w:fldChar w:fldCharType="begin"/>
            </w:r>
            <w:r w:rsidR="004A69DA">
              <w:rPr>
                <w:noProof/>
                <w:webHidden/>
              </w:rPr>
              <w:instrText xml:space="preserve"> PAGEREF _Toc205559957 \h </w:instrText>
            </w:r>
            <w:r w:rsidR="004A69DA">
              <w:rPr>
                <w:noProof/>
                <w:webHidden/>
              </w:rPr>
            </w:r>
            <w:r w:rsidR="004A69DA">
              <w:rPr>
                <w:noProof/>
                <w:webHidden/>
              </w:rPr>
              <w:fldChar w:fldCharType="separate"/>
            </w:r>
            <w:r w:rsidR="004A69DA">
              <w:rPr>
                <w:noProof/>
                <w:webHidden/>
              </w:rPr>
              <w:t>8</w:t>
            </w:r>
            <w:r w:rsidR="004A69DA">
              <w:rPr>
                <w:noProof/>
                <w:webHidden/>
              </w:rPr>
              <w:fldChar w:fldCharType="end"/>
            </w:r>
          </w:hyperlink>
        </w:p>
        <w:p w14:paraId="4DC92E7A" w14:textId="6583F8AE"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8" w:history="1">
            <w:r w:rsidR="004A69DA" w:rsidRPr="009E3C83">
              <w:rPr>
                <w:rStyle w:val="Hyperlink"/>
                <w:noProof/>
                <w:lang w:val="en-GB" w:eastAsia="en-GB"/>
                <w14:scene3d>
                  <w14:camera w14:prst="orthographicFront"/>
                  <w14:lightRig w14:rig="threePt" w14:dir="t">
                    <w14:rot w14:lat="0" w14:lon="0" w14:rev="0"/>
                  </w14:lightRig>
                </w14:scene3d>
              </w:rPr>
              <w:t>11.2</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lang w:val="en-GB" w:eastAsia="en-GB"/>
              </w:rPr>
              <w:t>Call-Off Process 2 - Direct Award (Rotation Based) to below threshold for goods and services</w:t>
            </w:r>
            <w:r w:rsidR="004A69DA">
              <w:rPr>
                <w:noProof/>
                <w:webHidden/>
              </w:rPr>
              <w:tab/>
            </w:r>
            <w:r w:rsidR="004A69DA">
              <w:rPr>
                <w:noProof/>
                <w:webHidden/>
              </w:rPr>
              <w:fldChar w:fldCharType="begin"/>
            </w:r>
            <w:r w:rsidR="004A69DA">
              <w:rPr>
                <w:noProof/>
                <w:webHidden/>
              </w:rPr>
              <w:instrText xml:space="preserve"> PAGEREF _Toc205559958 \h </w:instrText>
            </w:r>
            <w:r w:rsidR="004A69DA">
              <w:rPr>
                <w:noProof/>
                <w:webHidden/>
              </w:rPr>
            </w:r>
            <w:r w:rsidR="004A69DA">
              <w:rPr>
                <w:noProof/>
                <w:webHidden/>
              </w:rPr>
              <w:fldChar w:fldCharType="separate"/>
            </w:r>
            <w:r w:rsidR="004A69DA">
              <w:rPr>
                <w:noProof/>
                <w:webHidden/>
              </w:rPr>
              <w:t>8</w:t>
            </w:r>
            <w:r w:rsidR="004A69DA">
              <w:rPr>
                <w:noProof/>
                <w:webHidden/>
              </w:rPr>
              <w:fldChar w:fldCharType="end"/>
            </w:r>
          </w:hyperlink>
        </w:p>
        <w:p w14:paraId="3A08D5EA" w14:textId="2264D4E0"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59" w:history="1">
            <w:r w:rsidR="004A69DA" w:rsidRPr="009E3C83">
              <w:rPr>
                <w:rStyle w:val="Hyperlink"/>
                <w:noProof/>
                <w14:scene3d>
                  <w14:camera w14:prst="orthographicFront"/>
                  <w14:lightRig w14:rig="threePt" w14:dir="t">
                    <w14:rot w14:lat="0" w14:lon="0" w14:rev="0"/>
                  </w14:lightRig>
                </w14:scene3d>
              </w:rPr>
              <w:t>11.3</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Call-Off Process 3 - Desktop Exercise</w:t>
            </w:r>
            <w:r w:rsidR="004A69DA">
              <w:rPr>
                <w:noProof/>
                <w:webHidden/>
              </w:rPr>
              <w:tab/>
            </w:r>
            <w:r w:rsidR="004A69DA">
              <w:rPr>
                <w:noProof/>
                <w:webHidden/>
              </w:rPr>
              <w:fldChar w:fldCharType="begin"/>
            </w:r>
            <w:r w:rsidR="004A69DA">
              <w:rPr>
                <w:noProof/>
                <w:webHidden/>
              </w:rPr>
              <w:instrText xml:space="preserve"> PAGEREF _Toc205559959 \h </w:instrText>
            </w:r>
            <w:r w:rsidR="004A69DA">
              <w:rPr>
                <w:noProof/>
                <w:webHidden/>
              </w:rPr>
            </w:r>
            <w:r w:rsidR="004A69DA">
              <w:rPr>
                <w:noProof/>
                <w:webHidden/>
              </w:rPr>
              <w:fldChar w:fldCharType="separate"/>
            </w:r>
            <w:r w:rsidR="004A69DA">
              <w:rPr>
                <w:noProof/>
                <w:webHidden/>
              </w:rPr>
              <w:t>8</w:t>
            </w:r>
            <w:r w:rsidR="004A69DA">
              <w:rPr>
                <w:noProof/>
                <w:webHidden/>
              </w:rPr>
              <w:fldChar w:fldCharType="end"/>
            </w:r>
          </w:hyperlink>
        </w:p>
        <w:p w14:paraId="00033273" w14:textId="630A05CA" w:rsidR="004A69DA" w:rsidRDefault="00000000">
          <w:pPr>
            <w:pStyle w:val="TOC1"/>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60" w:history="1">
            <w:r w:rsidR="004A69DA" w:rsidRPr="009E3C83">
              <w:rPr>
                <w:rStyle w:val="Hyperlink"/>
                <w:noProof/>
              </w:rPr>
              <w:t>12</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Key Performance Indicators</w:t>
            </w:r>
            <w:r w:rsidR="004A69DA">
              <w:rPr>
                <w:noProof/>
                <w:webHidden/>
              </w:rPr>
              <w:tab/>
            </w:r>
            <w:r w:rsidR="004A69DA">
              <w:rPr>
                <w:noProof/>
                <w:webHidden/>
              </w:rPr>
              <w:fldChar w:fldCharType="begin"/>
            </w:r>
            <w:r w:rsidR="004A69DA">
              <w:rPr>
                <w:noProof/>
                <w:webHidden/>
              </w:rPr>
              <w:instrText xml:space="preserve"> PAGEREF _Toc205559960 \h </w:instrText>
            </w:r>
            <w:r w:rsidR="004A69DA">
              <w:rPr>
                <w:noProof/>
                <w:webHidden/>
              </w:rPr>
            </w:r>
            <w:r w:rsidR="004A69DA">
              <w:rPr>
                <w:noProof/>
                <w:webHidden/>
              </w:rPr>
              <w:fldChar w:fldCharType="separate"/>
            </w:r>
            <w:r w:rsidR="004A69DA">
              <w:rPr>
                <w:noProof/>
                <w:webHidden/>
              </w:rPr>
              <w:t>9</w:t>
            </w:r>
            <w:r w:rsidR="004A69DA">
              <w:rPr>
                <w:noProof/>
                <w:webHidden/>
              </w:rPr>
              <w:fldChar w:fldCharType="end"/>
            </w:r>
          </w:hyperlink>
        </w:p>
        <w:p w14:paraId="15B32159" w14:textId="2F0A2E3D" w:rsidR="004A69DA" w:rsidRDefault="00000000">
          <w:pPr>
            <w:pStyle w:val="TOC1"/>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61" w:history="1">
            <w:r w:rsidR="004A69DA" w:rsidRPr="009E3C83">
              <w:rPr>
                <w:rStyle w:val="Hyperlink"/>
                <w:noProof/>
              </w:rPr>
              <w:t>13</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Supplier Sustainability Action Plan</w:t>
            </w:r>
            <w:r w:rsidR="004A69DA">
              <w:rPr>
                <w:noProof/>
                <w:webHidden/>
              </w:rPr>
              <w:tab/>
            </w:r>
            <w:r w:rsidR="004A69DA">
              <w:rPr>
                <w:noProof/>
                <w:webHidden/>
              </w:rPr>
              <w:fldChar w:fldCharType="begin"/>
            </w:r>
            <w:r w:rsidR="004A69DA">
              <w:rPr>
                <w:noProof/>
                <w:webHidden/>
              </w:rPr>
              <w:instrText xml:space="preserve"> PAGEREF _Toc205559961 \h </w:instrText>
            </w:r>
            <w:r w:rsidR="004A69DA">
              <w:rPr>
                <w:noProof/>
                <w:webHidden/>
              </w:rPr>
            </w:r>
            <w:r w:rsidR="004A69DA">
              <w:rPr>
                <w:noProof/>
                <w:webHidden/>
              </w:rPr>
              <w:fldChar w:fldCharType="separate"/>
            </w:r>
            <w:r w:rsidR="004A69DA">
              <w:rPr>
                <w:noProof/>
                <w:webHidden/>
              </w:rPr>
              <w:t>9</w:t>
            </w:r>
            <w:r w:rsidR="004A69DA">
              <w:rPr>
                <w:noProof/>
                <w:webHidden/>
              </w:rPr>
              <w:fldChar w:fldCharType="end"/>
            </w:r>
          </w:hyperlink>
        </w:p>
        <w:p w14:paraId="14131653" w14:textId="1C2C51CB" w:rsidR="004A69DA" w:rsidRDefault="00000000">
          <w:pPr>
            <w:pStyle w:val="TOC1"/>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62" w:history="1">
            <w:r w:rsidR="004A69DA" w:rsidRPr="009E3C83">
              <w:rPr>
                <w:rStyle w:val="Hyperlink"/>
                <w:noProof/>
              </w:rPr>
              <w:t>14</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Community Benefits</w:t>
            </w:r>
            <w:r w:rsidR="004A69DA">
              <w:rPr>
                <w:noProof/>
                <w:webHidden/>
              </w:rPr>
              <w:tab/>
            </w:r>
            <w:r w:rsidR="004A69DA">
              <w:rPr>
                <w:noProof/>
                <w:webHidden/>
              </w:rPr>
              <w:fldChar w:fldCharType="begin"/>
            </w:r>
            <w:r w:rsidR="004A69DA">
              <w:rPr>
                <w:noProof/>
                <w:webHidden/>
              </w:rPr>
              <w:instrText xml:space="preserve"> PAGEREF _Toc205559962 \h </w:instrText>
            </w:r>
            <w:r w:rsidR="004A69DA">
              <w:rPr>
                <w:noProof/>
                <w:webHidden/>
              </w:rPr>
            </w:r>
            <w:r w:rsidR="004A69DA">
              <w:rPr>
                <w:noProof/>
                <w:webHidden/>
              </w:rPr>
              <w:fldChar w:fldCharType="separate"/>
            </w:r>
            <w:r w:rsidR="004A69DA">
              <w:rPr>
                <w:noProof/>
                <w:webHidden/>
              </w:rPr>
              <w:t>10</w:t>
            </w:r>
            <w:r w:rsidR="004A69DA">
              <w:rPr>
                <w:noProof/>
                <w:webHidden/>
              </w:rPr>
              <w:fldChar w:fldCharType="end"/>
            </w:r>
          </w:hyperlink>
        </w:p>
        <w:p w14:paraId="3B4C17ED" w14:textId="11836258" w:rsidR="004A69DA" w:rsidRDefault="00000000">
          <w:pPr>
            <w:pStyle w:val="TOC1"/>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63" w:history="1">
            <w:r w:rsidR="004A69DA" w:rsidRPr="009E3C83">
              <w:rPr>
                <w:rStyle w:val="Hyperlink"/>
                <w:noProof/>
              </w:rPr>
              <w:t>15</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Tender Evaluation Criteria</w:t>
            </w:r>
            <w:r w:rsidR="004A69DA">
              <w:rPr>
                <w:noProof/>
                <w:webHidden/>
              </w:rPr>
              <w:tab/>
            </w:r>
            <w:r w:rsidR="004A69DA">
              <w:rPr>
                <w:noProof/>
                <w:webHidden/>
              </w:rPr>
              <w:fldChar w:fldCharType="begin"/>
            </w:r>
            <w:r w:rsidR="004A69DA">
              <w:rPr>
                <w:noProof/>
                <w:webHidden/>
              </w:rPr>
              <w:instrText xml:space="preserve"> PAGEREF _Toc205559963 \h </w:instrText>
            </w:r>
            <w:r w:rsidR="004A69DA">
              <w:rPr>
                <w:noProof/>
                <w:webHidden/>
              </w:rPr>
            </w:r>
            <w:r w:rsidR="004A69DA">
              <w:rPr>
                <w:noProof/>
                <w:webHidden/>
              </w:rPr>
              <w:fldChar w:fldCharType="separate"/>
            </w:r>
            <w:r w:rsidR="004A69DA">
              <w:rPr>
                <w:noProof/>
                <w:webHidden/>
              </w:rPr>
              <w:t>11</w:t>
            </w:r>
            <w:r w:rsidR="004A69DA">
              <w:rPr>
                <w:noProof/>
                <w:webHidden/>
              </w:rPr>
              <w:fldChar w:fldCharType="end"/>
            </w:r>
          </w:hyperlink>
        </w:p>
        <w:p w14:paraId="713EAFE8" w14:textId="60494DE1"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64" w:history="1">
            <w:r w:rsidR="004A69DA" w:rsidRPr="009E3C83">
              <w:rPr>
                <w:rStyle w:val="Hyperlink"/>
                <w:noProof/>
                <w14:scene3d>
                  <w14:camera w14:prst="orthographicFront"/>
                  <w14:lightRig w14:rig="threePt" w14:dir="t">
                    <w14:rot w14:lat="0" w14:lon="0" w14:rev="0"/>
                  </w14:lightRig>
                </w14:scene3d>
              </w:rPr>
              <w:t>15.1</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rFonts w:eastAsia="Arial" w:cstheme="minorHAnsi"/>
                <w:noProof/>
              </w:rPr>
              <w:t>Capacity and Capability Assessment</w:t>
            </w:r>
            <w:r w:rsidR="004A69DA" w:rsidRPr="009E3C83">
              <w:rPr>
                <w:rStyle w:val="Hyperlink"/>
                <w:noProof/>
              </w:rPr>
              <w:t>, For Lot 1 Only</w:t>
            </w:r>
            <w:r w:rsidR="004A69DA">
              <w:rPr>
                <w:noProof/>
                <w:webHidden/>
              </w:rPr>
              <w:tab/>
            </w:r>
            <w:r w:rsidR="004A69DA">
              <w:rPr>
                <w:noProof/>
                <w:webHidden/>
              </w:rPr>
              <w:fldChar w:fldCharType="begin"/>
            </w:r>
            <w:r w:rsidR="004A69DA">
              <w:rPr>
                <w:noProof/>
                <w:webHidden/>
              </w:rPr>
              <w:instrText xml:space="preserve"> PAGEREF _Toc205559964 \h </w:instrText>
            </w:r>
            <w:r w:rsidR="004A69DA">
              <w:rPr>
                <w:noProof/>
                <w:webHidden/>
              </w:rPr>
            </w:r>
            <w:r w:rsidR="004A69DA">
              <w:rPr>
                <w:noProof/>
                <w:webHidden/>
              </w:rPr>
              <w:fldChar w:fldCharType="separate"/>
            </w:r>
            <w:r w:rsidR="004A69DA">
              <w:rPr>
                <w:noProof/>
                <w:webHidden/>
              </w:rPr>
              <w:t>12</w:t>
            </w:r>
            <w:r w:rsidR="004A69DA">
              <w:rPr>
                <w:noProof/>
                <w:webHidden/>
              </w:rPr>
              <w:fldChar w:fldCharType="end"/>
            </w:r>
          </w:hyperlink>
        </w:p>
        <w:p w14:paraId="0CEF407C" w14:textId="4FF7740D" w:rsidR="004A69DA" w:rsidRDefault="00000000">
          <w:pPr>
            <w:pStyle w:val="TOC2"/>
            <w:tabs>
              <w:tab w:val="left" w:pos="96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65" w:history="1">
            <w:r w:rsidR="004A69DA" w:rsidRPr="009E3C83">
              <w:rPr>
                <w:rStyle w:val="Hyperlink"/>
                <w:noProof/>
                <w14:scene3d>
                  <w14:camera w14:prst="orthographicFront"/>
                  <w14:lightRig w14:rig="threePt" w14:dir="t">
                    <w14:rot w14:lat="0" w14:lon="0" w14:rev="0"/>
                  </w14:lightRig>
                </w14:scene3d>
              </w:rPr>
              <w:t>15.2</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rFonts w:eastAsia="Arial" w:cstheme="minorHAnsi"/>
                <w:noProof/>
              </w:rPr>
              <w:t>Capacity and Capability Assessment,</w:t>
            </w:r>
            <w:r w:rsidR="004A69DA" w:rsidRPr="009E3C83">
              <w:rPr>
                <w:rStyle w:val="Hyperlink"/>
                <w:noProof/>
              </w:rPr>
              <w:t xml:space="preserve"> For Lot 2</w:t>
            </w:r>
            <w:r w:rsidR="004A69DA">
              <w:rPr>
                <w:noProof/>
                <w:webHidden/>
              </w:rPr>
              <w:tab/>
            </w:r>
            <w:r w:rsidR="004A69DA">
              <w:rPr>
                <w:noProof/>
                <w:webHidden/>
              </w:rPr>
              <w:fldChar w:fldCharType="begin"/>
            </w:r>
            <w:r w:rsidR="004A69DA">
              <w:rPr>
                <w:noProof/>
                <w:webHidden/>
              </w:rPr>
              <w:instrText xml:space="preserve"> PAGEREF _Toc205559965 \h </w:instrText>
            </w:r>
            <w:r w:rsidR="004A69DA">
              <w:rPr>
                <w:noProof/>
                <w:webHidden/>
              </w:rPr>
            </w:r>
            <w:r w:rsidR="004A69DA">
              <w:rPr>
                <w:noProof/>
                <w:webHidden/>
              </w:rPr>
              <w:fldChar w:fldCharType="separate"/>
            </w:r>
            <w:r w:rsidR="004A69DA">
              <w:rPr>
                <w:noProof/>
                <w:webHidden/>
              </w:rPr>
              <w:t>14</w:t>
            </w:r>
            <w:r w:rsidR="004A69DA">
              <w:rPr>
                <w:noProof/>
                <w:webHidden/>
              </w:rPr>
              <w:fldChar w:fldCharType="end"/>
            </w:r>
          </w:hyperlink>
        </w:p>
        <w:p w14:paraId="5189896C" w14:textId="5016B12A" w:rsidR="004A69DA" w:rsidRDefault="00000000">
          <w:pPr>
            <w:pStyle w:val="TOC1"/>
            <w:tabs>
              <w:tab w:val="left" w:pos="720"/>
              <w:tab w:val="right" w:leader="dot" w:pos="9260"/>
            </w:tabs>
            <w:rPr>
              <w:rFonts w:asciiTheme="minorHAnsi" w:eastAsiaTheme="minorEastAsia" w:hAnsiTheme="minorHAnsi" w:cstheme="minorBidi"/>
              <w:noProof/>
              <w:kern w:val="2"/>
              <w:sz w:val="24"/>
              <w:szCs w:val="24"/>
              <w:lang w:val="en-GB" w:eastAsia="en-GB"/>
              <w14:ligatures w14:val="standardContextual"/>
            </w:rPr>
          </w:pPr>
          <w:hyperlink w:anchor="_Toc205559966" w:history="1">
            <w:r w:rsidR="004A69DA" w:rsidRPr="009E3C83">
              <w:rPr>
                <w:rStyle w:val="Hyperlink"/>
                <w:noProof/>
              </w:rPr>
              <w:t>16</w:t>
            </w:r>
            <w:r w:rsidR="004A69DA">
              <w:rPr>
                <w:rFonts w:asciiTheme="minorHAnsi" w:eastAsiaTheme="minorEastAsia" w:hAnsiTheme="minorHAnsi" w:cstheme="minorBidi"/>
                <w:noProof/>
                <w:kern w:val="2"/>
                <w:sz w:val="24"/>
                <w:szCs w:val="24"/>
                <w:lang w:val="en-GB" w:eastAsia="en-GB"/>
                <w14:ligatures w14:val="standardContextual"/>
              </w:rPr>
              <w:tab/>
            </w:r>
            <w:r w:rsidR="004A69DA" w:rsidRPr="009E3C83">
              <w:rPr>
                <w:rStyle w:val="Hyperlink"/>
                <w:noProof/>
              </w:rPr>
              <w:t>Appendix B – Pricing Schedule</w:t>
            </w:r>
            <w:r w:rsidR="004A69DA">
              <w:rPr>
                <w:noProof/>
                <w:webHidden/>
              </w:rPr>
              <w:tab/>
            </w:r>
            <w:r w:rsidR="004A69DA">
              <w:rPr>
                <w:noProof/>
                <w:webHidden/>
              </w:rPr>
              <w:fldChar w:fldCharType="begin"/>
            </w:r>
            <w:r w:rsidR="004A69DA">
              <w:rPr>
                <w:noProof/>
                <w:webHidden/>
              </w:rPr>
              <w:instrText xml:space="preserve"> PAGEREF _Toc205559966 \h </w:instrText>
            </w:r>
            <w:r w:rsidR="004A69DA">
              <w:rPr>
                <w:noProof/>
                <w:webHidden/>
              </w:rPr>
            </w:r>
            <w:r w:rsidR="004A69DA">
              <w:rPr>
                <w:noProof/>
                <w:webHidden/>
              </w:rPr>
              <w:fldChar w:fldCharType="separate"/>
            </w:r>
            <w:r w:rsidR="004A69DA">
              <w:rPr>
                <w:noProof/>
                <w:webHidden/>
              </w:rPr>
              <w:t>17</w:t>
            </w:r>
            <w:r w:rsidR="004A69DA">
              <w:rPr>
                <w:noProof/>
                <w:webHidden/>
              </w:rPr>
              <w:fldChar w:fldCharType="end"/>
            </w:r>
          </w:hyperlink>
        </w:p>
        <w:p w14:paraId="1D75D7E2" w14:textId="2469CCCD" w:rsidR="003E654E" w:rsidRPr="000654EE" w:rsidRDefault="003E654E" w:rsidP="000654EE">
          <w:pPr>
            <w:pStyle w:val="TOC1"/>
            <w:tabs>
              <w:tab w:val="right" w:leader="dot" w:pos="9260"/>
            </w:tabs>
            <w:rPr>
              <w:rFonts w:asciiTheme="minorHAnsi" w:eastAsiaTheme="minorEastAsia" w:hAnsiTheme="minorHAnsi" w:cstheme="minorBidi"/>
              <w:noProof/>
              <w:lang w:val="en-GB" w:eastAsia="en-GB"/>
            </w:rPr>
          </w:pPr>
          <w:r w:rsidRPr="006A6E57">
            <w:rPr>
              <w:b/>
              <w:bCs/>
              <w:noProof/>
              <w:szCs w:val="20"/>
            </w:rPr>
            <w:fldChar w:fldCharType="end"/>
          </w:r>
        </w:p>
      </w:sdtContent>
    </w:sdt>
    <w:p w14:paraId="68334F41" w14:textId="42769E9C" w:rsidR="000617FC" w:rsidRDefault="000617FC" w:rsidP="00EF1887"/>
    <w:p w14:paraId="5BAF93EC" w14:textId="79CAA8FC" w:rsidR="00F4584F" w:rsidRDefault="00F4584F" w:rsidP="00EF1887"/>
    <w:p w14:paraId="6EC1CD18" w14:textId="1BE6142C" w:rsidR="00F4584F" w:rsidRDefault="00F4584F" w:rsidP="00EF1887"/>
    <w:p w14:paraId="34D2E02B" w14:textId="77777777" w:rsidR="004A69DA" w:rsidRDefault="004A69DA" w:rsidP="00EF1887"/>
    <w:p w14:paraId="64A09899" w14:textId="77777777" w:rsidR="00F4584F" w:rsidRDefault="00F4584F" w:rsidP="00EF1887"/>
    <w:tbl>
      <w:tblPr>
        <w:tblStyle w:val="TableGrid"/>
        <w:tblW w:w="0" w:type="auto"/>
        <w:tblInd w:w="4" w:type="dxa"/>
        <w:tblLook w:val="04A0" w:firstRow="1" w:lastRow="0" w:firstColumn="1" w:lastColumn="0" w:noHBand="0" w:noVBand="1"/>
      </w:tblPr>
      <w:tblGrid>
        <w:gridCol w:w="9256"/>
      </w:tblGrid>
      <w:tr w:rsidR="00784843" w14:paraId="007D09C5" w14:textId="77777777" w:rsidTr="00766752">
        <w:tc>
          <w:tcPr>
            <w:tcW w:w="9256" w:type="dxa"/>
          </w:tcPr>
          <w:p w14:paraId="3DCE4E76" w14:textId="77777777" w:rsidR="00784843" w:rsidRPr="00987324" w:rsidRDefault="00784843" w:rsidP="00987324">
            <w:pPr>
              <w:rPr>
                <w:b/>
                <w:bCs/>
              </w:rPr>
            </w:pPr>
            <w:r w:rsidRPr="00987324">
              <w:rPr>
                <w:b/>
                <w:bCs/>
              </w:rPr>
              <w:lastRenderedPageBreak/>
              <w:t>Mesur Gymraeg (Cymru) 2011</w:t>
            </w:r>
          </w:p>
          <w:p w14:paraId="2EA4EA9F" w14:textId="77777777" w:rsidR="00784843" w:rsidRPr="001A1FED" w:rsidRDefault="00784843" w:rsidP="00784843">
            <w:pPr>
              <w:rPr>
                <w:rFonts w:cstheme="minorHAnsi"/>
                <w:color w:val="FF0000"/>
                <w:szCs w:val="20"/>
              </w:rPr>
            </w:pPr>
            <w:proofErr w:type="spellStart"/>
            <w:r w:rsidRPr="001A1FED">
              <w:rPr>
                <w:rFonts w:cstheme="minorHAnsi"/>
                <w:color w:val="FF0000"/>
                <w:szCs w:val="20"/>
              </w:rPr>
              <w:t>Os</w:t>
            </w:r>
            <w:proofErr w:type="spellEnd"/>
            <w:r w:rsidRPr="001A1FED">
              <w:rPr>
                <w:rFonts w:cstheme="minorHAnsi"/>
                <w:color w:val="FF0000"/>
                <w:szCs w:val="20"/>
              </w:rPr>
              <w:t xml:space="preserve"> </w:t>
            </w:r>
            <w:proofErr w:type="spellStart"/>
            <w:r w:rsidRPr="001A1FED">
              <w:rPr>
                <w:rFonts w:cstheme="minorHAnsi"/>
                <w:color w:val="FF0000"/>
                <w:szCs w:val="20"/>
              </w:rPr>
              <w:t>hoffech</w:t>
            </w:r>
            <w:proofErr w:type="spellEnd"/>
            <w:r w:rsidRPr="001A1FED">
              <w:rPr>
                <w:rFonts w:cstheme="minorHAnsi"/>
                <w:color w:val="FF0000"/>
                <w:szCs w:val="20"/>
              </w:rPr>
              <w:t xml:space="preserve"> </w:t>
            </w:r>
            <w:proofErr w:type="spellStart"/>
            <w:r w:rsidRPr="001A1FED">
              <w:rPr>
                <w:rFonts w:cstheme="minorHAnsi"/>
                <w:color w:val="FF0000"/>
                <w:szCs w:val="20"/>
              </w:rPr>
              <w:t>dderbyn</w:t>
            </w:r>
            <w:proofErr w:type="spellEnd"/>
            <w:r w:rsidRPr="001A1FED">
              <w:rPr>
                <w:rFonts w:cstheme="minorHAnsi"/>
                <w:color w:val="FF0000"/>
                <w:szCs w:val="20"/>
              </w:rPr>
              <w:t xml:space="preserve"> y </w:t>
            </w:r>
            <w:proofErr w:type="spellStart"/>
            <w:r w:rsidRPr="001A1FED">
              <w:rPr>
                <w:rFonts w:cstheme="minorHAnsi"/>
                <w:color w:val="FF0000"/>
                <w:szCs w:val="20"/>
              </w:rPr>
              <w:t>dogfennau</w:t>
            </w:r>
            <w:proofErr w:type="spellEnd"/>
            <w:r w:rsidRPr="001A1FED">
              <w:rPr>
                <w:rFonts w:cstheme="minorHAnsi"/>
                <w:color w:val="FF0000"/>
                <w:szCs w:val="20"/>
              </w:rPr>
              <w:t xml:space="preserve"> </w:t>
            </w:r>
            <w:proofErr w:type="spellStart"/>
            <w:r w:rsidRPr="001A1FED">
              <w:rPr>
                <w:rFonts w:cstheme="minorHAnsi"/>
                <w:color w:val="FF0000"/>
                <w:szCs w:val="20"/>
              </w:rPr>
              <w:t>tendro</w:t>
            </w:r>
            <w:proofErr w:type="spellEnd"/>
            <w:r w:rsidRPr="001A1FED">
              <w:rPr>
                <w:rFonts w:cstheme="minorHAnsi"/>
                <w:color w:val="FF0000"/>
                <w:szCs w:val="20"/>
              </w:rPr>
              <w:t xml:space="preserve"> </w:t>
            </w:r>
            <w:proofErr w:type="spellStart"/>
            <w:r w:rsidRPr="001A1FED">
              <w:rPr>
                <w:rFonts w:cstheme="minorHAnsi"/>
                <w:color w:val="FF0000"/>
                <w:szCs w:val="20"/>
              </w:rPr>
              <w:t>yn</w:t>
            </w:r>
            <w:proofErr w:type="spellEnd"/>
            <w:r w:rsidRPr="001A1FED">
              <w:rPr>
                <w:rFonts w:cstheme="minorHAnsi"/>
                <w:color w:val="FF0000"/>
                <w:szCs w:val="20"/>
              </w:rPr>
              <w:t xml:space="preserve"> y </w:t>
            </w:r>
            <w:proofErr w:type="spellStart"/>
            <w:r w:rsidRPr="001A1FED">
              <w:rPr>
                <w:rFonts w:cstheme="minorHAnsi"/>
                <w:color w:val="FF0000"/>
                <w:szCs w:val="20"/>
              </w:rPr>
              <w:t>Gymraeg</w:t>
            </w:r>
            <w:proofErr w:type="spellEnd"/>
            <w:r w:rsidRPr="001A1FED">
              <w:rPr>
                <w:rFonts w:cstheme="minorHAnsi"/>
                <w:color w:val="FF0000"/>
                <w:szCs w:val="20"/>
              </w:rPr>
              <w:t xml:space="preserve">, </w:t>
            </w:r>
            <w:proofErr w:type="spellStart"/>
            <w:r w:rsidRPr="001A1FED">
              <w:rPr>
                <w:rFonts w:cstheme="minorHAnsi"/>
                <w:color w:val="FF0000"/>
                <w:szCs w:val="20"/>
              </w:rPr>
              <w:t>cysylltwch</w:t>
            </w:r>
            <w:proofErr w:type="spellEnd"/>
            <w:r w:rsidRPr="001A1FED">
              <w:rPr>
                <w:rFonts w:cstheme="minorHAnsi"/>
                <w:color w:val="FF0000"/>
                <w:szCs w:val="20"/>
              </w:rPr>
              <w:t xml:space="preserve"> â </w:t>
            </w:r>
            <w:hyperlink r:id="rId9" w:history="1">
              <w:r w:rsidRPr="001A1FED">
                <w:rPr>
                  <w:rStyle w:val="Hyperlink"/>
                  <w:rFonts w:cstheme="minorHAnsi"/>
                  <w:szCs w:val="20"/>
                </w:rPr>
                <w:t>procurement@pcydds.ac.uk</w:t>
              </w:r>
            </w:hyperlink>
            <w:r w:rsidRPr="001A1FED">
              <w:rPr>
                <w:rFonts w:cstheme="minorHAnsi"/>
                <w:color w:val="FF0000"/>
                <w:szCs w:val="20"/>
              </w:rPr>
              <w:t xml:space="preserve">. </w:t>
            </w:r>
          </w:p>
          <w:p w14:paraId="07C9A2DE" w14:textId="77777777" w:rsidR="00784843" w:rsidRPr="001A1FED" w:rsidRDefault="00784843" w:rsidP="00784843">
            <w:pPr>
              <w:rPr>
                <w:rFonts w:cstheme="minorHAnsi"/>
                <w:color w:val="FF0000"/>
                <w:szCs w:val="20"/>
              </w:rPr>
            </w:pPr>
          </w:p>
          <w:p w14:paraId="5D79CE9A" w14:textId="77777777" w:rsidR="00784843" w:rsidRDefault="00784843" w:rsidP="00784843">
            <w:pPr>
              <w:rPr>
                <w:rFonts w:cstheme="minorHAnsi"/>
                <w:color w:val="FF0000"/>
                <w:szCs w:val="20"/>
              </w:rPr>
            </w:pPr>
            <w:proofErr w:type="spellStart"/>
            <w:r w:rsidRPr="001A1FED">
              <w:rPr>
                <w:rFonts w:cstheme="minorHAnsi"/>
                <w:color w:val="FF0000"/>
                <w:szCs w:val="20"/>
              </w:rPr>
              <w:t>Gallwn</w:t>
            </w:r>
            <w:proofErr w:type="spellEnd"/>
            <w:r w:rsidRPr="001A1FED">
              <w:rPr>
                <w:rFonts w:cstheme="minorHAnsi"/>
                <w:color w:val="FF0000"/>
                <w:szCs w:val="20"/>
              </w:rPr>
              <w:t xml:space="preserve"> </w:t>
            </w:r>
            <w:proofErr w:type="spellStart"/>
            <w:r w:rsidRPr="001A1FED">
              <w:rPr>
                <w:rFonts w:cstheme="minorHAnsi"/>
                <w:color w:val="FF0000"/>
                <w:szCs w:val="20"/>
              </w:rPr>
              <w:t>ystyried</w:t>
            </w:r>
            <w:proofErr w:type="spellEnd"/>
            <w:r w:rsidRPr="001A1FED">
              <w:rPr>
                <w:rFonts w:cstheme="minorHAnsi"/>
                <w:color w:val="FF0000"/>
                <w:szCs w:val="20"/>
              </w:rPr>
              <w:t xml:space="preserve"> </w:t>
            </w:r>
            <w:proofErr w:type="spellStart"/>
            <w:r w:rsidRPr="001A1FED">
              <w:rPr>
                <w:rFonts w:cstheme="minorHAnsi"/>
                <w:color w:val="FF0000"/>
                <w:szCs w:val="20"/>
              </w:rPr>
              <w:t>cyflwyniadau</w:t>
            </w:r>
            <w:proofErr w:type="spellEnd"/>
            <w:r w:rsidRPr="001A1FED">
              <w:rPr>
                <w:rFonts w:cstheme="minorHAnsi"/>
                <w:color w:val="FF0000"/>
                <w:szCs w:val="20"/>
              </w:rPr>
              <w:t xml:space="preserve"> </w:t>
            </w:r>
            <w:proofErr w:type="spellStart"/>
            <w:r w:rsidRPr="001A1FED">
              <w:rPr>
                <w:rFonts w:cstheme="minorHAnsi"/>
                <w:color w:val="FF0000"/>
                <w:szCs w:val="20"/>
              </w:rPr>
              <w:t>yn</w:t>
            </w:r>
            <w:proofErr w:type="spellEnd"/>
            <w:r w:rsidRPr="001A1FED">
              <w:rPr>
                <w:rFonts w:cstheme="minorHAnsi"/>
                <w:color w:val="FF0000"/>
                <w:szCs w:val="20"/>
              </w:rPr>
              <w:t xml:space="preserve"> </w:t>
            </w:r>
            <w:proofErr w:type="spellStart"/>
            <w:r w:rsidRPr="001A1FED">
              <w:rPr>
                <w:rFonts w:cstheme="minorHAnsi"/>
                <w:color w:val="FF0000"/>
                <w:szCs w:val="20"/>
              </w:rPr>
              <w:t>Gymraeg</w:t>
            </w:r>
            <w:proofErr w:type="spellEnd"/>
            <w:r w:rsidRPr="001A1FED">
              <w:rPr>
                <w:rFonts w:cstheme="minorHAnsi"/>
                <w:color w:val="FF0000"/>
                <w:szCs w:val="20"/>
              </w:rPr>
              <w:t xml:space="preserve">, </w:t>
            </w:r>
            <w:proofErr w:type="spellStart"/>
            <w:r w:rsidRPr="001A1FED">
              <w:rPr>
                <w:rFonts w:cstheme="minorHAnsi"/>
                <w:color w:val="FF0000"/>
                <w:szCs w:val="20"/>
              </w:rPr>
              <w:t>gan</w:t>
            </w:r>
            <w:proofErr w:type="spellEnd"/>
            <w:r w:rsidRPr="001A1FED">
              <w:rPr>
                <w:rFonts w:cstheme="minorHAnsi"/>
                <w:color w:val="FF0000"/>
                <w:szCs w:val="20"/>
              </w:rPr>
              <w:t xml:space="preserve"> </w:t>
            </w:r>
            <w:proofErr w:type="spellStart"/>
            <w:r w:rsidRPr="001A1FED">
              <w:rPr>
                <w:rFonts w:cstheme="minorHAnsi"/>
                <w:color w:val="FF0000"/>
                <w:szCs w:val="20"/>
              </w:rPr>
              <w:t>na</w:t>
            </w:r>
            <w:proofErr w:type="spellEnd"/>
            <w:r w:rsidRPr="001A1FED">
              <w:rPr>
                <w:rFonts w:cstheme="minorHAnsi"/>
                <w:color w:val="FF0000"/>
                <w:szCs w:val="20"/>
              </w:rPr>
              <w:t xml:space="preserve"> </w:t>
            </w:r>
            <w:proofErr w:type="spellStart"/>
            <w:r w:rsidRPr="001A1FED">
              <w:rPr>
                <w:rFonts w:cstheme="minorHAnsi"/>
                <w:color w:val="FF0000"/>
                <w:szCs w:val="20"/>
              </w:rPr>
              <w:t>fydd</w:t>
            </w:r>
            <w:proofErr w:type="spellEnd"/>
            <w:r w:rsidRPr="001A1FED">
              <w:rPr>
                <w:rFonts w:cstheme="minorHAnsi"/>
                <w:color w:val="FF0000"/>
                <w:szCs w:val="20"/>
              </w:rPr>
              <w:t xml:space="preserve"> y </w:t>
            </w:r>
            <w:proofErr w:type="spellStart"/>
            <w:r w:rsidRPr="001A1FED">
              <w:rPr>
                <w:rFonts w:cstheme="minorHAnsi"/>
                <w:color w:val="FF0000"/>
                <w:szCs w:val="20"/>
              </w:rPr>
              <w:t>rhain</w:t>
            </w:r>
            <w:proofErr w:type="spellEnd"/>
            <w:r w:rsidRPr="001A1FED">
              <w:rPr>
                <w:rFonts w:cstheme="minorHAnsi"/>
                <w:color w:val="FF0000"/>
                <w:szCs w:val="20"/>
              </w:rPr>
              <w:t xml:space="preserve"> </w:t>
            </w:r>
            <w:proofErr w:type="spellStart"/>
            <w:r w:rsidRPr="001A1FED">
              <w:rPr>
                <w:rFonts w:cstheme="minorHAnsi"/>
                <w:color w:val="FF0000"/>
                <w:szCs w:val="20"/>
              </w:rPr>
              <w:t>yn</w:t>
            </w:r>
            <w:proofErr w:type="spellEnd"/>
            <w:r w:rsidRPr="001A1FED">
              <w:rPr>
                <w:rFonts w:cstheme="minorHAnsi"/>
                <w:color w:val="FF0000"/>
                <w:szCs w:val="20"/>
              </w:rPr>
              <w:t xml:space="preserve"> </w:t>
            </w:r>
            <w:proofErr w:type="spellStart"/>
            <w:r w:rsidRPr="001A1FED">
              <w:rPr>
                <w:rFonts w:cstheme="minorHAnsi"/>
                <w:color w:val="FF0000"/>
                <w:szCs w:val="20"/>
              </w:rPr>
              <w:t>cael</w:t>
            </w:r>
            <w:proofErr w:type="spellEnd"/>
            <w:r w:rsidRPr="001A1FED">
              <w:rPr>
                <w:rFonts w:cstheme="minorHAnsi"/>
                <w:color w:val="FF0000"/>
                <w:szCs w:val="20"/>
              </w:rPr>
              <w:t xml:space="preserve"> </w:t>
            </w:r>
            <w:proofErr w:type="spellStart"/>
            <w:r w:rsidRPr="001A1FED">
              <w:rPr>
                <w:rFonts w:cstheme="minorHAnsi"/>
                <w:color w:val="FF0000"/>
                <w:szCs w:val="20"/>
              </w:rPr>
              <w:t>eu</w:t>
            </w:r>
            <w:proofErr w:type="spellEnd"/>
            <w:r w:rsidRPr="001A1FED">
              <w:rPr>
                <w:rFonts w:cstheme="minorHAnsi"/>
                <w:color w:val="FF0000"/>
                <w:szCs w:val="20"/>
              </w:rPr>
              <w:t xml:space="preserve"> trin </w:t>
            </w:r>
            <w:proofErr w:type="spellStart"/>
            <w:r w:rsidRPr="001A1FED">
              <w:rPr>
                <w:rFonts w:cstheme="minorHAnsi"/>
                <w:color w:val="FF0000"/>
                <w:szCs w:val="20"/>
              </w:rPr>
              <w:t>yn</w:t>
            </w:r>
            <w:proofErr w:type="spellEnd"/>
            <w:r w:rsidRPr="001A1FED">
              <w:rPr>
                <w:rFonts w:cstheme="minorHAnsi"/>
                <w:color w:val="FF0000"/>
                <w:szCs w:val="20"/>
              </w:rPr>
              <w:t xml:space="preserve"> </w:t>
            </w:r>
            <w:proofErr w:type="spellStart"/>
            <w:r w:rsidRPr="001A1FED">
              <w:rPr>
                <w:rFonts w:cstheme="minorHAnsi"/>
                <w:color w:val="FF0000"/>
                <w:szCs w:val="20"/>
              </w:rPr>
              <w:t>llai</w:t>
            </w:r>
            <w:proofErr w:type="spellEnd"/>
            <w:r w:rsidRPr="001A1FED">
              <w:rPr>
                <w:rFonts w:cstheme="minorHAnsi"/>
                <w:color w:val="FF0000"/>
                <w:szCs w:val="20"/>
              </w:rPr>
              <w:t xml:space="preserve"> </w:t>
            </w:r>
            <w:proofErr w:type="spellStart"/>
            <w:r w:rsidRPr="001A1FED">
              <w:rPr>
                <w:rFonts w:cstheme="minorHAnsi"/>
                <w:color w:val="FF0000"/>
                <w:szCs w:val="20"/>
              </w:rPr>
              <w:t>ffafriol</w:t>
            </w:r>
            <w:proofErr w:type="spellEnd"/>
            <w:r w:rsidRPr="001A1FED">
              <w:rPr>
                <w:rFonts w:cstheme="minorHAnsi"/>
                <w:color w:val="FF0000"/>
                <w:szCs w:val="20"/>
              </w:rPr>
              <w:t xml:space="preserve"> </w:t>
            </w:r>
            <w:proofErr w:type="spellStart"/>
            <w:r w:rsidRPr="001A1FED">
              <w:rPr>
                <w:rFonts w:cstheme="minorHAnsi"/>
                <w:color w:val="FF0000"/>
                <w:szCs w:val="20"/>
              </w:rPr>
              <w:t>na</w:t>
            </w:r>
            <w:proofErr w:type="spellEnd"/>
            <w:r w:rsidRPr="001A1FED">
              <w:rPr>
                <w:rFonts w:cstheme="minorHAnsi"/>
                <w:color w:val="FF0000"/>
                <w:szCs w:val="20"/>
              </w:rPr>
              <w:t xml:space="preserve"> </w:t>
            </w:r>
            <w:proofErr w:type="spellStart"/>
            <w:r w:rsidRPr="001A1FED">
              <w:rPr>
                <w:rFonts w:cstheme="minorHAnsi"/>
                <w:color w:val="FF0000"/>
                <w:szCs w:val="20"/>
              </w:rPr>
              <w:t>thendr</w:t>
            </w:r>
            <w:proofErr w:type="spellEnd"/>
            <w:r w:rsidRPr="001A1FED">
              <w:rPr>
                <w:rFonts w:cstheme="minorHAnsi"/>
                <w:color w:val="FF0000"/>
                <w:szCs w:val="20"/>
              </w:rPr>
              <w:t xml:space="preserve"> a </w:t>
            </w:r>
            <w:proofErr w:type="spellStart"/>
            <w:r w:rsidRPr="001A1FED">
              <w:rPr>
                <w:rFonts w:cstheme="minorHAnsi"/>
                <w:color w:val="FF0000"/>
                <w:szCs w:val="20"/>
              </w:rPr>
              <w:t>gyflwynir</w:t>
            </w:r>
            <w:proofErr w:type="spellEnd"/>
            <w:r w:rsidRPr="001A1FED">
              <w:rPr>
                <w:rFonts w:cstheme="minorHAnsi"/>
                <w:color w:val="FF0000"/>
                <w:szCs w:val="20"/>
              </w:rPr>
              <w:t xml:space="preserve"> </w:t>
            </w:r>
            <w:proofErr w:type="spellStart"/>
            <w:r w:rsidRPr="001A1FED">
              <w:rPr>
                <w:rFonts w:cstheme="minorHAnsi"/>
                <w:color w:val="FF0000"/>
                <w:szCs w:val="20"/>
              </w:rPr>
              <w:t>yn</w:t>
            </w:r>
            <w:proofErr w:type="spellEnd"/>
            <w:r w:rsidRPr="001A1FED">
              <w:rPr>
                <w:rFonts w:cstheme="minorHAnsi"/>
                <w:color w:val="FF0000"/>
                <w:szCs w:val="20"/>
              </w:rPr>
              <w:t xml:space="preserve"> </w:t>
            </w:r>
            <w:proofErr w:type="spellStart"/>
            <w:r w:rsidRPr="001A1FED">
              <w:rPr>
                <w:rFonts w:cstheme="minorHAnsi"/>
                <w:color w:val="FF0000"/>
                <w:szCs w:val="20"/>
              </w:rPr>
              <w:t>Saesneg</w:t>
            </w:r>
            <w:proofErr w:type="spellEnd"/>
            <w:r w:rsidRPr="001A1FED">
              <w:rPr>
                <w:rFonts w:cstheme="minorHAnsi"/>
                <w:color w:val="FF0000"/>
                <w:szCs w:val="20"/>
              </w:rPr>
              <w:t>.</w:t>
            </w:r>
          </w:p>
          <w:p w14:paraId="24F7CD61" w14:textId="77777777" w:rsidR="00784843" w:rsidRPr="001A1FED" w:rsidRDefault="00784843" w:rsidP="00784843">
            <w:pPr>
              <w:rPr>
                <w:rFonts w:cstheme="minorHAnsi"/>
                <w:color w:val="FF0000"/>
                <w:szCs w:val="20"/>
              </w:rPr>
            </w:pPr>
          </w:p>
          <w:p w14:paraId="518EB723" w14:textId="77777777" w:rsidR="00784843" w:rsidRPr="00987324" w:rsidRDefault="00784843" w:rsidP="00987324">
            <w:pPr>
              <w:rPr>
                <w:rFonts w:eastAsiaTheme="minorEastAsia"/>
                <w:b/>
                <w:bCs/>
              </w:rPr>
            </w:pPr>
            <w:r w:rsidRPr="00987324">
              <w:rPr>
                <w:b/>
                <w:bCs/>
              </w:rPr>
              <w:t>Welsh Language (Wales Measure) 2011</w:t>
            </w:r>
          </w:p>
          <w:p w14:paraId="6B149CB1" w14:textId="77777777" w:rsidR="00784843" w:rsidRPr="001A1FED" w:rsidRDefault="00784843" w:rsidP="00784843">
            <w:pPr>
              <w:rPr>
                <w:rFonts w:cstheme="minorHAnsi"/>
                <w:color w:val="FF0000"/>
                <w:szCs w:val="20"/>
              </w:rPr>
            </w:pPr>
            <w:r w:rsidRPr="001A1FED">
              <w:rPr>
                <w:rFonts w:cstheme="minorHAnsi"/>
                <w:color w:val="FF0000"/>
                <w:szCs w:val="20"/>
              </w:rPr>
              <w:t xml:space="preserve">If you wish to receive the tender documents in the Welsh Language, please contact </w:t>
            </w:r>
            <w:hyperlink r:id="rId10" w:history="1">
              <w:r w:rsidRPr="001A1FED">
                <w:rPr>
                  <w:rStyle w:val="Hyperlink"/>
                  <w:rFonts w:cstheme="minorHAnsi"/>
                  <w:szCs w:val="20"/>
                </w:rPr>
                <w:t>procurement@uwtsd.ac.uk</w:t>
              </w:r>
            </w:hyperlink>
            <w:r w:rsidRPr="001A1FED">
              <w:rPr>
                <w:rFonts w:cstheme="minorHAnsi"/>
                <w:color w:val="FF0000"/>
                <w:szCs w:val="20"/>
              </w:rPr>
              <w:t xml:space="preserve">. </w:t>
            </w:r>
          </w:p>
          <w:p w14:paraId="10CC307C" w14:textId="77777777" w:rsidR="00784843" w:rsidRPr="001A1FED" w:rsidRDefault="00784843" w:rsidP="00784843">
            <w:pPr>
              <w:rPr>
                <w:rFonts w:cstheme="minorHAnsi"/>
                <w:color w:val="FF0000"/>
                <w:szCs w:val="20"/>
              </w:rPr>
            </w:pPr>
          </w:p>
          <w:p w14:paraId="046CB408" w14:textId="77777777" w:rsidR="00784843" w:rsidRDefault="00784843" w:rsidP="00784843">
            <w:pPr>
              <w:rPr>
                <w:rFonts w:cstheme="minorHAnsi"/>
                <w:color w:val="FF0000"/>
                <w:szCs w:val="20"/>
              </w:rPr>
            </w:pPr>
            <w:r w:rsidRPr="001A1FED">
              <w:rPr>
                <w:rFonts w:cstheme="minorHAnsi"/>
                <w:color w:val="FF0000"/>
                <w:szCs w:val="20"/>
              </w:rPr>
              <w:t>We are able to consider submissions in Welsh, as these will be treated no less favourably than a tender submitted in English.</w:t>
            </w:r>
          </w:p>
          <w:p w14:paraId="49028389" w14:textId="77777777" w:rsidR="00784843" w:rsidRDefault="00784843" w:rsidP="00924831"/>
        </w:tc>
      </w:tr>
    </w:tbl>
    <w:p w14:paraId="54CB7D22" w14:textId="77777777" w:rsidR="00606100" w:rsidRDefault="00606100">
      <w:pPr>
        <w:pStyle w:val="BodyText"/>
        <w:rPr>
          <w:sz w:val="19"/>
        </w:rPr>
      </w:pPr>
    </w:p>
    <w:p w14:paraId="1C3D2F89" w14:textId="0CCBE189" w:rsidR="00987324" w:rsidRDefault="00987324" w:rsidP="00EF1887">
      <w:bookmarkStart w:id="0" w:name="_Toc150867608"/>
      <w:bookmarkStart w:id="1" w:name="_Toc152078044"/>
      <w:bookmarkStart w:id="2" w:name="_Hlk151458236"/>
    </w:p>
    <w:p w14:paraId="4E9942E7" w14:textId="77777777" w:rsidR="006F402A" w:rsidRDefault="006F402A" w:rsidP="00EF1887"/>
    <w:p w14:paraId="09FB602A" w14:textId="77777777" w:rsidR="00987324" w:rsidRDefault="00987324" w:rsidP="00573301">
      <w:pPr>
        <w:pStyle w:val="Heading1"/>
        <w:rPr>
          <w:lang w:val="en-GB"/>
        </w:rPr>
      </w:pPr>
      <w:bookmarkStart w:id="3" w:name="_Toc190859079"/>
      <w:bookmarkStart w:id="4" w:name="_Toc205559931"/>
      <w:r w:rsidRPr="00987324">
        <w:rPr>
          <w:lang w:val="en-GB"/>
        </w:rPr>
        <w:t>Proposed Procurement Timetable.</w:t>
      </w:r>
      <w:bookmarkEnd w:id="3"/>
      <w:bookmarkEnd w:id="4"/>
    </w:p>
    <w:p w14:paraId="55155AEE" w14:textId="77777777" w:rsidR="00D23C5A" w:rsidRPr="00987324" w:rsidRDefault="00D23C5A" w:rsidP="00D23C5A">
      <w:pPr>
        <w:rPr>
          <w:lang w:val="en-GB"/>
        </w:rPr>
      </w:pP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402"/>
      </w:tblGrid>
      <w:tr w:rsidR="00987324" w:rsidRPr="00987324" w14:paraId="35E5D8AE" w14:textId="77777777" w:rsidTr="00987324">
        <w:trPr>
          <w:trHeight w:val="553"/>
        </w:trPr>
        <w:tc>
          <w:tcPr>
            <w:tcW w:w="38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A4F06C" w14:textId="77777777" w:rsidR="00987324" w:rsidRPr="00987324" w:rsidRDefault="00987324" w:rsidP="00987324">
            <w:pPr>
              <w:widowControl/>
              <w:autoSpaceDE/>
              <w:autoSpaceDN/>
              <w:spacing w:line="259" w:lineRule="auto"/>
              <w:jc w:val="both"/>
              <w:rPr>
                <w:b/>
                <w:color w:val="000000"/>
                <w:szCs w:val="20"/>
                <w:lang w:val="en-GB"/>
              </w:rPr>
            </w:pPr>
            <w:r w:rsidRPr="00987324">
              <w:rPr>
                <w:b/>
                <w:bCs/>
                <w:szCs w:val="20"/>
                <w:lang w:val="en-GB"/>
              </w:rPr>
              <w:t>Tender Notice placed on Sell2Wales</w:t>
            </w:r>
          </w:p>
        </w:tc>
        <w:tc>
          <w:tcPr>
            <w:tcW w:w="3402" w:type="dxa"/>
            <w:tcBorders>
              <w:top w:val="single" w:sz="4" w:space="0" w:color="auto"/>
              <w:left w:val="single" w:sz="4" w:space="0" w:color="auto"/>
              <w:bottom w:val="single" w:sz="4" w:space="0" w:color="auto"/>
              <w:right w:val="single" w:sz="4" w:space="0" w:color="auto"/>
            </w:tcBorders>
            <w:vAlign w:val="center"/>
          </w:tcPr>
          <w:p w14:paraId="51A80572" w14:textId="41AFC1E3" w:rsidR="00987324" w:rsidRPr="00987324" w:rsidRDefault="00F11C65" w:rsidP="00987324">
            <w:pPr>
              <w:widowControl/>
              <w:autoSpaceDE/>
              <w:autoSpaceDN/>
              <w:spacing w:line="259" w:lineRule="auto"/>
              <w:jc w:val="both"/>
              <w:rPr>
                <w:rFonts w:cs="Arial"/>
                <w:color w:val="000000"/>
                <w:szCs w:val="20"/>
                <w:lang w:val="en-GB"/>
              </w:rPr>
            </w:pPr>
            <w:r>
              <w:rPr>
                <w:rFonts w:cs="Arial"/>
                <w:color w:val="000000"/>
                <w:szCs w:val="20"/>
                <w:lang w:val="en-GB"/>
              </w:rPr>
              <w:t>08</w:t>
            </w:r>
            <w:r w:rsidR="0051123E" w:rsidRPr="0051123E">
              <w:rPr>
                <w:rFonts w:cs="Arial"/>
                <w:color w:val="000000"/>
                <w:szCs w:val="20"/>
                <w:vertAlign w:val="superscript"/>
                <w:lang w:val="en-GB"/>
              </w:rPr>
              <w:t>th</w:t>
            </w:r>
            <w:r w:rsidR="0051123E">
              <w:rPr>
                <w:rFonts w:cs="Arial"/>
                <w:color w:val="000000"/>
                <w:szCs w:val="20"/>
                <w:lang w:val="en-GB"/>
              </w:rPr>
              <w:t xml:space="preserve"> </w:t>
            </w:r>
            <w:r w:rsidR="005B27FC">
              <w:rPr>
                <w:rFonts w:cs="Arial"/>
                <w:color w:val="000000"/>
                <w:szCs w:val="20"/>
                <w:lang w:val="en-GB"/>
              </w:rPr>
              <w:t>August 2025</w:t>
            </w:r>
          </w:p>
        </w:tc>
      </w:tr>
      <w:tr w:rsidR="00987324" w:rsidRPr="00987324" w14:paraId="169DE6F9" w14:textId="77777777" w:rsidTr="00987324">
        <w:trPr>
          <w:trHeight w:val="549"/>
        </w:trPr>
        <w:tc>
          <w:tcPr>
            <w:tcW w:w="38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DB66520" w14:textId="77777777" w:rsidR="00987324" w:rsidRPr="00987324" w:rsidRDefault="00987324" w:rsidP="00987324">
            <w:pPr>
              <w:widowControl/>
              <w:autoSpaceDE/>
              <w:autoSpaceDN/>
              <w:spacing w:line="259" w:lineRule="auto"/>
              <w:jc w:val="both"/>
              <w:rPr>
                <w:b/>
                <w:szCs w:val="20"/>
                <w:lang w:val="en-GB"/>
              </w:rPr>
            </w:pPr>
            <w:r w:rsidRPr="00987324">
              <w:rPr>
                <w:b/>
                <w:szCs w:val="20"/>
                <w:lang w:val="en-GB"/>
              </w:rPr>
              <w:t xml:space="preserve">Tender Return Date  </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525543" w14:textId="1FFEC6DE" w:rsidR="00987324" w:rsidRPr="00987324" w:rsidRDefault="00F11C65" w:rsidP="00987324">
            <w:pPr>
              <w:widowControl/>
              <w:autoSpaceDE/>
              <w:autoSpaceDN/>
              <w:spacing w:line="259" w:lineRule="auto"/>
              <w:jc w:val="both"/>
              <w:rPr>
                <w:rFonts w:cs="Arial"/>
                <w:color w:val="000000"/>
                <w:szCs w:val="20"/>
                <w:lang w:val="en-GB"/>
              </w:rPr>
            </w:pPr>
            <w:r>
              <w:rPr>
                <w:rFonts w:cs="Arial"/>
                <w:color w:val="000000"/>
                <w:szCs w:val="20"/>
                <w:lang w:val="en-GB"/>
              </w:rPr>
              <w:t xml:space="preserve">Noon, </w:t>
            </w:r>
            <w:r w:rsidR="005B27FC">
              <w:rPr>
                <w:rFonts w:cs="Arial"/>
                <w:color w:val="000000"/>
                <w:szCs w:val="20"/>
                <w:lang w:val="en-GB"/>
              </w:rPr>
              <w:t>1</w:t>
            </w:r>
            <w:r w:rsidR="0051123E">
              <w:rPr>
                <w:rFonts w:cs="Arial"/>
                <w:color w:val="000000"/>
                <w:szCs w:val="20"/>
                <w:lang w:val="en-GB"/>
              </w:rPr>
              <w:t>5</w:t>
            </w:r>
            <w:r w:rsidR="005B27FC" w:rsidRPr="005B27FC">
              <w:rPr>
                <w:rFonts w:cs="Arial"/>
                <w:color w:val="000000"/>
                <w:szCs w:val="20"/>
                <w:vertAlign w:val="superscript"/>
                <w:lang w:val="en-GB"/>
              </w:rPr>
              <w:t>th</w:t>
            </w:r>
            <w:r w:rsidR="005B27FC">
              <w:rPr>
                <w:rFonts w:cs="Arial"/>
                <w:color w:val="000000"/>
                <w:szCs w:val="20"/>
                <w:lang w:val="en-GB"/>
              </w:rPr>
              <w:t xml:space="preserve"> September </w:t>
            </w:r>
            <w:r w:rsidR="00987324" w:rsidRPr="00987324">
              <w:rPr>
                <w:rFonts w:cs="Arial"/>
                <w:color w:val="000000"/>
                <w:szCs w:val="20"/>
                <w:lang w:val="en-GB"/>
              </w:rPr>
              <w:t>2025</w:t>
            </w:r>
          </w:p>
        </w:tc>
      </w:tr>
      <w:tr w:rsidR="00987324" w:rsidRPr="00987324" w14:paraId="05A950F3" w14:textId="77777777" w:rsidTr="00987324">
        <w:trPr>
          <w:trHeight w:val="549"/>
        </w:trPr>
        <w:tc>
          <w:tcPr>
            <w:tcW w:w="3828" w:type="dxa"/>
            <w:tcBorders>
              <w:top w:val="single" w:sz="4" w:space="0" w:color="auto"/>
              <w:left w:val="single" w:sz="4" w:space="0" w:color="auto"/>
              <w:bottom w:val="single" w:sz="4" w:space="0" w:color="auto"/>
              <w:right w:val="single" w:sz="4" w:space="0" w:color="auto"/>
            </w:tcBorders>
            <w:shd w:val="clear" w:color="auto" w:fill="BFBFBF"/>
            <w:vAlign w:val="center"/>
          </w:tcPr>
          <w:p w14:paraId="42B2AD0F" w14:textId="77777777" w:rsidR="00987324" w:rsidRPr="00987324" w:rsidRDefault="00987324" w:rsidP="00987324">
            <w:pPr>
              <w:widowControl/>
              <w:autoSpaceDE/>
              <w:autoSpaceDN/>
              <w:spacing w:line="259" w:lineRule="auto"/>
              <w:jc w:val="both"/>
              <w:rPr>
                <w:b/>
                <w:bCs/>
                <w:szCs w:val="20"/>
                <w:lang w:val="en-GB"/>
              </w:rPr>
            </w:pPr>
            <w:r w:rsidRPr="00987324">
              <w:rPr>
                <w:b/>
                <w:bCs/>
                <w:szCs w:val="20"/>
                <w:lang w:val="en-GB"/>
              </w:rPr>
              <w:t>Tender Award</w:t>
            </w:r>
          </w:p>
        </w:tc>
        <w:tc>
          <w:tcPr>
            <w:tcW w:w="3402" w:type="dxa"/>
            <w:tcBorders>
              <w:top w:val="single" w:sz="4" w:space="0" w:color="auto"/>
              <w:left w:val="single" w:sz="4" w:space="0" w:color="auto"/>
              <w:bottom w:val="single" w:sz="4" w:space="0" w:color="auto"/>
              <w:right w:val="single" w:sz="4" w:space="0" w:color="auto"/>
            </w:tcBorders>
            <w:vAlign w:val="center"/>
          </w:tcPr>
          <w:p w14:paraId="5BA5E0AE" w14:textId="6DB174C9" w:rsidR="00987324" w:rsidRPr="00987324" w:rsidRDefault="00544D33" w:rsidP="00987324">
            <w:pPr>
              <w:widowControl/>
              <w:autoSpaceDE/>
              <w:autoSpaceDN/>
              <w:spacing w:line="259" w:lineRule="auto"/>
              <w:jc w:val="both"/>
              <w:rPr>
                <w:rFonts w:cs="Arial"/>
                <w:szCs w:val="20"/>
                <w:lang w:val="en-GB"/>
              </w:rPr>
            </w:pPr>
            <w:r>
              <w:rPr>
                <w:rFonts w:cs="Arial"/>
                <w:szCs w:val="20"/>
                <w:lang w:val="en-GB"/>
              </w:rPr>
              <w:t>26</w:t>
            </w:r>
            <w:r w:rsidRPr="0026429C">
              <w:rPr>
                <w:rFonts w:cs="Arial"/>
                <w:szCs w:val="20"/>
                <w:vertAlign w:val="superscript"/>
                <w:lang w:val="en-GB"/>
              </w:rPr>
              <w:t>th</w:t>
            </w:r>
            <w:r>
              <w:rPr>
                <w:rFonts w:cs="Arial"/>
                <w:szCs w:val="20"/>
                <w:lang w:val="en-GB"/>
              </w:rPr>
              <w:t xml:space="preserve"> </w:t>
            </w:r>
            <w:r w:rsidR="0051123E" w:rsidRPr="0051123E">
              <w:rPr>
                <w:rFonts w:cs="Arial"/>
                <w:szCs w:val="20"/>
                <w:vertAlign w:val="superscript"/>
                <w:lang w:val="en-GB"/>
              </w:rPr>
              <w:t>h</w:t>
            </w:r>
            <w:r w:rsidR="0051123E">
              <w:rPr>
                <w:rFonts w:cs="Arial"/>
                <w:szCs w:val="20"/>
                <w:lang w:val="en-GB"/>
              </w:rPr>
              <w:t xml:space="preserve"> </w:t>
            </w:r>
            <w:r w:rsidR="005B27FC">
              <w:rPr>
                <w:rFonts w:cs="Arial"/>
                <w:szCs w:val="20"/>
                <w:lang w:val="en-GB"/>
              </w:rPr>
              <w:t xml:space="preserve">September </w:t>
            </w:r>
            <w:r w:rsidR="00987324" w:rsidRPr="00987324">
              <w:rPr>
                <w:rFonts w:cs="Arial"/>
                <w:szCs w:val="20"/>
                <w:lang w:val="en-GB"/>
              </w:rPr>
              <w:t>2025</w:t>
            </w:r>
          </w:p>
        </w:tc>
      </w:tr>
      <w:tr w:rsidR="00987324" w:rsidRPr="00987324" w14:paraId="7FE52F65" w14:textId="77777777" w:rsidTr="00987324">
        <w:trPr>
          <w:trHeight w:val="549"/>
        </w:trPr>
        <w:tc>
          <w:tcPr>
            <w:tcW w:w="38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B9336AB" w14:textId="77777777" w:rsidR="00987324" w:rsidRPr="00987324" w:rsidRDefault="00987324" w:rsidP="00987324">
            <w:pPr>
              <w:widowControl/>
              <w:autoSpaceDE/>
              <w:autoSpaceDN/>
              <w:spacing w:line="259" w:lineRule="auto"/>
              <w:jc w:val="both"/>
              <w:rPr>
                <w:b/>
                <w:bCs/>
                <w:szCs w:val="20"/>
                <w:lang w:val="en-GB"/>
              </w:rPr>
            </w:pPr>
            <w:r w:rsidRPr="00987324">
              <w:rPr>
                <w:b/>
                <w:bCs/>
                <w:szCs w:val="20"/>
                <w:lang w:val="en-GB"/>
              </w:rPr>
              <w:t>Contract Start</w:t>
            </w:r>
          </w:p>
        </w:tc>
        <w:tc>
          <w:tcPr>
            <w:tcW w:w="3402" w:type="dxa"/>
            <w:tcBorders>
              <w:top w:val="single" w:sz="4" w:space="0" w:color="auto"/>
              <w:left w:val="single" w:sz="4" w:space="0" w:color="auto"/>
              <w:bottom w:val="single" w:sz="4" w:space="0" w:color="auto"/>
              <w:right w:val="single" w:sz="4" w:space="0" w:color="auto"/>
            </w:tcBorders>
            <w:vAlign w:val="center"/>
          </w:tcPr>
          <w:p w14:paraId="69A52765" w14:textId="0C18B880" w:rsidR="00987324" w:rsidRPr="00987324" w:rsidRDefault="00987324" w:rsidP="00987324">
            <w:pPr>
              <w:widowControl/>
              <w:autoSpaceDE/>
              <w:autoSpaceDN/>
              <w:spacing w:line="259" w:lineRule="auto"/>
              <w:jc w:val="both"/>
              <w:rPr>
                <w:rFonts w:cs="Arial"/>
                <w:szCs w:val="20"/>
                <w:lang w:val="en-GB"/>
              </w:rPr>
            </w:pPr>
            <w:r>
              <w:rPr>
                <w:rFonts w:cs="Arial"/>
                <w:szCs w:val="20"/>
                <w:lang w:val="en-GB"/>
              </w:rPr>
              <w:t xml:space="preserve"> </w:t>
            </w:r>
            <w:r w:rsidR="005B27FC">
              <w:rPr>
                <w:rFonts w:cs="Arial"/>
                <w:szCs w:val="20"/>
                <w:lang w:val="en-GB"/>
              </w:rPr>
              <w:t xml:space="preserve">October </w:t>
            </w:r>
            <w:r>
              <w:rPr>
                <w:rFonts w:cs="Arial"/>
                <w:szCs w:val="20"/>
                <w:lang w:val="en-GB"/>
              </w:rPr>
              <w:t>2025</w:t>
            </w:r>
          </w:p>
        </w:tc>
      </w:tr>
    </w:tbl>
    <w:p w14:paraId="58900C5D" w14:textId="77777777" w:rsidR="00987324" w:rsidRPr="00987324" w:rsidRDefault="00987324" w:rsidP="00987324">
      <w:pPr>
        <w:widowControl/>
        <w:autoSpaceDE/>
        <w:autoSpaceDN/>
        <w:spacing w:line="259" w:lineRule="auto"/>
        <w:jc w:val="both"/>
        <w:rPr>
          <w:b/>
          <w:szCs w:val="20"/>
          <w:lang w:val="en-GB"/>
        </w:rPr>
      </w:pPr>
    </w:p>
    <w:p w14:paraId="29372F4B" w14:textId="77777777" w:rsidR="00987324" w:rsidRPr="00987324" w:rsidRDefault="00987324" w:rsidP="00987324">
      <w:pPr>
        <w:widowControl/>
        <w:autoSpaceDE/>
        <w:autoSpaceDN/>
        <w:spacing w:line="259" w:lineRule="auto"/>
        <w:jc w:val="both"/>
        <w:rPr>
          <w:b/>
          <w:szCs w:val="20"/>
          <w:lang w:val="en-GB"/>
        </w:rPr>
      </w:pPr>
      <w:r w:rsidRPr="00987324">
        <w:rPr>
          <w:b/>
          <w:szCs w:val="20"/>
          <w:lang w:val="en-GB"/>
        </w:rPr>
        <w:t xml:space="preserve">The University aims, but does not commit, to adhere to the above timetable. </w:t>
      </w:r>
    </w:p>
    <w:p w14:paraId="451E0C1D" w14:textId="0AF5D00B" w:rsidR="00987324" w:rsidRDefault="00987324" w:rsidP="00987324">
      <w:pPr>
        <w:widowControl/>
        <w:autoSpaceDE/>
        <w:autoSpaceDN/>
        <w:spacing w:line="259" w:lineRule="auto"/>
        <w:jc w:val="both"/>
        <w:rPr>
          <w:b/>
          <w:szCs w:val="20"/>
          <w:lang w:val="en-GB"/>
        </w:rPr>
      </w:pPr>
      <w:r w:rsidRPr="00987324">
        <w:rPr>
          <w:b/>
          <w:szCs w:val="20"/>
          <w:lang w:val="en-GB"/>
        </w:rPr>
        <w:t>Please do not contact the University for updates on the progression of the tender process. All suppliers will be notified by email at each stage.</w:t>
      </w:r>
    </w:p>
    <w:p w14:paraId="133AFB4F" w14:textId="58C7B9D9" w:rsidR="0041179E" w:rsidRDefault="0041179E" w:rsidP="00987324">
      <w:pPr>
        <w:widowControl/>
        <w:autoSpaceDE/>
        <w:autoSpaceDN/>
        <w:spacing w:line="259" w:lineRule="auto"/>
        <w:jc w:val="both"/>
        <w:rPr>
          <w:b/>
          <w:szCs w:val="20"/>
          <w:lang w:val="en-GB"/>
        </w:rPr>
      </w:pPr>
    </w:p>
    <w:p w14:paraId="26AB3539" w14:textId="77777777" w:rsidR="0041179E" w:rsidRDefault="0041179E" w:rsidP="00573301">
      <w:pPr>
        <w:pStyle w:val="Heading1"/>
      </w:pPr>
      <w:bookmarkStart w:id="5" w:name="_Toc192511411"/>
      <w:bookmarkStart w:id="6" w:name="_Toc192514622"/>
      <w:bookmarkStart w:id="7" w:name="_Toc205559932"/>
      <w:r w:rsidRPr="00571535">
        <w:t>Overview</w:t>
      </w:r>
      <w:bookmarkEnd w:id="5"/>
      <w:bookmarkEnd w:id="6"/>
      <w:bookmarkEnd w:id="7"/>
      <w:r>
        <w:t xml:space="preserve"> </w:t>
      </w:r>
    </w:p>
    <w:p w14:paraId="1125961D" w14:textId="77777777" w:rsidR="0041179E" w:rsidRDefault="0041179E" w:rsidP="0041179E">
      <w:pPr>
        <w:spacing w:after="33"/>
        <w:ind w:right="7"/>
        <w:jc w:val="both"/>
      </w:pPr>
    </w:p>
    <w:tbl>
      <w:tblPr>
        <w:tblStyle w:val="9"/>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4"/>
        <w:gridCol w:w="6216"/>
      </w:tblGrid>
      <w:tr w:rsidR="0041179E" w14:paraId="703A4D90" w14:textId="77777777" w:rsidTr="00D23C5A">
        <w:tc>
          <w:tcPr>
            <w:tcW w:w="3114" w:type="dxa"/>
            <w:shd w:val="clear" w:color="auto" w:fill="D9D9D9" w:themeFill="background1" w:themeFillShade="D9"/>
            <w:tcMar>
              <w:top w:w="100" w:type="dxa"/>
              <w:left w:w="100" w:type="dxa"/>
              <w:bottom w:w="100" w:type="dxa"/>
              <w:right w:w="100" w:type="dxa"/>
            </w:tcMar>
          </w:tcPr>
          <w:p w14:paraId="69FC982C" w14:textId="77777777" w:rsidR="0041179E" w:rsidRDefault="0041179E" w:rsidP="0051123E">
            <w:pPr>
              <w:rPr>
                <w:b/>
              </w:rPr>
            </w:pPr>
            <w:r>
              <w:rPr>
                <w:b/>
              </w:rPr>
              <w:t xml:space="preserve">Procuring Authority: </w:t>
            </w:r>
          </w:p>
        </w:tc>
        <w:tc>
          <w:tcPr>
            <w:tcW w:w="6216" w:type="dxa"/>
            <w:shd w:val="clear" w:color="auto" w:fill="auto"/>
            <w:tcMar>
              <w:top w:w="100" w:type="dxa"/>
              <w:left w:w="100" w:type="dxa"/>
              <w:bottom w:w="100" w:type="dxa"/>
              <w:right w:w="100" w:type="dxa"/>
            </w:tcMar>
          </w:tcPr>
          <w:p w14:paraId="1A66AE52" w14:textId="72AE851E" w:rsidR="0041179E" w:rsidRPr="00F11C65" w:rsidRDefault="0041179E" w:rsidP="00D23C5A">
            <w:pPr>
              <w:tabs>
                <w:tab w:val="left" w:pos="720"/>
              </w:tabs>
              <w:spacing w:line="276" w:lineRule="auto"/>
              <w:jc w:val="both"/>
              <w:rPr>
                <w:bCs/>
              </w:rPr>
            </w:pPr>
            <w:r w:rsidRPr="00F11C65">
              <w:rPr>
                <w:bCs/>
              </w:rPr>
              <w:t>University of Wales Trinity Saint David Group (UWTSD)</w:t>
            </w:r>
            <w:r w:rsidR="00F11C65">
              <w:rPr>
                <w:bCs/>
              </w:rPr>
              <w:t>, and Pembrokeshire College</w:t>
            </w:r>
          </w:p>
        </w:tc>
      </w:tr>
      <w:tr w:rsidR="0041179E" w14:paraId="19C639A0" w14:textId="77777777" w:rsidTr="00D23C5A">
        <w:tc>
          <w:tcPr>
            <w:tcW w:w="3114" w:type="dxa"/>
            <w:shd w:val="clear" w:color="auto" w:fill="D9D9D9" w:themeFill="background1" w:themeFillShade="D9"/>
            <w:tcMar>
              <w:top w:w="100" w:type="dxa"/>
              <w:left w:w="100" w:type="dxa"/>
              <w:bottom w:w="100" w:type="dxa"/>
              <w:right w:w="100" w:type="dxa"/>
            </w:tcMar>
          </w:tcPr>
          <w:p w14:paraId="07BE7BFC" w14:textId="77777777" w:rsidR="0041179E" w:rsidRDefault="0041179E" w:rsidP="0051123E">
            <w:pPr>
              <w:rPr>
                <w:b/>
              </w:rPr>
            </w:pPr>
            <w:r>
              <w:rPr>
                <w:b/>
              </w:rPr>
              <w:t>Title:</w:t>
            </w:r>
          </w:p>
        </w:tc>
        <w:tc>
          <w:tcPr>
            <w:tcW w:w="6216" w:type="dxa"/>
            <w:shd w:val="clear" w:color="auto" w:fill="auto"/>
            <w:tcMar>
              <w:top w:w="100" w:type="dxa"/>
              <w:left w:w="100" w:type="dxa"/>
              <w:bottom w:w="100" w:type="dxa"/>
              <w:right w:w="100" w:type="dxa"/>
            </w:tcMar>
          </w:tcPr>
          <w:p w14:paraId="760E32F8" w14:textId="4651D1B2" w:rsidR="0041179E" w:rsidRPr="00F11C65" w:rsidRDefault="0041179E" w:rsidP="00D23C5A">
            <w:pPr>
              <w:jc w:val="both"/>
              <w:rPr>
                <w:rFonts w:asciiTheme="minorHAnsi" w:hAnsiTheme="minorHAnsi" w:cstheme="minorHAnsi"/>
                <w:bCs/>
              </w:rPr>
            </w:pPr>
            <w:r w:rsidRPr="00F11C65">
              <w:rPr>
                <w:rFonts w:asciiTheme="minorHAnsi" w:hAnsiTheme="minorHAnsi" w:cstheme="minorHAnsi"/>
                <w:bCs/>
              </w:rPr>
              <w:t>Property Consultancy Framework</w:t>
            </w:r>
          </w:p>
        </w:tc>
      </w:tr>
      <w:tr w:rsidR="0041179E" w14:paraId="2BB322CB" w14:textId="77777777" w:rsidTr="00D23C5A">
        <w:tc>
          <w:tcPr>
            <w:tcW w:w="3114" w:type="dxa"/>
            <w:shd w:val="clear" w:color="auto" w:fill="D9D9D9" w:themeFill="background1" w:themeFillShade="D9"/>
            <w:tcMar>
              <w:top w:w="100" w:type="dxa"/>
              <w:left w:w="100" w:type="dxa"/>
              <w:bottom w:w="100" w:type="dxa"/>
              <w:right w:w="100" w:type="dxa"/>
            </w:tcMar>
          </w:tcPr>
          <w:p w14:paraId="649D6765" w14:textId="77777777" w:rsidR="0041179E" w:rsidRPr="005B27FC" w:rsidRDefault="0041179E" w:rsidP="0051123E">
            <w:pPr>
              <w:rPr>
                <w:b/>
                <w:highlight w:val="yellow"/>
              </w:rPr>
            </w:pPr>
            <w:r w:rsidRPr="0051123E">
              <w:rPr>
                <w:b/>
              </w:rPr>
              <w:t>Procedure:</w:t>
            </w:r>
          </w:p>
        </w:tc>
        <w:tc>
          <w:tcPr>
            <w:tcW w:w="6216" w:type="dxa"/>
            <w:shd w:val="clear" w:color="auto" w:fill="auto"/>
            <w:tcMar>
              <w:top w:w="100" w:type="dxa"/>
              <w:left w:w="100" w:type="dxa"/>
              <w:bottom w:w="100" w:type="dxa"/>
              <w:right w:w="100" w:type="dxa"/>
            </w:tcMar>
          </w:tcPr>
          <w:p w14:paraId="05947758" w14:textId="02DE87EF" w:rsidR="0041179E" w:rsidRPr="00F11C65" w:rsidRDefault="0051123E" w:rsidP="00D23C5A">
            <w:pPr>
              <w:jc w:val="both"/>
              <w:rPr>
                <w:bCs/>
                <w:highlight w:val="yellow"/>
              </w:rPr>
            </w:pPr>
            <w:r w:rsidRPr="00F11C65">
              <w:rPr>
                <w:bCs/>
              </w:rPr>
              <w:t xml:space="preserve">Open Framework </w:t>
            </w:r>
          </w:p>
        </w:tc>
      </w:tr>
      <w:tr w:rsidR="0041179E" w:rsidRPr="004C2F8B" w14:paraId="4FB60F96" w14:textId="77777777" w:rsidTr="00D23C5A">
        <w:tc>
          <w:tcPr>
            <w:tcW w:w="3114" w:type="dxa"/>
            <w:shd w:val="clear" w:color="auto" w:fill="D9D9D9" w:themeFill="background1" w:themeFillShade="D9"/>
            <w:tcMar>
              <w:top w:w="100" w:type="dxa"/>
              <w:left w:w="100" w:type="dxa"/>
              <w:bottom w:w="100" w:type="dxa"/>
              <w:right w:w="100" w:type="dxa"/>
            </w:tcMar>
          </w:tcPr>
          <w:p w14:paraId="124A8597" w14:textId="77777777" w:rsidR="0041179E" w:rsidRDefault="0041179E" w:rsidP="0051123E">
            <w:pPr>
              <w:rPr>
                <w:b/>
              </w:rPr>
            </w:pPr>
            <w:r>
              <w:rPr>
                <w:b/>
              </w:rPr>
              <w:t>Framework Agreement Start:</w:t>
            </w:r>
          </w:p>
        </w:tc>
        <w:tc>
          <w:tcPr>
            <w:tcW w:w="6216" w:type="dxa"/>
            <w:shd w:val="clear" w:color="auto" w:fill="auto"/>
            <w:tcMar>
              <w:top w:w="100" w:type="dxa"/>
              <w:left w:w="100" w:type="dxa"/>
              <w:bottom w:w="100" w:type="dxa"/>
              <w:right w:w="100" w:type="dxa"/>
            </w:tcMar>
          </w:tcPr>
          <w:p w14:paraId="4FF39C0A" w14:textId="6EA11487" w:rsidR="0041179E" w:rsidRPr="00F11C65" w:rsidRDefault="005B27FC" w:rsidP="00D23C5A">
            <w:pPr>
              <w:jc w:val="both"/>
              <w:rPr>
                <w:bCs/>
              </w:rPr>
            </w:pPr>
            <w:r w:rsidRPr="00F11C65">
              <w:rPr>
                <w:bCs/>
              </w:rPr>
              <w:t xml:space="preserve">October </w:t>
            </w:r>
            <w:r w:rsidR="0041179E" w:rsidRPr="00F11C65">
              <w:rPr>
                <w:bCs/>
              </w:rPr>
              <w:t>2025</w:t>
            </w:r>
          </w:p>
        </w:tc>
      </w:tr>
      <w:tr w:rsidR="0041179E" w14:paraId="04FB2A57" w14:textId="77777777" w:rsidTr="00D23C5A">
        <w:tc>
          <w:tcPr>
            <w:tcW w:w="3114" w:type="dxa"/>
            <w:shd w:val="clear" w:color="auto" w:fill="D9D9D9" w:themeFill="background1" w:themeFillShade="D9"/>
            <w:tcMar>
              <w:top w:w="100" w:type="dxa"/>
              <w:left w:w="100" w:type="dxa"/>
              <w:bottom w:w="100" w:type="dxa"/>
              <w:right w:w="100" w:type="dxa"/>
            </w:tcMar>
          </w:tcPr>
          <w:p w14:paraId="1680D32C" w14:textId="77777777" w:rsidR="0041179E" w:rsidRDefault="0041179E" w:rsidP="0051123E">
            <w:pPr>
              <w:rPr>
                <w:b/>
              </w:rPr>
            </w:pPr>
            <w:r>
              <w:rPr>
                <w:b/>
              </w:rPr>
              <w:t>Type of Contract:</w:t>
            </w:r>
          </w:p>
        </w:tc>
        <w:tc>
          <w:tcPr>
            <w:tcW w:w="6216" w:type="dxa"/>
            <w:shd w:val="clear" w:color="auto" w:fill="auto"/>
            <w:tcMar>
              <w:top w:w="100" w:type="dxa"/>
              <w:left w:w="100" w:type="dxa"/>
              <w:bottom w:w="100" w:type="dxa"/>
              <w:right w:w="100" w:type="dxa"/>
            </w:tcMar>
          </w:tcPr>
          <w:p w14:paraId="6732051D" w14:textId="481319FD" w:rsidR="0041179E" w:rsidRPr="00F11C65" w:rsidRDefault="0051123E" w:rsidP="00D23C5A">
            <w:pPr>
              <w:jc w:val="both"/>
              <w:rPr>
                <w:bCs/>
              </w:rPr>
            </w:pPr>
            <w:r w:rsidRPr="00F11C65">
              <w:rPr>
                <w:bCs/>
              </w:rPr>
              <w:t xml:space="preserve">Open </w:t>
            </w:r>
            <w:r w:rsidR="0041179E" w:rsidRPr="00F11C65">
              <w:rPr>
                <w:bCs/>
              </w:rPr>
              <w:t>Framework Agreement</w:t>
            </w:r>
          </w:p>
        </w:tc>
      </w:tr>
      <w:tr w:rsidR="0041179E" w:rsidRPr="002568E1" w14:paraId="23D3AAAC" w14:textId="77777777" w:rsidTr="00D23C5A">
        <w:trPr>
          <w:trHeight w:val="448"/>
        </w:trPr>
        <w:tc>
          <w:tcPr>
            <w:tcW w:w="3114" w:type="dxa"/>
            <w:shd w:val="clear" w:color="auto" w:fill="D9D9D9" w:themeFill="background1" w:themeFillShade="D9"/>
            <w:tcMar>
              <w:top w:w="100" w:type="dxa"/>
              <w:left w:w="100" w:type="dxa"/>
              <w:bottom w:w="100" w:type="dxa"/>
              <w:right w:w="100" w:type="dxa"/>
            </w:tcMar>
          </w:tcPr>
          <w:p w14:paraId="3294084C" w14:textId="77777777" w:rsidR="0041179E" w:rsidRPr="006F402A" w:rsidRDefault="0041179E" w:rsidP="006F402A">
            <w:pPr>
              <w:rPr>
                <w:b/>
              </w:rPr>
            </w:pPr>
            <w:r w:rsidRPr="006F402A">
              <w:rPr>
                <w:b/>
              </w:rPr>
              <w:t>Framework Type &amp; Duration:</w:t>
            </w:r>
          </w:p>
        </w:tc>
        <w:tc>
          <w:tcPr>
            <w:tcW w:w="6216" w:type="dxa"/>
            <w:shd w:val="clear" w:color="auto" w:fill="auto"/>
            <w:tcMar>
              <w:top w:w="100" w:type="dxa"/>
              <w:left w:w="100" w:type="dxa"/>
              <w:bottom w:w="100" w:type="dxa"/>
              <w:right w:w="100" w:type="dxa"/>
            </w:tcMar>
          </w:tcPr>
          <w:p w14:paraId="051A5EBC" w14:textId="4BE66484" w:rsidR="0051123E" w:rsidRPr="006F402A" w:rsidRDefault="0051123E" w:rsidP="00D23C5A">
            <w:pPr>
              <w:jc w:val="both"/>
            </w:pPr>
            <w:r>
              <w:t>The proposed Framework Agreement is intended to run for an initial period of 4 years, with the option to extend for a further 4 years, giving a maximum duration of 8 years. In line with the principles of openness and competition, there is also a provision to allow new suppliers to join the framework during year 3 and again in year 6.</w:t>
            </w:r>
          </w:p>
          <w:p w14:paraId="249EF575" w14:textId="77777777" w:rsidR="0051123E" w:rsidRPr="00A908A4" w:rsidRDefault="0051123E" w:rsidP="00D23C5A">
            <w:pPr>
              <w:jc w:val="both"/>
              <w:rPr>
                <w:rFonts w:eastAsia="Times New Roman" w:cstheme="minorHAnsi"/>
                <w:lang w:eastAsia="zh-CN"/>
              </w:rPr>
            </w:pPr>
          </w:p>
          <w:p w14:paraId="425327F3" w14:textId="2B86D73F" w:rsidR="0041179E" w:rsidRPr="00A908A4" w:rsidRDefault="0041179E" w:rsidP="00D23C5A">
            <w:pPr>
              <w:jc w:val="both"/>
              <w:rPr>
                <w:rFonts w:eastAsia="Times New Roman" w:cstheme="minorHAnsi"/>
                <w:lang w:eastAsia="zh-CN"/>
              </w:rPr>
            </w:pPr>
            <w:r w:rsidRPr="00A908A4">
              <w:rPr>
                <w:rFonts w:eastAsia="Times New Roman" w:cstheme="minorHAnsi"/>
                <w:lang w:eastAsia="zh-CN"/>
              </w:rPr>
              <w:t>There will be no guarantee of business or volume of purchases even if you</w:t>
            </w:r>
            <w:r w:rsidR="00F11C65">
              <w:rPr>
                <w:rFonts w:eastAsia="Times New Roman" w:cstheme="minorHAnsi"/>
                <w:lang w:eastAsia="zh-CN"/>
              </w:rPr>
              <w:t xml:space="preserve"> a</w:t>
            </w:r>
            <w:r w:rsidRPr="00A908A4">
              <w:rPr>
                <w:rFonts w:eastAsia="Times New Roman" w:cstheme="minorHAnsi"/>
                <w:lang w:eastAsia="zh-CN"/>
              </w:rPr>
              <w:t>re selected as an approved supplier.</w:t>
            </w:r>
          </w:p>
          <w:p w14:paraId="0B307C3B" w14:textId="77777777" w:rsidR="0041179E" w:rsidRPr="00A908A4" w:rsidRDefault="0041179E" w:rsidP="00D23C5A">
            <w:pPr>
              <w:jc w:val="both"/>
            </w:pPr>
          </w:p>
          <w:p w14:paraId="5E1AACF0" w14:textId="1C47C007" w:rsidR="0041179E" w:rsidRPr="00A908A4" w:rsidRDefault="0041179E" w:rsidP="00D23C5A">
            <w:pPr>
              <w:jc w:val="both"/>
            </w:pPr>
            <w:r w:rsidRPr="00A908A4">
              <w:t>This contract will be accessible by the</w:t>
            </w:r>
            <w:r w:rsidR="0051123E">
              <w:t xml:space="preserve"> following</w:t>
            </w:r>
            <w:r w:rsidRPr="00A908A4">
              <w:t>:</w:t>
            </w:r>
          </w:p>
          <w:p w14:paraId="3DF13F00" w14:textId="77777777" w:rsidR="0051123E" w:rsidRDefault="0041179E" w:rsidP="00A8360C">
            <w:pPr>
              <w:pStyle w:val="ListParagraph"/>
              <w:numPr>
                <w:ilvl w:val="0"/>
                <w:numId w:val="12"/>
              </w:numPr>
              <w:jc w:val="both"/>
              <w:rPr>
                <w:rFonts w:asciiTheme="minorHAnsi" w:eastAsia="Times New Roman" w:hAnsiTheme="minorHAnsi" w:cstheme="minorHAnsi"/>
              </w:rPr>
            </w:pPr>
            <w:r w:rsidRPr="0051123E">
              <w:rPr>
                <w:rFonts w:asciiTheme="minorHAnsi" w:eastAsia="Times New Roman" w:hAnsiTheme="minorHAnsi" w:cstheme="minorHAnsi"/>
              </w:rPr>
              <w:t>University of Wales Trinity Saint David</w:t>
            </w:r>
          </w:p>
          <w:p w14:paraId="18FF13C7" w14:textId="77777777" w:rsidR="0051123E" w:rsidRDefault="0041179E" w:rsidP="00A8360C">
            <w:pPr>
              <w:pStyle w:val="ListParagraph"/>
              <w:numPr>
                <w:ilvl w:val="0"/>
                <w:numId w:val="12"/>
              </w:numPr>
              <w:jc w:val="both"/>
              <w:rPr>
                <w:rFonts w:asciiTheme="minorHAnsi" w:eastAsia="Times New Roman" w:hAnsiTheme="minorHAnsi" w:cstheme="minorHAnsi"/>
              </w:rPr>
            </w:pPr>
            <w:r w:rsidRPr="0051123E">
              <w:rPr>
                <w:rFonts w:asciiTheme="minorHAnsi" w:eastAsia="Times New Roman" w:hAnsiTheme="minorHAnsi" w:cstheme="minorHAnsi"/>
              </w:rPr>
              <w:t>University of Wales</w:t>
            </w:r>
          </w:p>
          <w:p w14:paraId="6F0611DB" w14:textId="77777777" w:rsidR="0051123E" w:rsidRDefault="0041179E" w:rsidP="00A8360C">
            <w:pPr>
              <w:pStyle w:val="ListParagraph"/>
              <w:numPr>
                <w:ilvl w:val="0"/>
                <w:numId w:val="12"/>
              </w:numPr>
              <w:jc w:val="both"/>
              <w:rPr>
                <w:rFonts w:asciiTheme="minorHAnsi" w:eastAsia="Times New Roman" w:hAnsiTheme="minorHAnsi" w:cstheme="minorHAnsi"/>
              </w:rPr>
            </w:pPr>
            <w:r w:rsidRPr="0051123E">
              <w:rPr>
                <w:rFonts w:asciiTheme="minorHAnsi" w:eastAsia="Times New Roman" w:hAnsiTheme="minorHAnsi" w:cstheme="minorHAnsi"/>
              </w:rPr>
              <w:lastRenderedPageBreak/>
              <w:t xml:space="preserve">Coleg Sir </w:t>
            </w:r>
            <w:proofErr w:type="spellStart"/>
            <w:r w:rsidRPr="0051123E">
              <w:rPr>
                <w:rFonts w:asciiTheme="minorHAnsi" w:eastAsia="Times New Roman" w:hAnsiTheme="minorHAnsi" w:cstheme="minorHAnsi"/>
              </w:rPr>
              <w:t>Gâr</w:t>
            </w:r>
            <w:proofErr w:type="spellEnd"/>
          </w:p>
          <w:p w14:paraId="4DA85848" w14:textId="77777777" w:rsidR="0051123E" w:rsidRDefault="0041179E" w:rsidP="00A8360C">
            <w:pPr>
              <w:pStyle w:val="ListParagraph"/>
              <w:numPr>
                <w:ilvl w:val="0"/>
                <w:numId w:val="12"/>
              </w:numPr>
              <w:jc w:val="both"/>
              <w:rPr>
                <w:rFonts w:asciiTheme="minorHAnsi" w:eastAsia="Times New Roman" w:hAnsiTheme="minorHAnsi" w:cstheme="minorHAnsi"/>
              </w:rPr>
            </w:pPr>
            <w:r w:rsidRPr="0051123E">
              <w:rPr>
                <w:rFonts w:asciiTheme="minorHAnsi" w:eastAsia="Times New Roman" w:hAnsiTheme="minorHAnsi" w:cstheme="minorHAnsi"/>
              </w:rPr>
              <w:t>Coleg Ceredigion</w:t>
            </w:r>
          </w:p>
          <w:p w14:paraId="4069544B" w14:textId="4E4F8F8E" w:rsidR="0041179E" w:rsidRPr="0051123E" w:rsidRDefault="0041179E" w:rsidP="00A8360C">
            <w:pPr>
              <w:pStyle w:val="ListParagraph"/>
              <w:numPr>
                <w:ilvl w:val="0"/>
                <w:numId w:val="12"/>
              </w:numPr>
              <w:jc w:val="both"/>
              <w:rPr>
                <w:rFonts w:asciiTheme="minorHAnsi" w:eastAsia="Times New Roman" w:hAnsiTheme="minorHAnsi" w:cstheme="minorHAnsi"/>
              </w:rPr>
            </w:pPr>
            <w:r w:rsidRPr="0051123E">
              <w:rPr>
                <w:rFonts w:asciiTheme="minorHAnsi" w:eastAsia="Times New Roman" w:hAnsiTheme="minorHAnsi" w:cstheme="minorHAnsi"/>
              </w:rPr>
              <w:t>Pembrokeshire College</w:t>
            </w:r>
          </w:p>
        </w:tc>
      </w:tr>
      <w:tr w:rsidR="0041179E" w14:paraId="639B9D34" w14:textId="77777777" w:rsidTr="00D23C5A">
        <w:trPr>
          <w:trHeight w:val="20"/>
        </w:trPr>
        <w:tc>
          <w:tcPr>
            <w:tcW w:w="3114" w:type="dxa"/>
            <w:shd w:val="clear" w:color="auto" w:fill="D9D9D9" w:themeFill="background1" w:themeFillShade="D9"/>
            <w:tcMar>
              <w:top w:w="100" w:type="dxa"/>
              <w:left w:w="100" w:type="dxa"/>
              <w:bottom w:w="100" w:type="dxa"/>
              <w:right w:w="100" w:type="dxa"/>
            </w:tcMar>
          </w:tcPr>
          <w:p w14:paraId="0A4751C5" w14:textId="77777777" w:rsidR="0041179E" w:rsidRDefault="0041179E" w:rsidP="0051123E">
            <w:pPr>
              <w:rPr>
                <w:b/>
              </w:rPr>
            </w:pPr>
            <w:r>
              <w:rPr>
                <w:b/>
              </w:rPr>
              <w:lastRenderedPageBreak/>
              <w:t>The number of envisaged contractors per LOT:</w:t>
            </w:r>
          </w:p>
        </w:tc>
        <w:tc>
          <w:tcPr>
            <w:tcW w:w="6216" w:type="dxa"/>
            <w:shd w:val="clear" w:color="auto" w:fill="auto"/>
            <w:tcMar>
              <w:top w:w="100" w:type="dxa"/>
              <w:left w:w="100" w:type="dxa"/>
              <w:bottom w:w="100" w:type="dxa"/>
              <w:right w:w="100" w:type="dxa"/>
            </w:tcMar>
          </w:tcPr>
          <w:p w14:paraId="6D189867" w14:textId="4943E988" w:rsidR="0041179E" w:rsidRPr="005B3909" w:rsidRDefault="0051123E" w:rsidP="00D23C5A">
            <w:pPr>
              <w:jc w:val="both"/>
              <w:rPr>
                <w:highlight w:val="yellow"/>
              </w:rPr>
            </w:pPr>
            <w:r>
              <w:t>A maximum of 8 suppliers will be appointed to each LOT, subject to receiving a sufficient number of admissible tenders for both LOTs within the agreement.</w:t>
            </w:r>
          </w:p>
        </w:tc>
      </w:tr>
      <w:tr w:rsidR="0041179E" w:rsidRPr="00E27542" w14:paraId="611A9335" w14:textId="77777777" w:rsidTr="00D23C5A">
        <w:tc>
          <w:tcPr>
            <w:tcW w:w="3114" w:type="dxa"/>
            <w:shd w:val="clear" w:color="auto" w:fill="D9D9D9" w:themeFill="background1" w:themeFillShade="D9"/>
            <w:tcMar>
              <w:top w:w="100" w:type="dxa"/>
              <w:left w:w="100" w:type="dxa"/>
              <w:bottom w:w="100" w:type="dxa"/>
              <w:right w:w="100" w:type="dxa"/>
            </w:tcMar>
          </w:tcPr>
          <w:p w14:paraId="63EAC268" w14:textId="77777777" w:rsidR="0041179E" w:rsidRPr="005B27FC" w:rsidRDefault="0041179E" w:rsidP="0051123E">
            <w:pPr>
              <w:rPr>
                <w:b/>
              </w:rPr>
            </w:pPr>
            <w:r w:rsidRPr="005B27FC">
              <w:rPr>
                <w:b/>
              </w:rPr>
              <w:t>Maximum Estimated Expenditure:</w:t>
            </w:r>
          </w:p>
        </w:tc>
        <w:tc>
          <w:tcPr>
            <w:tcW w:w="6216" w:type="dxa"/>
            <w:shd w:val="clear" w:color="auto" w:fill="auto"/>
            <w:tcMar>
              <w:top w:w="100" w:type="dxa"/>
              <w:left w:w="100" w:type="dxa"/>
              <w:bottom w:w="100" w:type="dxa"/>
              <w:right w:w="100" w:type="dxa"/>
            </w:tcMar>
          </w:tcPr>
          <w:p w14:paraId="40310CE9" w14:textId="10B30D9D" w:rsidR="0041179E" w:rsidRPr="005B27FC" w:rsidRDefault="0041179E" w:rsidP="00D23C5A">
            <w:pPr>
              <w:jc w:val="both"/>
            </w:pPr>
            <w:r w:rsidRPr="005B27FC">
              <w:t>£</w:t>
            </w:r>
            <w:r w:rsidR="006F38CC">
              <w:t>3</w:t>
            </w:r>
            <w:r w:rsidR="005B27FC" w:rsidRPr="005B27FC">
              <w:t>M</w:t>
            </w:r>
            <w:r w:rsidR="006F402A">
              <w:t xml:space="preserve"> </w:t>
            </w:r>
            <w:r w:rsidRPr="005B27FC">
              <w:t>across all 2 (</w:t>
            </w:r>
            <w:r w:rsidR="006F402A">
              <w:t>two</w:t>
            </w:r>
            <w:r w:rsidRPr="005B27FC">
              <w:t>) LOTS over the complete duration of the contract.</w:t>
            </w:r>
          </w:p>
          <w:p w14:paraId="24E43038" w14:textId="51911A2D" w:rsidR="0041179E" w:rsidRPr="005B27FC" w:rsidRDefault="0041179E" w:rsidP="00D23C5A">
            <w:pPr>
              <w:jc w:val="both"/>
              <w:rPr>
                <w:rFonts w:eastAsia="Times New Roman" w:cstheme="minorHAnsi"/>
                <w:lang w:eastAsia="zh-CN"/>
              </w:rPr>
            </w:pPr>
            <w:r w:rsidRPr="005B27FC">
              <w:rPr>
                <w:rFonts w:eastAsia="Times New Roman" w:cstheme="minorHAnsi"/>
                <w:lang w:eastAsia="zh-CN"/>
              </w:rPr>
              <w:t>There will be no guarantee of business or volume of purchases even if you</w:t>
            </w:r>
            <w:r w:rsidR="00F11C65">
              <w:rPr>
                <w:rFonts w:eastAsia="Times New Roman" w:cstheme="minorHAnsi"/>
                <w:lang w:eastAsia="zh-CN"/>
              </w:rPr>
              <w:t xml:space="preserve"> a</w:t>
            </w:r>
            <w:r w:rsidRPr="005B27FC">
              <w:rPr>
                <w:rFonts w:eastAsia="Times New Roman" w:cstheme="minorHAnsi"/>
                <w:lang w:eastAsia="zh-CN"/>
              </w:rPr>
              <w:t>re selected as an approved supplier.</w:t>
            </w:r>
          </w:p>
        </w:tc>
      </w:tr>
      <w:tr w:rsidR="0041179E" w:rsidRPr="002568E1" w14:paraId="3231033B" w14:textId="77777777" w:rsidTr="00D23C5A">
        <w:trPr>
          <w:trHeight w:val="22"/>
        </w:trPr>
        <w:tc>
          <w:tcPr>
            <w:tcW w:w="3114" w:type="dxa"/>
            <w:shd w:val="clear" w:color="auto" w:fill="D9D9D9" w:themeFill="background1" w:themeFillShade="D9"/>
            <w:tcMar>
              <w:top w:w="100" w:type="dxa"/>
              <w:left w:w="100" w:type="dxa"/>
              <w:bottom w:w="100" w:type="dxa"/>
              <w:right w:w="100" w:type="dxa"/>
            </w:tcMar>
          </w:tcPr>
          <w:p w14:paraId="538E414D" w14:textId="77777777" w:rsidR="0041179E" w:rsidRDefault="0041179E" w:rsidP="0051123E">
            <w:pPr>
              <w:rPr>
                <w:b/>
              </w:rPr>
            </w:pPr>
            <w:r>
              <w:rPr>
                <w:b/>
              </w:rPr>
              <w:t>Framework LOTS:</w:t>
            </w:r>
          </w:p>
        </w:tc>
        <w:tc>
          <w:tcPr>
            <w:tcW w:w="6216" w:type="dxa"/>
            <w:shd w:val="clear" w:color="auto" w:fill="auto"/>
            <w:tcMar>
              <w:top w:w="100" w:type="dxa"/>
              <w:left w:w="100" w:type="dxa"/>
              <w:bottom w:w="100" w:type="dxa"/>
              <w:right w:w="100" w:type="dxa"/>
            </w:tcMar>
          </w:tcPr>
          <w:p w14:paraId="35339186" w14:textId="4F885219" w:rsidR="0041179E" w:rsidRPr="00F11C65" w:rsidRDefault="0041179E" w:rsidP="00D23C5A">
            <w:pPr>
              <w:jc w:val="both"/>
            </w:pPr>
            <w:r w:rsidRPr="0041179E">
              <w:t xml:space="preserve">This tender is divided into </w:t>
            </w:r>
            <w:r w:rsidR="00F11C65" w:rsidRPr="0041179E">
              <w:t>2 (</w:t>
            </w:r>
            <w:r w:rsidRPr="0041179E">
              <w:t>Two) Lots:</w:t>
            </w:r>
          </w:p>
          <w:p w14:paraId="16628F3C" w14:textId="77777777" w:rsidR="0041179E" w:rsidRPr="00837956" w:rsidRDefault="0041179E" w:rsidP="00D23C5A">
            <w:pPr>
              <w:pStyle w:val="BodyText"/>
              <w:numPr>
                <w:ilvl w:val="0"/>
                <w:numId w:val="2"/>
              </w:numPr>
              <w:ind w:right="116"/>
              <w:jc w:val="both"/>
              <w:rPr>
                <w:rFonts w:asciiTheme="minorHAnsi" w:hAnsiTheme="minorHAnsi" w:cstheme="minorHAnsi"/>
              </w:rPr>
            </w:pPr>
            <w:r w:rsidRPr="00837956">
              <w:rPr>
                <w:rFonts w:asciiTheme="minorHAnsi" w:hAnsiTheme="minorHAnsi" w:cstheme="minorHAnsi"/>
              </w:rPr>
              <w:t>Lot 1 – General Project Management and Estates Services Consultancy</w:t>
            </w:r>
          </w:p>
          <w:p w14:paraId="5E1DA432" w14:textId="77777777" w:rsidR="0041179E" w:rsidRPr="0041179E" w:rsidRDefault="0041179E" w:rsidP="00D23C5A">
            <w:pPr>
              <w:pStyle w:val="BodyText"/>
              <w:numPr>
                <w:ilvl w:val="0"/>
                <w:numId w:val="2"/>
              </w:numPr>
              <w:ind w:right="116"/>
              <w:jc w:val="both"/>
              <w:rPr>
                <w:rFonts w:asciiTheme="minorHAnsi" w:hAnsiTheme="minorHAnsi" w:cstheme="minorHAnsi"/>
              </w:rPr>
            </w:pPr>
            <w:r w:rsidRPr="00837956">
              <w:rPr>
                <w:rFonts w:asciiTheme="minorHAnsi" w:hAnsiTheme="minorHAnsi" w:cstheme="minorHAnsi"/>
              </w:rPr>
              <w:t>Lot 2 – Property Consultancy Services</w:t>
            </w:r>
          </w:p>
        </w:tc>
      </w:tr>
      <w:tr w:rsidR="0041179E" w14:paraId="18BEBE7B" w14:textId="77777777" w:rsidTr="00D23C5A">
        <w:tc>
          <w:tcPr>
            <w:tcW w:w="3114" w:type="dxa"/>
            <w:shd w:val="clear" w:color="auto" w:fill="D9D9D9" w:themeFill="background1" w:themeFillShade="D9"/>
            <w:tcMar>
              <w:top w:w="100" w:type="dxa"/>
              <w:left w:w="100" w:type="dxa"/>
              <w:bottom w:w="100" w:type="dxa"/>
              <w:right w:w="100" w:type="dxa"/>
            </w:tcMar>
          </w:tcPr>
          <w:p w14:paraId="1D55CBF2" w14:textId="1D9B3E71" w:rsidR="0041179E" w:rsidRDefault="0041179E" w:rsidP="0051123E">
            <w:pPr>
              <w:rPr>
                <w:b/>
              </w:rPr>
            </w:pPr>
            <w:r>
              <w:rPr>
                <w:b/>
              </w:rPr>
              <w:t>Consortia</w:t>
            </w:r>
            <w:r w:rsidR="00F11C65">
              <w:rPr>
                <w:b/>
              </w:rPr>
              <w:t>:</w:t>
            </w:r>
          </w:p>
        </w:tc>
        <w:tc>
          <w:tcPr>
            <w:tcW w:w="6216" w:type="dxa"/>
            <w:shd w:val="clear" w:color="auto" w:fill="auto"/>
            <w:tcMar>
              <w:top w:w="100" w:type="dxa"/>
              <w:left w:w="100" w:type="dxa"/>
              <w:bottom w:w="100" w:type="dxa"/>
              <w:right w:w="100" w:type="dxa"/>
            </w:tcMar>
          </w:tcPr>
          <w:p w14:paraId="7F7DD0C3" w14:textId="77777777" w:rsidR="0041179E" w:rsidRPr="0041179E" w:rsidRDefault="0041179E" w:rsidP="00D23C5A">
            <w:pPr>
              <w:jc w:val="both"/>
            </w:pPr>
            <w:r w:rsidRPr="0041179E">
              <w:t>Not permitted.</w:t>
            </w:r>
          </w:p>
        </w:tc>
      </w:tr>
      <w:tr w:rsidR="0041179E" w14:paraId="228D6802" w14:textId="77777777" w:rsidTr="00D23C5A">
        <w:tc>
          <w:tcPr>
            <w:tcW w:w="3114" w:type="dxa"/>
            <w:shd w:val="clear" w:color="auto" w:fill="D9D9D9" w:themeFill="background1" w:themeFillShade="D9"/>
            <w:tcMar>
              <w:top w:w="100" w:type="dxa"/>
              <w:left w:w="100" w:type="dxa"/>
              <w:bottom w:w="100" w:type="dxa"/>
              <w:right w:w="100" w:type="dxa"/>
            </w:tcMar>
          </w:tcPr>
          <w:p w14:paraId="689E2F0D" w14:textId="77A57765" w:rsidR="0041179E" w:rsidRDefault="0041179E" w:rsidP="0051123E">
            <w:pPr>
              <w:rPr>
                <w:b/>
              </w:rPr>
            </w:pPr>
            <w:r>
              <w:rPr>
                <w:b/>
              </w:rPr>
              <w:t>Subcontracting</w:t>
            </w:r>
            <w:r w:rsidR="00F11C65">
              <w:rPr>
                <w:b/>
              </w:rPr>
              <w:t>:</w:t>
            </w:r>
          </w:p>
        </w:tc>
        <w:tc>
          <w:tcPr>
            <w:tcW w:w="6216" w:type="dxa"/>
            <w:shd w:val="clear" w:color="auto" w:fill="auto"/>
            <w:tcMar>
              <w:top w:w="100" w:type="dxa"/>
              <w:left w:w="100" w:type="dxa"/>
              <w:bottom w:w="100" w:type="dxa"/>
              <w:right w:w="100" w:type="dxa"/>
            </w:tcMar>
          </w:tcPr>
          <w:p w14:paraId="177FF2AC" w14:textId="5B7F20EF" w:rsidR="0041179E" w:rsidRPr="0041179E" w:rsidRDefault="00EB56C2" w:rsidP="00D23C5A">
            <w:pPr>
              <w:jc w:val="both"/>
            </w:pPr>
            <w:r>
              <w:t xml:space="preserve">By request only </w:t>
            </w:r>
          </w:p>
        </w:tc>
      </w:tr>
      <w:tr w:rsidR="0041179E" w14:paraId="5C76046F" w14:textId="77777777" w:rsidTr="00D23C5A">
        <w:tc>
          <w:tcPr>
            <w:tcW w:w="3114" w:type="dxa"/>
            <w:shd w:val="clear" w:color="auto" w:fill="D9D9D9" w:themeFill="background1" w:themeFillShade="D9"/>
            <w:tcMar>
              <w:top w:w="100" w:type="dxa"/>
              <w:left w:w="100" w:type="dxa"/>
              <w:bottom w:w="100" w:type="dxa"/>
              <w:right w:w="100" w:type="dxa"/>
            </w:tcMar>
          </w:tcPr>
          <w:p w14:paraId="25DBDF0F" w14:textId="02C70A83" w:rsidR="0041179E" w:rsidRDefault="0041179E" w:rsidP="0051123E">
            <w:pPr>
              <w:jc w:val="both"/>
              <w:rPr>
                <w:b/>
              </w:rPr>
            </w:pPr>
            <w:r>
              <w:rPr>
                <w:b/>
              </w:rPr>
              <w:t>Tender Submission Methods</w:t>
            </w:r>
            <w:r w:rsidR="00F11C65">
              <w:rPr>
                <w:b/>
              </w:rPr>
              <w:t>:</w:t>
            </w:r>
          </w:p>
        </w:tc>
        <w:tc>
          <w:tcPr>
            <w:tcW w:w="6216" w:type="dxa"/>
            <w:shd w:val="clear" w:color="auto" w:fill="auto"/>
            <w:tcMar>
              <w:top w:w="100" w:type="dxa"/>
              <w:left w:w="100" w:type="dxa"/>
              <w:bottom w:w="100" w:type="dxa"/>
              <w:right w:w="100" w:type="dxa"/>
            </w:tcMar>
          </w:tcPr>
          <w:p w14:paraId="7F08FD1D" w14:textId="77777777" w:rsidR="0041179E" w:rsidRPr="0041179E" w:rsidRDefault="0041179E" w:rsidP="00D23C5A">
            <w:pPr>
              <w:jc w:val="both"/>
            </w:pPr>
            <w:r w:rsidRPr="0041179E">
              <w:t>Applicants are required to submit their proposals electronically via the Sell2Wales Portal.</w:t>
            </w:r>
          </w:p>
          <w:p w14:paraId="16E34A5B" w14:textId="77777777" w:rsidR="0041179E" w:rsidRPr="005B3909" w:rsidRDefault="0041179E" w:rsidP="00D23C5A">
            <w:pPr>
              <w:jc w:val="both"/>
              <w:rPr>
                <w:highlight w:val="yellow"/>
              </w:rPr>
            </w:pPr>
          </w:p>
          <w:p w14:paraId="28A8529C" w14:textId="77777777" w:rsidR="0041179E" w:rsidRPr="005B3909" w:rsidRDefault="0041179E" w:rsidP="00D23C5A">
            <w:pPr>
              <w:jc w:val="both"/>
              <w:rPr>
                <w:highlight w:val="yellow"/>
              </w:rPr>
            </w:pPr>
            <w:r w:rsidRPr="0051123E">
              <w:t>Tenders submitted in any other way (e.g., email or by letter) will be disregarded.</w:t>
            </w:r>
          </w:p>
        </w:tc>
      </w:tr>
      <w:tr w:rsidR="0041179E" w14:paraId="30AE59F5" w14:textId="77777777" w:rsidTr="00D23C5A">
        <w:tc>
          <w:tcPr>
            <w:tcW w:w="3114" w:type="dxa"/>
            <w:shd w:val="clear" w:color="auto" w:fill="D9D9D9" w:themeFill="background1" w:themeFillShade="D9"/>
            <w:tcMar>
              <w:top w:w="100" w:type="dxa"/>
              <w:left w:w="100" w:type="dxa"/>
              <w:bottom w:w="100" w:type="dxa"/>
              <w:right w:w="100" w:type="dxa"/>
            </w:tcMar>
          </w:tcPr>
          <w:p w14:paraId="36950764" w14:textId="21049F55" w:rsidR="0041179E" w:rsidRDefault="0041179E" w:rsidP="0051123E">
            <w:pPr>
              <w:jc w:val="both"/>
              <w:rPr>
                <w:b/>
              </w:rPr>
            </w:pPr>
            <w:r>
              <w:rPr>
                <w:b/>
              </w:rPr>
              <w:t>Post Award Call Off</w:t>
            </w:r>
            <w:r w:rsidR="00F11C65">
              <w:rPr>
                <w:b/>
              </w:rPr>
              <w:t>:</w:t>
            </w:r>
          </w:p>
        </w:tc>
        <w:tc>
          <w:tcPr>
            <w:tcW w:w="6216" w:type="dxa"/>
            <w:shd w:val="clear" w:color="auto" w:fill="auto"/>
            <w:tcMar>
              <w:top w:w="100" w:type="dxa"/>
              <w:left w:w="100" w:type="dxa"/>
              <w:bottom w:w="100" w:type="dxa"/>
              <w:right w:w="100" w:type="dxa"/>
            </w:tcMar>
          </w:tcPr>
          <w:p w14:paraId="0E4964D8" w14:textId="48B1CAA7" w:rsidR="0041179E" w:rsidRPr="005B3909" w:rsidRDefault="0041179E" w:rsidP="0051123E">
            <w:pPr>
              <w:rPr>
                <w:highlight w:val="yellow"/>
              </w:rPr>
            </w:pPr>
            <w:r w:rsidRPr="00EB56C2">
              <w:t xml:space="preserve">See Section </w:t>
            </w:r>
            <w:r w:rsidR="006F38CC">
              <w:t>11</w:t>
            </w:r>
            <w:r w:rsidRPr="00EB56C2">
              <w:t xml:space="preserve"> of this document for more guidance.</w:t>
            </w:r>
          </w:p>
        </w:tc>
      </w:tr>
    </w:tbl>
    <w:p w14:paraId="2BBDDB48" w14:textId="77777777" w:rsidR="0041179E" w:rsidRDefault="0041179E" w:rsidP="0041179E">
      <w:pPr>
        <w:spacing w:after="33"/>
        <w:ind w:right="7"/>
        <w:jc w:val="both"/>
      </w:pPr>
    </w:p>
    <w:p w14:paraId="7668AF21" w14:textId="70B6384A" w:rsidR="00987324" w:rsidRPr="003C5C20" w:rsidRDefault="00F22D5C" w:rsidP="00573301">
      <w:pPr>
        <w:pStyle w:val="Heading1"/>
        <w:rPr>
          <w:lang w:val="en-GB"/>
        </w:rPr>
      </w:pPr>
      <w:bookmarkStart w:id="8" w:name="_Toc205559933"/>
      <w:r>
        <w:rPr>
          <w:lang w:val="en-GB"/>
        </w:rPr>
        <w:t xml:space="preserve">Framework </w:t>
      </w:r>
      <w:r w:rsidRPr="00F22D5C">
        <w:t>Information</w:t>
      </w:r>
      <w:bookmarkEnd w:id="8"/>
    </w:p>
    <w:p w14:paraId="7325D5C0" w14:textId="77777777" w:rsidR="003C5C20" w:rsidRPr="00987324" w:rsidRDefault="003C5C20" w:rsidP="00D23C5A">
      <w:pPr>
        <w:jc w:val="both"/>
        <w:rPr>
          <w:lang w:val="en-GB"/>
        </w:rPr>
      </w:pPr>
    </w:p>
    <w:p w14:paraId="4CEC6950" w14:textId="3282EA25" w:rsidR="00D9796B" w:rsidRPr="003C5C20" w:rsidRDefault="00D9796B" w:rsidP="00D23C5A">
      <w:pPr>
        <w:jc w:val="both"/>
      </w:pPr>
      <w:r w:rsidRPr="003C5C20">
        <w:t>The University of Wales Trinity Saint David (UWTSD</w:t>
      </w:r>
      <w:r w:rsidR="00C36CB5" w:rsidRPr="003C5C20">
        <w:t>) Group and Pembrokeshire College</w:t>
      </w:r>
      <w:r w:rsidRPr="003C5C20">
        <w:t xml:space="preserve"> wish to </w:t>
      </w:r>
      <w:r w:rsidR="00F44CAA" w:rsidRPr="003C5C20">
        <w:t>establish</w:t>
      </w:r>
      <w:r w:rsidRPr="003C5C20">
        <w:t xml:space="preserve"> a</w:t>
      </w:r>
      <w:r w:rsidR="0051123E" w:rsidRPr="003C5C20">
        <w:t xml:space="preserve">n </w:t>
      </w:r>
      <w:r w:rsidR="006F402A" w:rsidRPr="003C5C20">
        <w:t>Open Framework</w:t>
      </w:r>
      <w:r w:rsidRPr="003C5C20">
        <w:t xml:space="preserve"> Agreement for the Provision of Professional Estates Consultancy Services. The Framework Agreement is </w:t>
      </w:r>
      <w:r w:rsidR="009C469F" w:rsidRPr="003C5C20">
        <w:t>divided</w:t>
      </w:r>
      <w:r w:rsidRPr="003C5C20">
        <w:t xml:space="preserve"> into two (2) Lots:</w:t>
      </w:r>
    </w:p>
    <w:p w14:paraId="5670C9AD" w14:textId="3FF5E769" w:rsidR="00735060" w:rsidRPr="003C5C20" w:rsidRDefault="00735060" w:rsidP="00D23C5A">
      <w:pPr>
        <w:jc w:val="both"/>
      </w:pPr>
    </w:p>
    <w:p w14:paraId="1F6AAFEB" w14:textId="77777777" w:rsidR="00735060" w:rsidRPr="003C5C20" w:rsidRDefault="00735060" w:rsidP="00D23C5A">
      <w:pPr>
        <w:jc w:val="both"/>
        <w:rPr>
          <w:lang w:val="en-GB"/>
        </w:rPr>
      </w:pPr>
      <w:r w:rsidRPr="003C5C20">
        <w:rPr>
          <w:lang w:val="en-GB"/>
        </w:rPr>
        <w:t>Lot 1 - General Project Management and Estates Consultancy Services</w:t>
      </w:r>
    </w:p>
    <w:p w14:paraId="5AEB7A53" w14:textId="77777777" w:rsidR="00735060" w:rsidRPr="003C5C20" w:rsidRDefault="00735060" w:rsidP="00D23C5A">
      <w:pPr>
        <w:jc w:val="both"/>
        <w:rPr>
          <w:lang w:val="en-GB"/>
        </w:rPr>
      </w:pPr>
      <w:r w:rsidRPr="003C5C20">
        <w:rPr>
          <w:lang w:val="en-GB"/>
        </w:rPr>
        <w:t>Lot 2 – Property Consultancy Services</w:t>
      </w:r>
    </w:p>
    <w:p w14:paraId="57BB80C2" w14:textId="4F47759B" w:rsidR="00735060" w:rsidRPr="003C5C20" w:rsidRDefault="00735060" w:rsidP="00D23C5A">
      <w:pPr>
        <w:jc w:val="both"/>
      </w:pPr>
    </w:p>
    <w:p w14:paraId="776192A9" w14:textId="635D4F74" w:rsidR="00735060" w:rsidRPr="003C5C20" w:rsidRDefault="00735060" w:rsidP="00D23C5A">
      <w:pPr>
        <w:jc w:val="both"/>
        <w:rPr>
          <w:lang w:val="en-GB"/>
        </w:rPr>
      </w:pPr>
      <w:r w:rsidRPr="003C5C20">
        <w:rPr>
          <w:lang w:val="en-GB"/>
        </w:rPr>
        <w:t xml:space="preserve">The </w:t>
      </w:r>
      <w:r w:rsidR="009C469F" w:rsidRPr="003C5C20">
        <w:rPr>
          <w:lang w:val="en-GB"/>
        </w:rPr>
        <w:t>G</w:t>
      </w:r>
      <w:r w:rsidR="006F402A" w:rsidRPr="003C5C20">
        <w:rPr>
          <w:lang w:val="en-GB"/>
        </w:rPr>
        <w:t>roup intends</w:t>
      </w:r>
      <w:r w:rsidRPr="003C5C20">
        <w:rPr>
          <w:lang w:val="en-GB"/>
        </w:rPr>
        <w:t xml:space="preserve"> to appoint a maximum </w:t>
      </w:r>
      <w:r w:rsidR="006F402A" w:rsidRPr="003C5C20">
        <w:rPr>
          <w:lang w:val="en-GB"/>
        </w:rPr>
        <w:t xml:space="preserve">of </w:t>
      </w:r>
      <w:r w:rsidR="006F402A" w:rsidRPr="003C5C20">
        <w:rPr>
          <w:b/>
          <w:bCs/>
          <w:lang w:val="en-GB"/>
        </w:rPr>
        <w:t>Eight (</w:t>
      </w:r>
      <w:r w:rsidR="0051123E" w:rsidRPr="003C5C20">
        <w:rPr>
          <w:b/>
          <w:bCs/>
          <w:lang w:val="en-GB"/>
        </w:rPr>
        <w:t>8</w:t>
      </w:r>
      <w:r w:rsidRPr="003C5C20">
        <w:rPr>
          <w:b/>
          <w:bCs/>
          <w:lang w:val="en-GB"/>
        </w:rPr>
        <w:t>)</w:t>
      </w:r>
      <w:r w:rsidR="00C36CB5" w:rsidRPr="003C5C20">
        <w:rPr>
          <w:lang w:val="en-GB"/>
        </w:rPr>
        <w:t xml:space="preserve"> Consultants </w:t>
      </w:r>
      <w:r w:rsidR="009C469F" w:rsidRPr="003C5C20">
        <w:rPr>
          <w:lang w:val="en-GB"/>
        </w:rPr>
        <w:t>per</w:t>
      </w:r>
      <w:r w:rsidRPr="003C5C20">
        <w:rPr>
          <w:lang w:val="en-GB"/>
        </w:rPr>
        <w:t xml:space="preserve"> Lot. </w:t>
      </w:r>
    </w:p>
    <w:p w14:paraId="1157EB9C" w14:textId="77777777" w:rsidR="00735060" w:rsidRPr="003C5C20" w:rsidRDefault="00735060" w:rsidP="00D23C5A">
      <w:pPr>
        <w:jc w:val="both"/>
        <w:rPr>
          <w:lang w:val="en-GB"/>
        </w:rPr>
      </w:pPr>
    </w:p>
    <w:p w14:paraId="42182CAF" w14:textId="0DBDEFF5" w:rsidR="00C36CB5" w:rsidRPr="003C5C20" w:rsidRDefault="00735060" w:rsidP="00D23C5A">
      <w:pPr>
        <w:jc w:val="both"/>
      </w:pPr>
      <w:r w:rsidRPr="003C5C20">
        <w:t xml:space="preserve">Tenderers may submit responses for one or </w:t>
      </w:r>
      <w:r w:rsidR="009C469F" w:rsidRPr="003C5C20">
        <w:t>both</w:t>
      </w:r>
      <w:r w:rsidRPr="003C5C20">
        <w:t xml:space="preserve"> Lots, provided they have the capacity and capability to meet the requirements of each Lot. Tenderers must clearly indicate which Lot(s) they are bidding for.</w:t>
      </w:r>
      <w:r w:rsidRPr="003C5C20">
        <w:br/>
      </w:r>
    </w:p>
    <w:p w14:paraId="19DDCDE9" w14:textId="4B09884A" w:rsidR="00735060" w:rsidRPr="003C5C20" w:rsidRDefault="00735060" w:rsidP="00D23C5A">
      <w:pPr>
        <w:jc w:val="both"/>
        <w:rPr>
          <w:lang w:val="en-GB"/>
        </w:rPr>
      </w:pPr>
      <w:r w:rsidRPr="003C5C20">
        <w:t xml:space="preserve">Each Lot will be evaluated </w:t>
      </w:r>
      <w:r w:rsidR="00C36CB5" w:rsidRPr="003C5C20">
        <w:t>independently, on a</w:t>
      </w:r>
      <w:r w:rsidR="001841DA">
        <w:t>n</w:t>
      </w:r>
      <w:r w:rsidR="00C36CB5" w:rsidRPr="003C5C20">
        <w:t xml:space="preserve"> individual Lot Basis.</w:t>
      </w:r>
    </w:p>
    <w:p w14:paraId="1F1DC53C" w14:textId="77777777" w:rsidR="00987324" w:rsidRPr="003C5C20" w:rsidRDefault="00987324" w:rsidP="00D23C5A">
      <w:pPr>
        <w:jc w:val="both"/>
        <w:rPr>
          <w:lang w:val="en-GB"/>
        </w:rPr>
      </w:pPr>
    </w:p>
    <w:p w14:paraId="42F839BA" w14:textId="77777777" w:rsidR="00F44CAA" w:rsidRPr="003C5C20" w:rsidRDefault="00F44CAA" w:rsidP="00D23C5A">
      <w:pPr>
        <w:jc w:val="both"/>
      </w:pPr>
      <w:r w:rsidRPr="003C5C20">
        <w:t>This procurement is being conducted via the Sell2Wales portal. All relevant documents, including the Invitation to Tender (ITT) and associated materials, are available exclusively in electronic format through the Sell2Wales website.</w:t>
      </w:r>
    </w:p>
    <w:p w14:paraId="10B5AA95" w14:textId="77777777" w:rsidR="00987324" w:rsidRPr="003C5C20" w:rsidRDefault="00987324" w:rsidP="00D23C5A">
      <w:pPr>
        <w:jc w:val="both"/>
        <w:rPr>
          <w:lang w:val="en-GB"/>
        </w:rPr>
      </w:pPr>
    </w:p>
    <w:p w14:paraId="245DE209" w14:textId="3CB46FA6" w:rsidR="00987324" w:rsidRPr="003C5C20" w:rsidRDefault="00987324" w:rsidP="00D23C5A">
      <w:pPr>
        <w:jc w:val="both"/>
        <w:rPr>
          <w:b/>
          <w:bCs/>
          <w:lang w:val="en-GB"/>
        </w:rPr>
      </w:pPr>
      <w:r w:rsidRPr="003C5C20">
        <w:rPr>
          <w:lang w:val="en-GB"/>
        </w:rPr>
        <w:t>Th</w:t>
      </w:r>
      <w:r w:rsidR="003C5C20" w:rsidRPr="003C5C20">
        <w:rPr>
          <w:lang w:val="en-GB"/>
        </w:rPr>
        <w:t>e</w:t>
      </w:r>
      <w:r w:rsidRPr="003C5C20">
        <w:rPr>
          <w:lang w:val="en-GB"/>
        </w:rPr>
        <w:t xml:space="preserve"> procurement process will follow the Open</w:t>
      </w:r>
      <w:r w:rsidR="0051123E" w:rsidRPr="003C5C20">
        <w:rPr>
          <w:lang w:val="en-GB"/>
        </w:rPr>
        <w:t xml:space="preserve"> Framework </w:t>
      </w:r>
      <w:r w:rsidR="00EB56C2" w:rsidRPr="003C5C20">
        <w:rPr>
          <w:lang w:val="en-GB"/>
        </w:rPr>
        <w:t>Procedure</w:t>
      </w:r>
      <w:r w:rsidRPr="003C5C20">
        <w:rPr>
          <w:lang w:val="en-GB"/>
        </w:rPr>
        <w:t xml:space="preserve">, as </w:t>
      </w:r>
      <w:r w:rsidR="003C5C20" w:rsidRPr="003C5C20">
        <w:rPr>
          <w:lang w:val="en-GB"/>
        </w:rPr>
        <w:t>outlined in</w:t>
      </w:r>
      <w:r w:rsidR="00EB56C2" w:rsidRPr="003C5C20">
        <w:rPr>
          <w:lang w:val="en-GB"/>
        </w:rPr>
        <w:t xml:space="preserve"> the Procurement Act 2023</w:t>
      </w:r>
      <w:r w:rsidR="00F44CAA" w:rsidRPr="003C5C20">
        <w:rPr>
          <w:lang w:val="en-GB"/>
        </w:rPr>
        <w:t>.</w:t>
      </w:r>
    </w:p>
    <w:p w14:paraId="40B526D2" w14:textId="77777777" w:rsidR="00987324" w:rsidRPr="003C5C20" w:rsidRDefault="00987324" w:rsidP="00D23C5A">
      <w:pPr>
        <w:jc w:val="both"/>
        <w:rPr>
          <w:lang w:val="en-GB"/>
        </w:rPr>
      </w:pPr>
    </w:p>
    <w:p w14:paraId="04474587" w14:textId="157B90CB" w:rsidR="009C469F" w:rsidRPr="003C5C20" w:rsidRDefault="009C469F" w:rsidP="00D23C5A">
      <w:pPr>
        <w:jc w:val="both"/>
        <w:rPr>
          <w:lang w:val="en-GB"/>
        </w:rPr>
      </w:pPr>
      <w:r w:rsidRPr="003C5C20">
        <w:rPr>
          <w:lang w:val="en-GB"/>
        </w:rPr>
        <w:t xml:space="preserve">The ITT and its associated materials </w:t>
      </w:r>
      <w:r w:rsidR="003C5C20" w:rsidRPr="003C5C20">
        <w:rPr>
          <w:lang w:val="en-GB"/>
        </w:rPr>
        <w:t>have</w:t>
      </w:r>
      <w:r w:rsidRPr="003C5C20">
        <w:rPr>
          <w:lang w:val="en-GB"/>
        </w:rPr>
        <w:t xml:space="preserve"> been structured to ensure fair and equal treatment of all tenderers. Bidders must adhere to the specified format and order when completing their responses to enable consistent evaluation.</w:t>
      </w:r>
    </w:p>
    <w:p w14:paraId="53146863" w14:textId="77777777" w:rsidR="009C469F" w:rsidRPr="003C5C20" w:rsidRDefault="009C469F" w:rsidP="00D23C5A">
      <w:pPr>
        <w:jc w:val="both"/>
        <w:rPr>
          <w:lang w:val="en-GB"/>
        </w:rPr>
      </w:pPr>
    </w:p>
    <w:p w14:paraId="2A202C01" w14:textId="2D037359" w:rsidR="00987324" w:rsidRDefault="00987324" w:rsidP="00D23C5A">
      <w:pPr>
        <w:jc w:val="both"/>
        <w:rPr>
          <w:lang w:val="en-GB"/>
        </w:rPr>
      </w:pPr>
      <w:r w:rsidRPr="003C5C20">
        <w:rPr>
          <w:lang w:val="en-GB"/>
        </w:rPr>
        <w:t xml:space="preserve">Bidders </w:t>
      </w:r>
      <w:r w:rsidR="009C469F" w:rsidRPr="003C5C20">
        <w:rPr>
          <w:lang w:val="en-GB"/>
        </w:rPr>
        <w:t>are advised to</w:t>
      </w:r>
      <w:r w:rsidRPr="003C5C20">
        <w:rPr>
          <w:lang w:val="en-GB"/>
        </w:rPr>
        <w:t xml:space="preserve"> read the entire ITT carefully </w:t>
      </w:r>
      <w:r w:rsidR="009C469F" w:rsidRPr="003C5C20">
        <w:rPr>
          <w:lang w:val="en-GB"/>
        </w:rPr>
        <w:t xml:space="preserve">prior to </w:t>
      </w:r>
      <w:r w:rsidR="003C5C20" w:rsidRPr="003C5C20">
        <w:rPr>
          <w:lang w:val="en-GB"/>
        </w:rPr>
        <w:t>submission.</w:t>
      </w:r>
      <w:r w:rsidRPr="003C5C20">
        <w:rPr>
          <w:lang w:val="en-GB"/>
        </w:rPr>
        <w:t xml:space="preserve"> Failure to follow the instructions for completion or submission may result in disqualification from the process.</w:t>
      </w:r>
    </w:p>
    <w:p w14:paraId="774B6DAD" w14:textId="77777777" w:rsidR="00D23C5A" w:rsidRPr="003C5C20" w:rsidRDefault="00D23C5A" w:rsidP="00D23C5A">
      <w:pPr>
        <w:jc w:val="both"/>
        <w:rPr>
          <w:b/>
          <w:bCs/>
          <w:lang w:val="en-GB"/>
        </w:rPr>
      </w:pPr>
    </w:p>
    <w:p w14:paraId="3CDC4BE7" w14:textId="6A58A30C" w:rsidR="00987324" w:rsidRDefault="00987324" w:rsidP="003C5C20">
      <w:pPr>
        <w:widowControl/>
        <w:autoSpaceDE/>
        <w:autoSpaceDN/>
        <w:spacing w:line="259" w:lineRule="auto"/>
        <w:jc w:val="both"/>
        <w:rPr>
          <w:b/>
          <w:szCs w:val="20"/>
          <w:lang w:val="en-GB"/>
        </w:rPr>
      </w:pPr>
    </w:p>
    <w:p w14:paraId="3E4C4F09" w14:textId="77777777" w:rsidR="00987324" w:rsidRPr="000617FC" w:rsidRDefault="00987324" w:rsidP="00573301">
      <w:pPr>
        <w:pStyle w:val="Heading1"/>
      </w:pPr>
      <w:bookmarkStart w:id="9" w:name="_Toc205559934"/>
      <w:r w:rsidRPr="000617FC">
        <w:lastRenderedPageBreak/>
        <w:t xml:space="preserve">Duration </w:t>
      </w:r>
      <w:r w:rsidRPr="00F22D5C">
        <w:t>of</w:t>
      </w:r>
      <w:r w:rsidRPr="000617FC">
        <w:t xml:space="preserve"> </w:t>
      </w:r>
      <w:r w:rsidRPr="00F22D5C">
        <w:t>Framework</w:t>
      </w:r>
      <w:r w:rsidRPr="000617FC">
        <w:t xml:space="preserve"> Agreement</w:t>
      </w:r>
      <w:bookmarkEnd w:id="9"/>
    </w:p>
    <w:p w14:paraId="0B60E11A" w14:textId="77777777" w:rsidR="003C5C20" w:rsidRDefault="003C5C20" w:rsidP="00D23C5A">
      <w:pPr>
        <w:jc w:val="both"/>
        <w:rPr>
          <w:rFonts w:asciiTheme="minorHAnsi" w:hAnsiTheme="minorHAnsi" w:cstheme="minorHAnsi"/>
          <w:szCs w:val="20"/>
        </w:rPr>
      </w:pPr>
    </w:p>
    <w:p w14:paraId="3B987FAF" w14:textId="1164EA27" w:rsidR="00EB56C2" w:rsidRPr="0001260C" w:rsidRDefault="0010409D" w:rsidP="00D23C5A">
      <w:pPr>
        <w:jc w:val="both"/>
      </w:pPr>
      <w:r w:rsidRPr="0001260C">
        <w:t xml:space="preserve">The Framework Agreement will commence </w:t>
      </w:r>
      <w:r w:rsidR="0001260C" w:rsidRPr="0001260C">
        <w:t xml:space="preserve">in </w:t>
      </w:r>
      <w:r w:rsidR="0001260C" w:rsidRPr="0001260C">
        <w:rPr>
          <w:b/>
        </w:rPr>
        <w:t>October</w:t>
      </w:r>
      <w:r w:rsidRPr="0001260C">
        <w:rPr>
          <w:b/>
        </w:rPr>
        <w:t xml:space="preserve"> 2025</w:t>
      </w:r>
      <w:r w:rsidRPr="0001260C">
        <w:t xml:space="preserve"> for a period of four (4) years, with the option to extend for a further four (4) years, giving a maximum duration of eight (8) years. In line with the principles of openness and competition, there will be an opportunity for new suppliers to join the Framework during year 3 and again in year 6.</w:t>
      </w:r>
    </w:p>
    <w:p w14:paraId="4982628B" w14:textId="77777777" w:rsidR="00987324" w:rsidRPr="0001260C" w:rsidRDefault="00987324" w:rsidP="00D23C5A">
      <w:pPr>
        <w:pStyle w:val="TableParagraph"/>
        <w:jc w:val="both"/>
        <w:rPr>
          <w:rFonts w:asciiTheme="minorHAnsi" w:hAnsiTheme="minorHAnsi" w:cstheme="minorHAnsi"/>
          <w:szCs w:val="20"/>
        </w:rPr>
      </w:pPr>
    </w:p>
    <w:p w14:paraId="12BFEF21" w14:textId="1BED23C3" w:rsidR="00F22D5C" w:rsidRPr="0041179E" w:rsidRDefault="00F22D5C" w:rsidP="00573301">
      <w:pPr>
        <w:pStyle w:val="Heading1"/>
      </w:pPr>
      <w:bookmarkStart w:id="10" w:name="_Toc205559935"/>
      <w:bookmarkStart w:id="11" w:name="_Toc162209903"/>
      <w:bookmarkStart w:id="12" w:name="_Toc190859093"/>
      <w:r w:rsidRPr="0041179E">
        <w:t>Access to the agreement</w:t>
      </w:r>
      <w:bookmarkEnd w:id="10"/>
      <w:r w:rsidRPr="0041179E">
        <w:t xml:space="preserve"> </w:t>
      </w:r>
      <w:bookmarkEnd w:id="11"/>
      <w:bookmarkEnd w:id="12"/>
    </w:p>
    <w:p w14:paraId="04AB598E" w14:textId="77777777" w:rsidR="003C5C20" w:rsidRDefault="003C5C20" w:rsidP="00D23C5A">
      <w:pPr>
        <w:widowControl/>
        <w:autoSpaceDE/>
        <w:autoSpaceDN/>
        <w:jc w:val="both"/>
        <w:rPr>
          <w:rFonts w:asciiTheme="minorHAnsi" w:eastAsia="Times New Roman" w:hAnsiTheme="minorHAnsi" w:cstheme="minorHAnsi"/>
          <w:szCs w:val="20"/>
          <w:lang w:val="en-GB" w:eastAsia="en-GB"/>
        </w:rPr>
      </w:pPr>
    </w:p>
    <w:p w14:paraId="66C397B3" w14:textId="1BCC38CA" w:rsidR="00735060" w:rsidRDefault="00735060" w:rsidP="00D23C5A">
      <w:pPr>
        <w:jc w:val="both"/>
        <w:rPr>
          <w:lang w:val="en-GB" w:eastAsia="en-GB"/>
        </w:rPr>
      </w:pPr>
      <w:r w:rsidRPr="00735060">
        <w:rPr>
          <w:lang w:val="en-GB" w:eastAsia="en-GB"/>
        </w:rPr>
        <w:t xml:space="preserve">The following institutions will have access to this Framework Agreement. However, it should be noted that use of the Framework is optional, and there is </w:t>
      </w:r>
      <w:r w:rsidRPr="00735060">
        <w:rPr>
          <w:b/>
          <w:bCs/>
          <w:lang w:val="en-GB" w:eastAsia="en-GB"/>
        </w:rPr>
        <w:t>no guarantee of work</w:t>
      </w:r>
      <w:r w:rsidRPr="00735060">
        <w:rPr>
          <w:lang w:val="en-GB" w:eastAsia="en-GB"/>
        </w:rPr>
        <w:t xml:space="preserve"> arising from inclusion on the Framework. Each institution reserves the right to procure services outside of this Agreement if they choose to do so.</w:t>
      </w:r>
    </w:p>
    <w:p w14:paraId="74DFFCB9" w14:textId="77777777" w:rsidR="00D23C5A" w:rsidRPr="00735060" w:rsidRDefault="00D23C5A" w:rsidP="00D23C5A">
      <w:pPr>
        <w:jc w:val="both"/>
        <w:rPr>
          <w:lang w:val="en-GB" w:eastAsia="en-GB"/>
        </w:rPr>
      </w:pPr>
    </w:p>
    <w:p w14:paraId="47FC5078" w14:textId="77777777" w:rsidR="003C5C20" w:rsidRPr="00D23C5A" w:rsidRDefault="00735060" w:rsidP="00A8360C">
      <w:pPr>
        <w:pStyle w:val="BodyText"/>
        <w:numPr>
          <w:ilvl w:val="0"/>
          <w:numId w:val="4"/>
        </w:numPr>
        <w:spacing w:line="256" w:lineRule="auto"/>
        <w:ind w:right="116" w:hanging="589"/>
        <w:jc w:val="both"/>
        <w:rPr>
          <w:rFonts w:asciiTheme="minorHAnsi" w:hAnsiTheme="minorHAnsi" w:cstheme="minorHAnsi"/>
          <w:szCs w:val="20"/>
          <w:lang w:val="en-GB"/>
        </w:rPr>
      </w:pPr>
      <w:r w:rsidRPr="00D23C5A">
        <w:rPr>
          <w:rFonts w:asciiTheme="minorHAnsi" w:hAnsiTheme="minorHAnsi" w:cstheme="minorHAnsi"/>
          <w:szCs w:val="20"/>
          <w:lang w:val="en-GB"/>
        </w:rPr>
        <w:t>University of Wales Trinity Saint David</w:t>
      </w:r>
    </w:p>
    <w:p w14:paraId="00F1E58D" w14:textId="33867326" w:rsidR="003C5C20" w:rsidRPr="00D23C5A" w:rsidRDefault="00735060" w:rsidP="00A8360C">
      <w:pPr>
        <w:pStyle w:val="BodyText"/>
        <w:numPr>
          <w:ilvl w:val="0"/>
          <w:numId w:val="4"/>
        </w:numPr>
        <w:spacing w:line="256" w:lineRule="auto"/>
        <w:ind w:right="116" w:hanging="589"/>
        <w:jc w:val="both"/>
        <w:rPr>
          <w:rFonts w:asciiTheme="minorHAnsi" w:hAnsiTheme="minorHAnsi" w:cstheme="minorHAnsi"/>
          <w:szCs w:val="20"/>
          <w:lang w:val="en-GB"/>
        </w:rPr>
      </w:pPr>
      <w:r w:rsidRPr="00D23C5A">
        <w:rPr>
          <w:rFonts w:asciiTheme="minorHAnsi" w:hAnsiTheme="minorHAnsi" w:cstheme="minorHAnsi"/>
          <w:szCs w:val="20"/>
          <w:lang w:val="en-GB"/>
        </w:rPr>
        <w:t>University of Wales</w:t>
      </w:r>
    </w:p>
    <w:p w14:paraId="002EF57B" w14:textId="77777777" w:rsidR="003C5C20" w:rsidRPr="00D23C5A" w:rsidRDefault="00735060" w:rsidP="00A8360C">
      <w:pPr>
        <w:pStyle w:val="BodyText"/>
        <w:numPr>
          <w:ilvl w:val="0"/>
          <w:numId w:val="4"/>
        </w:numPr>
        <w:spacing w:line="256" w:lineRule="auto"/>
        <w:ind w:right="116" w:hanging="589"/>
        <w:jc w:val="both"/>
        <w:rPr>
          <w:rFonts w:asciiTheme="minorHAnsi" w:hAnsiTheme="minorHAnsi" w:cstheme="minorHAnsi"/>
          <w:szCs w:val="20"/>
          <w:lang w:val="en-GB"/>
        </w:rPr>
      </w:pPr>
      <w:r w:rsidRPr="00D23C5A">
        <w:rPr>
          <w:rFonts w:asciiTheme="minorHAnsi" w:hAnsiTheme="minorHAnsi" w:cstheme="minorHAnsi"/>
          <w:szCs w:val="20"/>
          <w:lang w:val="en-GB"/>
        </w:rPr>
        <w:t xml:space="preserve">Coleg Sir </w:t>
      </w:r>
      <w:proofErr w:type="spellStart"/>
      <w:r w:rsidRPr="00D23C5A">
        <w:rPr>
          <w:rFonts w:asciiTheme="minorHAnsi" w:hAnsiTheme="minorHAnsi" w:cstheme="minorHAnsi"/>
          <w:szCs w:val="20"/>
          <w:lang w:val="en-GB"/>
        </w:rPr>
        <w:t>Gâr</w:t>
      </w:r>
      <w:proofErr w:type="spellEnd"/>
    </w:p>
    <w:p w14:paraId="67A097F8" w14:textId="77777777" w:rsidR="003C5C20" w:rsidRPr="00D23C5A" w:rsidRDefault="00735060" w:rsidP="00A8360C">
      <w:pPr>
        <w:pStyle w:val="BodyText"/>
        <w:numPr>
          <w:ilvl w:val="0"/>
          <w:numId w:val="4"/>
        </w:numPr>
        <w:spacing w:line="256" w:lineRule="auto"/>
        <w:ind w:right="116" w:hanging="589"/>
        <w:jc w:val="both"/>
        <w:rPr>
          <w:rFonts w:asciiTheme="minorHAnsi" w:hAnsiTheme="minorHAnsi" w:cstheme="minorHAnsi"/>
          <w:szCs w:val="20"/>
          <w:lang w:val="en-GB"/>
        </w:rPr>
      </w:pPr>
      <w:r w:rsidRPr="00D23C5A">
        <w:rPr>
          <w:rFonts w:asciiTheme="minorHAnsi" w:hAnsiTheme="minorHAnsi" w:cstheme="minorHAnsi"/>
          <w:szCs w:val="20"/>
          <w:lang w:val="en-GB"/>
        </w:rPr>
        <w:t>Coleg Ceredigion</w:t>
      </w:r>
    </w:p>
    <w:p w14:paraId="789F96B3" w14:textId="304524C6" w:rsidR="00735060" w:rsidRPr="00D23C5A" w:rsidRDefault="00735060" w:rsidP="00A8360C">
      <w:pPr>
        <w:pStyle w:val="BodyText"/>
        <w:numPr>
          <w:ilvl w:val="0"/>
          <w:numId w:val="4"/>
        </w:numPr>
        <w:spacing w:line="256" w:lineRule="auto"/>
        <w:ind w:right="116" w:hanging="589"/>
        <w:jc w:val="both"/>
        <w:rPr>
          <w:rFonts w:asciiTheme="minorHAnsi" w:hAnsiTheme="minorHAnsi" w:cstheme="minorHAnsi"/>
          <w:szCs w:val="20"/>
          <w:lang w:val="en-GB"/>
        </w:rPr>
      </w:pPr>
      <w:r w:rsidRPr="00D23C5A">
        <w:rPr>
          <w:rFonts w:asciiTheme="minorHAnsi" w:hAnsiTheme="minorHAnsi" w:cstheme="minorHAnsi"/>
          <w:szCs w:val="20"/>
          <w:lang w:val="en-GB"/>
        </w:rPr>
        <w:t>Pembrokeshire College</w:t>
      </w:r>
    </w:p>
    <w:p w14:paraId="261EE34F" w14:textId="77777777" w:rsidR="00D23C5A" w:rsidRPr="0001260C" w:rsidRDefault="00D23C5A" w:rsidP="00D23C5A">
      <w:pPr>
        <w:pStyle w:val="BodyText"/>
        <w:spacing w:line="256" w:lineRule="auto"/>
        <w:ind w:left="1440" w:right="116"/>
        <w:jc w:val="both"/>
        <w:rPr>
          <w:rFonts w:asciiTheme="minorHAnsi" w:hAnsiTheme="minorHAnsi" w:cstheme="minorHAnsi"/>
          <w:sz w:val="22"/>
          <w:lang w:val="en-GB"/>
        </w:rPr>
      </w:pPr>
    </w:p>
    <w:p w14:paraId="1D6547B7" w14:textId="7548FD34" w:rsidR="00735060" w:rsidRDefault="00735060" w:rsidP="00D23C5A">
      <w:pPr>
        <w:jc w:val="both"/>
        <w:rPr>
          <w:lang w:val="en-GB" w:eastAsia="en-GB"/>
        </w:rPr>
      </w:pPr>
      <w:r w:rsidRPr="00735060">
        <w:rPr>
          <w:lang w:val="en-GB" w:eastAsia="en-GB"/>
        </w:rPr>
        <w:t xml:space="preserve">Each named </w:t>
      </w:r>
      <w:r w:rsidR="0041179E">
        <w:rPr>
          <w:lang w:val="en-GB" w:eastAsia="en-GB"/>
        </w:rPr>
        <w:t xml:space="preserve">Institution </w:t>
      </w:r>
      <w:r w:rsidR="0041179E" w:rsidRPr="00735060">
        <w:rPr>
          <w:lang w:val="en-GB" w:eastAsia="en-GB"/>
        </w:rPr>
        <w:t>may</w:t>
      </w:r>
      <w:r w:rsidRPr="00735060">
        <w:rPr>
          <w:lang w:val="en-GB" w:eastAsia="en-GB"/>
        </w:rPr>
        <w:t xml:space="preserve"> join the Framework Agreement at any point during its term</w:t>
      </w:r>
      <w:r w:rsidR="00CA442A">
        <w:rPr>
          <w:lang w:val="en-GB" w:eastAsia="en-GB"/>
        </w:rPr>
        <w:t>, which may occur as existing contractual arrangement</w:t>
      </w:r>
      <w:r w:rsidR="001841DA">
        <w:rPr>
          <w:lang w:val="en-GB" w:eastAsia="en-GB"/>
        </w:rPr>
        <w:t>s</w:t>
      </w:r>
      <w:r w:rsidR="00CA442A">
        <w:rPr>
          <w:lang w:val="en-GB" w:eastAsia="en-GB"/>
        </w:rPr>
        <w:t xml:space="preserve"> come to an end</w:t>
      </w:r>
      <w:r w:rsidR="003C5C20">
        <w:rPr>
          <w:lang w:val="en-GB" w:eastAsia="en-GB"/>
        </w:rPr>
        <w:t xml:space="preserve">. </w:t>
      </w:r>
      <w:r w:rsidRPr="00735060">
        <w:rPr>
          <w:lang w:val="en-GB" w:eastAsia="en-GB"/>
        </w:rPr>
        <w:t>As a result, participation in the Framework may be phased in over time.</w:t>
      </w:r>
    </w:p>
    <w:p w14:paraId="5E89B428" w14:textId="77777777" w:rsidR="00D23C5A" w:rsidRDefault="00D23C5A" w:rsidP="00D23C5A">
      <w:pPr>
        <w:jc w:val="both"/>
        <w:rPr>
          <w:lang w:val="en-GB" w:eastAsia="en-GB"/>
        </w:rPr>
      </w:pPr>
    </w:p>
    <w:p w14:paraId="0B7D4709" w14:textId="16C1743C" w:rsidR="00735060" w:rsidRDefault="00735060" w:rsidP="00D23C5A">
      <w:pPr>
        <w:jc w:val="both"/>
        <w:rPr>
          <w:lang w:val="en-GB"/>
        </w:rPr>
      </w:pPr>
      <w:r w:rsidRPr="00837956">
        <w:rPr>
          <w:lang w:val="en-GB"/>
        </w:rPr>
        <w:t>Please note that call-off</w:t>
      </w:r>
      <w:r w:rsidR="00CA442A">
        <w:rPr>
          <w:lang w:val="en-GB"/>
        </w:rPr>
        <w:t>s</w:t>
      </w:r>
      <w:r w:rsidRPr="00837956">
        <w:rPr>
          <w:lang w:val="en-GB"/>
        </w:rPr>
        <w:t xml:space="preserve"> can be made by a named </w:t>
      </w:r>
      <w:r w:rsidR="00A908A4">
        <w:rPr>
          <w:lang w:val="en-GB"/>
        </w:rPr>
        <w:t>Institution</w:t>
      </w:r>
      <w:r w:rsidRPr="00837956">
        <w:rPr>
          <w:lang w:val="en-GB"/>
        </w:rPr>
        <w:t xml:space="preserve"> at any time prior to the expiry of the Framework Agreement, and the </w:t>
      </w:r>
      <w:r w:rsidR="00CA442A">
        <w:rPr>
          <w:lang w:val="en-GB"/>
        </w:rPr>
        <w:t xml:space="preserve">duration of </w:t>
      </w:r>
      <w:r w:rsidR="003C5C20">
        <w:rPr>
          <w:lang w:val="en-GB"/>
        </w:rPr>
        <w:t xml:space="preserve">a </w:t>
      </w:r>
      <w:r w:rsidR="003C5C20" w:rsidRPr="00837956">
        <w:rPr>
          <w:lang w:val="en-GB"/>
        </w:rPr>
        <w:t>call</w:t>
      </w:r>
      <w:r w:rsidRPr="00837956">
        <w:rPr>
          <w:lang w:val="en-GB"/>
        </w:rPr>
        <w:t>-off contract can exceed</w:t>
      </w:r>
      <w:r w:rsidR="00CA442A">
        <w:rPr>
          <w:lang w:val="en-GB"/>
        </w:rPr>
        <w:t xml:space="preserve"> beyond</w:t>
      </w:r>
      <w:r w:rsidRPr="00837956">
        <w:rPr>
          <w:lang w:val="en-GB"/>
        </w:rPr>
        <w:t xml:space="preserve"> the end date of the Framework Agreement</w:t>
      </w:r>
      <w:r w:rsidR="00CA442A">
        <w:rPr>
          <w:lang w:val="en-GB"/>
        </w:rPr>
        <w:t xml:space="preserve"> itself</w:t>
      </w:r>
      <w:r w:rsidRPr="00837956">
        <w:rPr>
          <w:lang w:val="en-GB"/>
        </w:rPr>
        <w:t>.</w:t>
      </w:r>
    </w:p>
    <w:p w14:paraId="56260EB2" w14:textId="77777777" w:rsidR="00EB56C2" w:rsidRPr="00837956" w:rsidRDefault="00EB56C2" w:rsidP="00D23C5A">
      <w:pPr>
        <w:jc w:val="both"/>
        <w:rPr>
          <w:lang w:val="en-GB"/>
        </w:rPr>
      </w:pPr>
    </w:p>
    <w:p w14:paraId="1D7A7694" w14:textId="7E23CDED" w:rsidR="00924831" w:rsidRPr="000617FC" w:rsidRDefault="003E654E" w:rsidP="00573301">
      <w:pPr>
        <w:pStyle w:val="Heading1"/>
      </w:pPr>
      <w:bookmarkStart w:id="13" w:name="_Toc205559936"/>
      <w:bookmarkEnd w:id="0"/>
      <w:bookmarkEnd w:id="1"/>
      <w:bookmarkEnd w:id="2"/>
      <w:r w:rsidRPr="000617FC">
        <w:t>Background Information</w:t>
      </w:r>
      <w:bookmarkEnd w:id="13"/>
      <w:r w:rsidR="00924831" w:rsidRPr="000617FC">
        <w:t xml:space="preserve"> </w:t>
      </w:r>
    </w:p>
    <w:p w14:paraId="3E9FE5D9" w14:textId="77777777" w:rsidR="00924831" w:rsidRDefault="00924831" w:rsidP="00D23C5A">
      <w:pPr>
        <w:jc w:val="both"/>
      </w:pPr>
    </w:p>
    <w:p w14:paraId="2DD78144" w14:textId="0D6958A5" w:rsidR="003E654E" w:rsidRPr="000617FC" w:rsidRDefault="003E654E" w:rsidP="00D23C5A">
      <w:pPr>
        <w:pStyle w:val="Heading2"/>
        <w:jc w:val="both"/>
      </w:pPr>
      <w:bookmarkStart w:id="14" w:name="_Toc205559937"/>
      <w:r w:rsidRPr="000617FC">
        <w:t>University of Wales Trinity Saint David</w:t>
      </w:r>
      <w:bookmarkEnd w:id="14"/>
    </w:p>
    <w:p w14:paraId="76A878A5" w14:textId="77777777" w:rsidR="00660274" w:rsidRPr="003E654E" w:rsidRDefault="00660274" w:rsidP="00D23C5A">
      <w:pPr>
        <w:jc w:val="both"/>
      </w:pPr>
    </w:p>
    <w:p w14:paraId="1B04759E" w14:textId="77777777" w:rsidR="00660274" w:rsidRPr="00CA442A" w:rsidRDefault="00660274" w:rsidP="00D23C5A">
      <w:pPr>
        <w:spacing w:line="261" w:lineRule="auto"/>
        <w:jc w:val="both"/>
        <w:rPr>
          <w:rFonts w:asciiTheme="minorHAnsi" w:hAnsiTheme="minorHAnsi" w:cstheme="minorHAnsi"/>
          <w:szCs w:val="24"/>
        </w:rPr>
      </w:pPr>
      <w:r w:rsidRPr="00CA442A">
        <w:rPr>
          <w:rFonts w:asciiTheme="minorHAnsi" w:hAnsiTheme="minorHAnsi" w:cstheme="minorHAnsi"/>
          <w:szCs w:val="24"/>
        </w:rPr>
        <w:t>The University of Wales Trinity Saint David (UWTSD) is a multi-campus university in Wales, with main locations in Swansea, Carmarthen, and Lampeter, along with additional sites in London and Birmingham. Formed in 2010 through the merger of the University of Wales, Lampeter, and Trinity University College, it later incorporated Swansea Metropolitan University, expanding its reach and academic offerings.</w:t>
      </w:r>
    </w:p>
    <w:p w14:paraId="0C0DF3DA" w14:textId="77777777" w:rsidR="00660274" w:rsidRPr="00CA442A" w:rsidRDefault="00660274" w:rsidP="00D23C5A">
      <w:pPr>
        <w:spacing w:line="261" w:lineRule="auto"/>
        <w:jc w:val="both"/>
        <w:rPr>
          <w:rFonts w:asciiTheme="minorHAnsi" w:hAnsiTheme="minorHAnsi" w:cstheme="minorHAnsi"/>
          <w:szCs w:val="24"/>
        </w:rPr>
      </w:pPr>
    </w:p>
    <w:p w14:paraId="1520F762" w14:textId="77777777" w:rsidR="00660274" w:rsidRPr="00CA442A" w:rsidRDefault="00660274" w:rsidP="00D23C5A">
      <w:pPr>
        <w:spacing w:line="261" w:lineRule="auto"/>
        <w:jc w:val="both"/>
        <w:rPr>
          <w:rFonts w:asciiTheme="minorHAnsi" w:hAnsiTheme="minorHAnsi" w:cstheme="minorHAnsi"/>
          <w:szCs w:val="24"/>
        </w:rPr>
      </w:pPr>
      <w:r w:rsidRPr="00CA442A">
        <w:rPr>
          <w:rFonts w:asciiTheme="minorHAnsi" w:hAnsiTheme="minorHAnsi" w:cstheme="minorHAnsi"/>
          <w:szCs w:val="24"/>
        </w:rPr>
        <w:t>UWTSD provides a diverse range of undergraduate and postgraduate courses across various disciplines, including humanities, business, engineering, education, creative arts, and digital technologies. The university has a strong emphasis on employability, entrepreneurship, and industry collaboration, ensuring that students gain practical skills alongside their academic studies.</w:t>
      </w:r>
    </w:p>
    <w:p w14:paraId="483E1126" w14:textId="77777777" w:rsidR="00660274" w:rsidRPr="00CA442A" w:rsidRDefault="00660274" w:rsidP="00D23C5A">
      <w:pPr>
        <w:spacing w:line="261" w:lineRule="auto"/>
        <w:jc w:val="both"/>
        <w:rPr>
          <w:rFonts w:asciiTheme="minorHAnsi" w:hAnsiTheme="minorHAnsi" w:cstheme="minorHAnsi"/>
          <w:szCs w:val="24"/>
        </w:rPr>
      </w:pPr>
    </w:p>
    <w:p w14:paraId="2CBF1AEF" w14:textId="77777777" w:rsidR="00660274" w:rsidRPr="00CA442A" w:rsidRDefault="00660274" w:rsidP="00D23C5A">
      <w:pPr>
        <w:spacing w:line="261" w:lineRule="auto"/>
        <w:jc w:val="both"/>
        <w:rPr>
          <w:rFonts w:asciiTheme="minorHAnsi" w:hAnsiTheme="minorHAnsi" w:cstheme="minorHAnsi"/>
          <w:szCs w:val="24"/>
        </w:rPr>
      </w:pPr>
      <w:r w:rsidRPr="00CA442A">
        <w:rPr>
          <w:rFonts w:asciiTheme="minorHAnsi" w:hAnsiTheme="minorHAnsi" w:cstheme="minorHAnsi"/>
          <w:szCs w:val="24"/>
        </w:rPr>
        <w:t>With a deep-rooted history dating back to the founding of St David’s College, Lampeter, in 1822, UWTSD blends academic tradition with modern innovation. It maintains strong partnerships with further education institutions, such as Coleg Sir Gâr and Coleg Ceredigion, enhancing access to higher education across Wales. The university is also committed to sustainability, community engagement, and supporting Welsh language and culture, making it a key contributor to education and development in the region.</w:t>
      </w:r>
    </w:p>
    <w:p w14:paraId="623C6E41" w14:textId="77777777" w:rsidR="00904396" w:rsidRDefault="00904396" w:rsidP="00D23C5A">
      <w:pPr>
        <w:spacing w:line="261" w:lineRule="auto"/>
        <w:jc w:val="both"/>
        <w:rPr>
          <w:rFonts w:asciiTheme="minorHAnsi" w:hAnsiTheme="minorHAnsi" w:cstheme="minorHAnsi"/>
          <w:sz w:val="19"/>
        </w:rPr>
      </w:pPr>
    </w:p>
    <w:p w14:paraId="7805D811" w14:textId="28E054C1" w:rsidR="00904396" w:rsidRDefault="00904396" w:rsidP="00D23C5A">
      <w:pPr>
        <w:pStyle w:val="Heading2"/>
        <w:jc w:val="both"/>
      </w:pPr>
      <w:bookmarkStart w:id="15" w:name="_Toc205559938"/>
      <w:r>
        <w:t xml:space="preserve">Coleg </w:t>
      </w:r>
      <w:r w:rsidR="00837956">
        <w:t>S</w:t>
      </w:r>
      <w:r>
        <w:t xml:space="preserve">ir </w:t>
      </w:r>
      <w:r w:rsidR="00837956">
        <w:t>G</w:t>
      </w:r>
      <w:r w:rsidR="00837956" w:rsidRPr="00837956">
        <w:rPr>
          <w:rFonts w:asciiTheme="minorHAnsi" w:hAnsiTheme="minorHAnsi" w:cstheme="minorHAnsi"/>
          <w:szCs w:val="20"/>
        </w:rPr>
        <w:t>â</w:t>
      </w:r>
      <w:r>
        <w:t>r</w:t>
      </w:r>
      <w:bookmarkEnd w:id="15"/>
    </w:p>
    <w:p w14:paraId="733BD31F" w14:textId="77777777" w:rsidR="00904396" w:rsidRDefault="00904396" w:rsidP="00D23C5A">
      <w:pPr>
        <w:spacing w:line="261" w:lineRule="auto"/>
        <w:jc w:val="both"/>
        <w:rPr>
          <w:rFonts w:asciiTheme="minorHAnsi" w:hAnsiTheme="minorHAnsi" w:cstheme="minorHAnsi"/>
          <w:sz w:val="19"/>
        </w:rPr>
      </w:pPr>
    </w:p>
    <w:p w14:paraId="125FFCA6" w14:textId="77777777" w:rsidR="00837956" w:rsidRDefault="00837956" w:rsidP="00D23C5A">
      <w:pPr>
        <w:jc w:val="both"/>
      </w:pPr>
      <w:r w:rsidRPr="00837956">
        <w:t>Coleg Sir Gâr is a further education college in Wales, with multiple campuses across Carmarthenshire, including Llanelli, Ammanford, Carmarthen, and Llandeilo. The college provides a diverse range of academic and vocational courses, from A-levels and apprenticeships to higher education and industry-specific training.</w:t>
      </w:r>
    </w:p>
    <w:p w14:paraId="6F5D2235" w14:textId="77777777" w:rsidR="00837956" w:rsidRPr="00837956" w:rsidRDefault="00837956" w:rsidP="00D23C5A">
      <w:pPr>
        <w:jc w:val="both"/>
      </w:pPr>
    </w:p>
    <w:p w14:paraId="076C1632" w14:textId="77777777" w:rsidR="00837956" w:rsidRPr="00837956" w:rsidRDefault="00837956" w:rsidP="00D23C5A">
      <w:pPr>
        <w:jc w:val="both"/>
      </w:pPr>
      <w:r w:rsidRPr="00837956">
        <w:t xml:space="preserve">Formed through the merger of several educational institutions, Coleg Sir Gâr has established itself as a key provider of education and skills training in West Wales. It maintains strong links with local industries, particularly in agriculture, engineering, creative arts, and sports, ensuring students receive practical, career-focused learning </w:t>
      </w:r>
      <w:r w:rsidRPr="00837956">
        <w:lastRenderedPageBreak/>
        <w:t>experiences.</w:t>
      </w:r>
    </w:p>
    <w:p w14:paraId="673D8CF3" w14:textId="77777777" w:rsidR="00904396" w:rsidRDefault="00904396" w:rsidP="00D23C5A">
      <w:pPr>
        <w:spacing w:line="261" w:lineRule="auto"/>
        <w:jc w:val="both"/>
        <w:rPr>
          <w:rFonts w:asciiTheme="minorHAnsi" w:hAnsiTheme="minorHAnsi" w:cstheme="minorHAnsi"/>
          <w:sz w:val="19"/>
        </w:rPr>
      </w:pPr>
    </w:p>
    <w:p w14:paraId="2374E6EF" w14:textId="663B0411" w:rsidR="00904396" w:rsidRDefault="00904396" w:rsidP="00D23C5A">
      <w:pPr>
        <w:pStyle w:val="Heading2"/>
        <w:jc w:val="both"/>
      </w:pPr>
      <w:bookmarkStart w:id="16" w:name="_Toc205559939"/>
      <w:r>
        <w:t>C</w:t>
      </w:r>
      <w:r w:rsidR="00837956">
        <w:t>oleg Ceredigion</w:t>
      </w:r>
      <w:bookmarkEnd w:id="16"/>
    </w:p>
    <w:p w14:paraId="6F6B992B" w14:textId="77777777" w:rsidR="00D23C5A" w:rsidRDefault="00D23C5A" w:rsidP="00D23C5A">
      <w:pPr>
        <w:jc w:val="both"/>
      </w:pPr>
    </w:p>
    <w:p w14:paraId="0B0E54CA" w14:textId="77777777" w:rsidR="00837956" w:rsidRPr="00837956" w:rsidRDefault="00837956" w:rsidP="00D23C5A">
      <w:pPr>
        <w:jc w:val="both"/>
      </w:pPr>
      <w:r w:rsidRPr="00837956">
        <w:t>Coleg Ceredigion is a further education college in West Wales, with campuses in Aberystwyth and Cardigan. It offers a wide range of academic and vocational courses, including A-levels, apprenticeships, and industry-specific training, catering to students of all backgrounds and career aspirations.</w:t>
      </w:r>
    </w:p>
    <w:p w14:paraId="4B141C1E" w14:textId="5F05712E" w:rsidR="00837956" w:rsidRDefault="00837956" w:rsidP="00D23C5A">
      <w:pPr>
        <w:jc w:val="both"/>
      </w:pPr>
      <w:r w:rsidRPr="00837956">
        <w:t>Coleg Ceredigion is also committed to student support and community engagement, fostering a welcoming and inclusive learning environment. Through its partnership with the University of Wales Trinity Saint David, the college provides higher education opportunities, ensuring that learners in Ceredigion have access to a broad and flexible ran</w:t>
      </w:r>
      <w:r w:rsidR="003C5C20">
        <w:t>g</w:t>
      </w:r>
      <w:r w:rsidRPr="00837956">
        <w:t>e of study options.</w:t>
      </w:r>
    </w:p>
    <w:p w14:paraId="2D47859D" w14:textId="77777777" w:rsidR="00D23C5A" w:rsidRPr="00837956" w:rsidRDefault="00D23C5A" w:rsidP="00D23C5A">
      <w:pPr>
        <w:jc w:val="both"/>
      </w:pPr>
    </w:p>
    <w:p w14:paraId="62744C94" w14:textId="62F642C3" w:rsidR="00846570" w:rsidRDefault="00904396" w:rsidP="00D23C5A">
      <w:pPr>
        <w:pStyle w:val="Heading2"/>
        <w:jc w:val="both"/>
      </w:pPr>
      <w:bookmarkStart w:id="17" w:name="_Toc205559940"/>
      <w:r>
        <w:t>Pembrokeshire college</w:t>
      </w:r>
      <w:bookmarkEnd w:id="17"/>
    </w:p>
    <w:p w14:paraId="06E47F40" w14:textId="77777777" w:rsidR="00120606" w:rsidRDefault="00120606" w:rsidP="00D23C5A">
      <w:pPr>
        <w:jc w:val="both"/>
      </w:pPr>
    </w:p>
    <w:p w14:paraId="509A31A5" w14:textId="2F8CA37B" w:rsidR="00660274" w:rsidRDefault="00660274" w:rsidP="00D23C5A">
      <w:pPr>
        <w:jc w:val="both"/>
        <w:rPr>
          <w:szCs w:val="20"/>
        </w:rPr>
      </w:pPr>
      <w:r w:rsidRPr="003C5C20">
        <w:rPr>
          <w:szCs w:val="20"/>
        </w:rPr>
        <w:t>Pembrokeshire College is the largest further education provider in Pembrokeshire, Wales, offering a wide range</w:t>
      </w:r>
      <w:r w:rsidR="00EC457D" w:rsidRPr="003C5C20">
        <w:rPr>
          <w:szCs w:val="20"/>
        </w:rPr>
        <w:t xml:space="preserve"> </w:t>
      </w:r>
      <w:r w:rsidRPr="003C5C20">
        <w:rPr>
          <w:szCs w:val="20"/>
        </w:rPr>
        <w:t>of academic, vocational, and apprenticeship courses. Based in Haverfordwest, the college serves students from</w:t>
      </w:r>
      <w:r w:rsidR="00EC457D" w:rsidRPr="003C5C20">
        <w:rPr>
          <w:szCs w:val="20"/>
        </w:rPr>
        <w:t xml:space="preserve"> </w:t>
      </w:r>
      <w:r w:rsidRPr="003C5C20">
        <w:rPr>
          <w:szCs w:val="20"/>
        </w:rPr>
        <w:t>across the region, providing qualifications from entry-level to degree-level in partnership with universities such as</w:t>
      </w:r>
      <w:r w:rsidR="00EC457D" w:rsidRPr="003C5C20">
        <w:rPr>
          <w:szCs w:val="20"/>
        </w:rPr>
        <w:t xml:space="preserve"> </w:t>
      </w:r>
      <w:r w:rsidRPr="003C5C20">
        <w:rPr>
          <w:szCs w:val="20"/>
        </w:rPr>
        <w:t>the University of Wales Trinity Saint David.</w:t>
      </w:r>
    </w:p>
    <w:p w14:paraId="4168727C" w14:textId="77777777" w:rsidR="0001260C" w:rsidRPr="003C5C20" w:rsidRDefault="0001260C" w:rsidP="00D23C5A">
      <w:pPr>
        <w:jc w:val="both"/>
        <w:rPr>
          <w:b/>
          <w:bCs/>
          <w:szCs w:val="20"/>
        </w:rPr>
      </w:pPr>
    </w:p>
    <w:p w14:paraId="466F711D" w14:textId="666BE5EF" w:rsidR="00660274" w:rsidRDefault="00660274" w:rsidP="00D23C5A">
      <w:pPr>
        <w:jc w:val="both"/>
        <w:rPr>
          <w:rFonts w:asciiTheme="minorHAnsi" w:hAnsiTheme="minorHAnsi" w:cstheme="minorHAnsi"/>
          <w:szCs w:val="20"/>
        </w:rPr>
      </w:pPr>
      <w:r w:rsidRPr="003C5C20">
        <w:rPr>
          <w:rFonts w:asciiTheme="minorHAnsi" w:hAnsiTheme="minorHAnsi" w:cstheme="minorHAnsi"/>
          <w:szCs w:val="20"/>
        </w:rPr>
        <w:t>The college has strong links with local industries, particularly in sectors like marine engineering, renewable energy, construction, tourism, and health and social care. Its focus on hands-on, career-focused learning ensures students gain the skills and experience needed for employment or further study.</w:t>
      </w:r>
    </w:p>
    <w:p w14:paraId="5460F2E4" w14:textId="77777777" w:rsidR="0001260C" w:rsidRPr="003C5C20" w:rsidRDefault="0001260C" w:rsidP="00D23C5A">
      <w:pPr>
        <w:jc w:val="both"/>
        <w:rPr>
          <w:rFonts w:asciiTheme="minorHAnsi" w:hAnsiTheme="minorHAnsi" w:cstheme="minorHAnsi"/>
          <w:szCs w:val="20"/>
        </w:rPr>
      </w:pPr>
    </w:p>
    <w:p w14:paraId="3C534E23" w14:textId="77777777" w:rsidR="00660274" w:rsidRDefault="00660274" w:rsidP="00D23C5A">
      <w:pPr>
        <w:jc w:val="both"/>
        <w:rPr>
          <w:rFonts w:asciiTheme="minorHAnsi" w:hAnsiTheme="minorHAnsi" w:cstheme="minorHAnsi"/>
          <w:szCs w:val="20"/>
        </w:rPr>
      </w:pPr>
      <w:r w:rsidRPr="003C5C20">
        <w:rPr>
          <w:rFonts w:asciiTheme="minorHAnsi" w:hAnsiTheme="minorHAnsi" w:cstheme="minorHAnsi"/>
          <w:szCs w:val="20"/>
        </w:rPr>
        <w:t>Pembrokeshire College is also known for its commitment to innovation, sustainability, and student support, fostering an inclusive and dynamic learning environment. With state-of-the-art facilities and industry-led training programs, it plays a vital role in the educational and economic development of West Wales.</w:t>
      </w:r>
    </w:p>
    <w:p w14:paraId="2DDD363E" w14:textId="77777777" w:rsidR="00D23C5A" w:rsidRPr="003C5C20" w:rsidRDefault="00D23C5A" w:rsidP="0001260C">
      <w:pPr>
        <w:rPr>
          <w:rFonts w:asciiTheme="minorHAnsi" w:hAnsiTheme="minorHAnsi" w:cstheme="minorHAnsi"/>
          <w:szCs w:val="20"/>
        </w:rPr>
      </w:pPr>
    </w:p>
    <w:p w14:paraId="2FC8D8A0" w14:textId="217CDE38" w:rsidR="000617FC" w:rsidRPr="000617FC" w:rsidRDefault="00120606" w:rsidP="00573301">
      <w:pPr>
        <w:pStyle w:val="Heading1"/>
      </w:pPr>
      <w:bookmarkStart w:id="18" w:name="_Toc205559941"/>
      <w:r w:rsidRPr="000617FC">
        <w:t>Campus Location</w:t>
      </w:r>
      <w:r w:rsidR="000617FC">
        <w:t>s</w:t>
      </w:r>
      <w:bookmarkEnd w:id="18"/>
    </w:p>
    <w:p w14:paraId="2B43BAF5" w14:textId="1B8A9958" w:rsidR="00120606" w:rsidRPr="000617FC" w:rsidRDefault="00120606" w:rsidP="003C5C20">
      <w:pPr>
        <w:jc w:val="both"/>
        <w:textAlignment w:val="baseline"/>
        <w:rPr>
          <w:rFonts w:asciiTheme="minorHAnsi" w:eastAsia="Times New Roman" w:hAnsiTheme="minorHAnsi" w:cstheme="minorHAnsi"/>
          <w:szCs w:val="20"/>
        </w:rPr>
      </w:pPr>
    </w:p>
    <w:p w14:paraId="6482E4A5" w14:textId="708C0094" w:rsidR="00120606" w:rsidRPr="000617FC" w:rsidRDefault="00120606" w:rsidP="003C5C20">
      <w:pPr>
        <w:jc w:val="both"/>
        <w:textAlignment w:val="baseline"/>
        <w:rPr>
          <w:rFonts w:asciiTheme="minorHAnsi" w:eastAsia="Times New Roman" w:hAnsiTheme="minorHAnsi" w:cstheme="minorHAnsi"/>
          <w:szCs w:val="20"/>
        </w:rPr>
      </w:pPr>
      <w:r w:rsidRPr="000617FC">
        <w:rPr>
          <w:rFonts w:asciiTheme="minorHAnsi" w:eastAsia="Times New Roman" w:hAnsiTheme="minorHAnsi" w:cstheme="minorHAnsi"/>
          <w:szCs w:val="20"/>
        </w:rPr>
        <w:t xml:space="preserve">The University Group has campuses located in the following locations: </w:t>
      </w:r>
    </w:p>
    <w:p w14:paraId="6A7C2A4A" w14:textId="77777777" w:rsidR="00120606" w:rsidRDefault="00120606" w:rsidP="003C5C20">
      <w:pPr>
        <w:jc w:val="both"/>
      </w:pPr>
    </w:p>
    <w:tbl>
      <w:tblPr>
        <w:tblStyle w:val="TableGrid"/>
        <w:tblW w:w="0" w:type="auto"/>
        <w:tblInd w:w="432" w:type="dxa"/>
        <w:tblLook w:val="04A0" w:firstRow="1" w:lastRow="0" w:firstColumn="1" w:lastColumn="0" w:noHBand="0" w:noVBand="1"/>
      </w:tblPr>
      <w:tblGrid>
        <w:gridCol w:w="4407"/>
        <w:gridCol w:w="4421"/>
      </w:tblGrid>
      <w:tr w:rsidR="00FA4354" w:rsidRPr="003C5C20" w14:paraId="47162936" w14:textId="77777777" w:rsidTr="00FA4354">
        <w:tc>
          <w:tcPr>
            <w:tcW w:w="4630" w:type="dxa"/>
          </w:tcPr>
          <w:p w14:paraId="359085D5" w14:textId="77777777" w:rsidR="00FA4354" w:rsidRPr="003C5C20" w:rsidRDefault="00FA4354" w:rsidP="00573301">
            <w:pPr>
              <w:pStyle w:val="Heading1"/>
              <w:numPr>
                <w:ilvl w:val="0"/>
                <w:numId w:val="0"/>
              </w:numPr>
            </w:pPr>
            <w:bookmarkStart w:id="19" w:name="_Toc205559942"/>
            <w:r w:rsidRPr="003C5C20">
              <w:t>University Of Wales Trinity Saint David</w:t>
            </w:r>
            <w:bookmarkEnd w:id="19"/>
            <w:r w:rsidRPr="003C5C20">
              <w:t xml:space="preserve"> </w:t>
            </w:r>
          </w:p>
          <w:p w14:paraId="1C14EA73" w14:textId="77777777" w:rsidR="00FA4354" w:rsidRPr="003C5C20" w:rsidRDefault="00FA4354" w:rsidP="00573301">
            <w:pPr>
              <w:pStyle w:val="Heading1"/>
              <w:numPr>
                <w:ilvl w:val="0"/>
                <w:numId w:val="0"/>
              </w:numPr>
            </w:pPr>
          </w:p>
          <w:p w14:paraId="79D799B2" w14:textId="238AE480" w:rsidR="00FA4354" w:rsidRPr="003C5C20" w:rsidRDefault="00FA4354" w:rsidP="00A8360C">
            <w:pPr>
              <w:pStyle w:val="ListParagraph"/>
              <w:numPr>
                <w:ilvl w:val="0"/>
                <w:numId w:val="16"/>
              </w:numPr>
              <w:jc w:val="both"/>
              <w:rPr>
                <w:szCs w:val="36"/>
                <w:lang w:val="en-US"/>
              </w:rPr>
            </w:pPr>
            <w:r w:rsidRPr="003C5C20">
              <w:rPr>
                <w:szCs w:val="36"/>
                <w:lang w:val="en-US"/>
              </w:rPr>
              <w:t>Carmarthen</w:t>
            </w:r>
          </w:p>
          <w:p w14:paraId="4148B594" w14:textId="12B6A0F6" w:rsidR="00FA4354" w:rsidRPr="003C5C20" w:rsidRDefault="00FA4354" w:rsidP="00A8360C">
            <w:pPr>
              <w:pStyle w:val="ListParagraph"/>
              <w:numPr>
                <w:ilvl w:val="0"/>
                <w:numId w:val="16"/>
              </w:numPr>
              <w:jc w:val="both"/>
              <w:rPr>
                <w:szCs w:val="36"/>
                <w:lang w:val="en-US"/>
              </w:rPr>
            </w:pPr>
            <w:r w:rsidRPr="003C5C20">
              <w:rPr>
                <w:szCs w:val="36"/>
                <w:lang w:val="en-US"/>
              </w:rPr>
              <w:t xml:space="preserve">Swansea </w:t>
            </w:r>
          </w:p>
          <w:p w14:paraId="40707958" w14:textId="04F288AB" w:rsidR="00FA4354" w:rsidRPr="003C5C20" w:rsidRDefault="00FA4354" w:rsidP="00A8360C">
            <w:pPr>
              <w:pStyle w:val="ListParagraph"/>
              <w:numPr>
                <w:ilvl w:val="0"/>
                <w:numId w:val="16"/>
              </w:numPr>
              <w:jc w:val="both"/>
              <w:rPr>
                <w:szCs w:val="36"/>
                <w:lang w:val="en-US"/>
              </w:rPr>
            </w:pPr>
            <w:r w:rsidRPr="003C5C20">
              <w:rPr>
                <w:szCs w:val="36"/>
                <w:lang w:val="en-US"/>
              </w:rPr>
              <w:t xml:space="preserve">Lampeter </w:t>
            </w:r>
          </w:p>
          <w:p w14:paraId="135315F2" w14:textId="676AA6FF" w:rsidR="00FA4354" w:rsidRPr="003C5C20" w:rsidRDefault="00FA4354" w:rsidP="00A8360C">
            <w:pPr>
              <w:pStyle w:val="ListParagraph"/>
              <w:numPr>
                <w:ilvl w:val="0"/>
                <w:numId w:val="16"/>
              </w:numPr>
              <w:jc w:val="both"/>
              <w:rPr>
                <w:szCs w:val="36"/>
                <w:lang w:val="en-US"/>
              </w:rPr>
            </w:pPr>
            <w:r w:rsidRPr="003C5C20">
              <w:rPr>
                <w:szCs w:val="36"/>
                <w:lang w:val="en-US"/>
              </w:rPr>
              <w:t xml:space="preserve">Cardiff </w:t>
            </w:r>
          </w:p>
          <w:p w14:paraId="5F978377" w14:textId="2BB9F063" w:rsidR="00FA4354" w:rsidRPr="003C5C20" w:rsidRDefault="00FA4354" w:rsidP="00A8360C">
            <w:pPr>
              <w:pStyle w:val="ListParagraph"/>
              <w:numPr>
                <w:ilvl w:val="0"/>
                <w:numId w:val="16"/>
              </w:numPr>
              <w:jc w:val="both"/>
              <w:rPr>
                <w:szCs w:val="36"/>
                <w:lang w:val="en-US"/>
              </w:rPr>
            </w:pPr>
            <w:r w:rsidRPr="003C5C20">
              <w:rPr>
                <w:szCs w:val="36"/>
                <w:lang w:val="en-US"/>
              </w:rPr>
              <w:t xml:space="preserve">Birmingham </w:t>
            </w:r>
          </w:p>
          <w:p w14:paraId="3B98510D" w14:textId="46976323" w:rsidR="00FA4354" w:rsidRPr="003C5C20" w:rsidRDefault="00FA4354" w:rsidP="00A8360C">
            <w:pPr>
              <w:pStyle w:val="ListParagraph"/>
              <w:numPr>
                <w:ilvl w:val="0"/>
                <w:numId w:val="16"/>
              </w:numPr>
              <w:jc w:val="both"/>
              <w:rPr>
                <w:szCs w:val="36"/>
                <w:lang w:val="en-US"/>
              </w:rPr>
            </w:pPr>
            <w:r w:rsidRPr="003C5C20">
              <w:rPr>
                <w:szCs w:val="36"/>
                <w:lang w:val="en-US"/>
              </w:rPr>
              <w:t xml:space="preserve">London </w:t>
            </w:r>
          </w:p>
          <w:p w14:paraId="7B6C8B8D" w14:textId="0C8F58A2" w:rsidR="00FA4354" w:rsidRPr="003C5C20" w:rsidRDefault="00FA4354" w:rsidP="00573301">
            <w:pPr>
              <w:pStyle w:val="Heading1"/>
              <w:numPr>
                <w:ilvl w:val="0"/>
                <w:numId w:val="0"/>
              </w:numPr>
            </w:pPr>
          </w:p>
        </w:tc>
        <w:tc>
          <w:tcPr>
            <w:tcW w:w="4630" w:type="dxa"/>
          </w:tcPr>
          <w:p w14:paraId="2FAE3B72" w14:textId="77777777" w:rsidR="00FA4354" w:rsidRPr="003C5C20" w:rsidRDefault="00FA4354" w:rsidP="00573301">
            <w:pPr>
              <w:pStyle w:val="Heading1"/>
              <w:numPr>
                <w:ilvl w:val="0"/>
                <w:numId w:val="0"/>
              </w:numPr>
            </w:pPr>
            <w:bookmarkStart w:id="20" w:name="_Toc205559943"/>
            <w:r w:rsidRPr="003C5C20">
              <w:t>Coleg Sir Gar</w:t>
            </w:r>
            <w:bookmarkEnd w:id="20"/>
          </w:p>
          <w:p w14:paraId="7CEE33BB" w14:textId="77777777" w:rsidR="00FA4354" w:rsidRPr="003C5C20" w:rsidRDefault="00FA4354" w:rsidP="00573301">
            <w:pPr>
              <w:pStyle w:val="Heading1"/>
              <w:numPr>
                <w:ilvl w:val="0"/>
                <w:numId w:val="0"/>
              </w:numPr>
            </w:pPr>
          </w:p>
          <w:p w14:paraId="6A59FBF6" w14:textId="77777777" w:rsidR="00FA4354" w:rsidRPr="003C5C20" w:rsidRDefault="00FA4354" w:rsidP="00A8360C">
            <w:pPr>
              <w:pStyle w:val="ListParagraph"/>
              <w:numPr>
                <w:ilvl w:val="0"/>
                <w:numId w:val="16"/>
              </w:numPr>
              <w:jc w:val="both"/>
              <w:rPr>
                <w:b/>
                <w:bCs/>
                <w:szCs w:val="36"/>
                <w:lang w:val="en-US"/>
              </w:rPr>
            </w:pPr>
            <w:r w:rsidRPr="003C5C20">
              <w:rPr>
                <w:szCs w:val="36"/>
                <w:lang w:val="en-US"/>
              </w:rPr>
              <w:t xml:space="preserve">Llanelli </w:t>
            </w:r>
          </w:p>
          <w:p w14:paraId="6DB83DDB" w14:textId="77777777" w:rsidR="00FA4354" w:rsidRPr="003C5C20" w:rsidRDefault="00FA4354" w:rsidP="00A8360C">
            <w:pPr>
              <w:pStyle w:val="ListParagraph"/>
              <w:numPr>
                <w:ilvl w:val="0"/>
                <w:numId w:val="16"/>
              </w:numPr>
              <w:jc w:val="both"/>
              <w:rPr>
                <w:b/>
                <w:bCs/>
                <w:szCs w:val="36"/>
                <w:lang w:val="en-US"/>
              </w:rPr>
            </w:pPr>
            <w:r w:rsidRPr="003C5C20">
              <w:rPr>
                <w:szCs w:val="36"/>
                <w:lang w:val="en-US"/>
              </w:rPr>
              <w:t xml:space="preserve">Carmarthen </w:t>
            </w:r>
          </w:p>
          <w:p w14:paraId="0E329F4E" w14:textId="56E59C54" w:rsidR="00FA4354" w:rsidRPr="003C5C20" w:rsidRDefault="00FA4354" w:rsidP="00A8360C">
            <w:pPr>
              <w:pStyle w:val="ListParagraph"/>
              <w:numPr>
                <w:ilvl w:val="0"/>
                <w:numId w:val="16"/>
              </w:numPr>
              <w:jc w:val="both"/>
              <w:rPr>
                <w:b/>
                <w:bCs/>
                <w:szCs w:val="36"/>
              </w:rPr>
            </w:pPr>
            <w:r w:rsidRPr="003C5C20">
              <w:rPr>
                <w:szCs w:val="36"/>
                <w:lang w:val="en-US"/>
              </w:rPr>
              <w:t>Ammanford</w:t>
            </w:r>
            <w:r w:rsidRPr="003C5C20">
              <w:rPr>
                <w:szCs w:val="36"/>
              </w:rPr>
              <w:t xml:space="preserve"> </w:t>
            </w:r>
          </w:p>
        </w:tc>
      </w:tr>
      <w:tr w:rsidR="00FA4354" w:rsidRPr="003C5C20" w14:paraId="2EE88427" w14:textId="77777777" w:rsidTr="00FA4354">
        <w:tc>
          <w:tcPr>
            <w:tcW w:w="4630" w:type="dxa"/>
          </w:tcPr>
          <w:p w14:paraId="586FFE00" w14:textId="77777777" w:rsidR="00FA4354" w:rsidRPr="003C5C20" w:rsidRDefault="00FA4354" w:rsidP="00573301">
            <w:pPr>
              <w:pStyle w:val="Heading1"/>
              <w:numPr>
                <w:ilvl w:val="0"/>
                <w:numId w:val="0"/>
              </w:numPr>
            </w:pPr>
            <w:bookmarkStart w:id="21" w:name="_Toc205559944"/>
            <w:r w:rsidRPr="003C5C20">
              <w:t>Coleg Ceredigion</w:t>
            </w:r>
            <w:bookmarkEnd w:id="21"/>
            <w:r w:rsidRPr="003C5C20">
              <w:t xml:space="preserve"> </w:t>
            </w:r>
          </w:p>
          <w:p w14:paraId="7762AE32" w14:textId="77777777" w:rsidR="00FA4354" w:rsidRPr="003C5C20" w:rsidRDefault="00FA4354" w:rsidP="00573301">
            <w:pPr>
              <w:pStyle w:val="Heading1"/>
              <w:numPr>
                <w:ilvl w:val="0"/>
                <w:numId w:val="0"/>
              </w:numPr>
            </w:pPr>
          </w:p>
          <w:p w14:paraId="603A14E3" w14:textId="7C50288B" w:rsidR="00FA4354" w:rsidRPr="003C5C20" w:rsidRDefault="00FA4354" w:rsidP="00A8360C">
            <w:pPr>
              <w:pStyle w:val="ListParagraph"/>
              <w:numPr>
                <w:ilvl w:val="0"/>
                <w:numId w:val="16"/>
              </w:numPr>
              <w:jc w:val="both"/>
              <w:rPr>
                <w:b/>
                <w:bCs/>
                <w:szCs w:val="36"/>
                <w:lang w:val="en-US"/>
              </w:rPr>
            </w:pPr>
            <w:r w:rsidRPr="003C5C20">
              <w:rPr>
                <w:szCs w:val="36"/>
                <w:lang w:val="en-US"/>
              </w:rPr>
              <w:t xml:space="preserve">Aberystwyth </w:t>
            </w:r>
          </w:p>
          <w:p w14:paraId="4406C6B1" w14:textId="77777777" w:rsidR="00FA4354" w:rsidRPr="003C5C20" w:rsidRDefault="00FA4354" w:rsidP="00A8360C">
            <w:pPr>
              <w:pStyle w:val="ListParagraph"/>
              <w:numPr>
                <w:ilvl w:val="0"/>
                <w:numId w:val="16"/>
              </w:numPr>
              <w:jc w:val="both"/>
              <w:rPr>
                <w:b/>
                <w:bCs/>
                <w:szCs w:val="36"/>
                <w:lang w:val="en-US"/>
              </w:rPr>
            </w:pPr>
            <w:r w:rsidRPr="003C5C20">
              <w:rPr>
                <w:szCs w:val="36"/>
                <w:lang w:val="en-US"/>
              </w:rPr>
              <w:t xml:space="preserve">Cardigan </w:t>
            </w:r>
          </w:p>
          <w:p w14:paraId="3837C719" w14:textId="5DC406A0" w:rsidR="006A13AB" w:rsidRPr="003C5C20" w:rsidRDefault="006A13AB" w:rsidP="00573301">
            <w:pPr>
              <w:pStyle w:val="Heading1"/>
              <w:numPr>
                <w:ilvl w:val="0"/>
                <w:numId w:val="0"/>
              </w:numPr>
              <w:ind w:left="720"/>
            </w:pPr>
          </w:p>
        </w:tc>
        <w:tc>
          <w:tcPr>
            <w:tcW w:w="4630" w:type="dxa"/>
          </w:tcPr>
          <w:p w14:paraId="5CE2DAC0" w14:textId="77777777" w:rsidR="00FA4354" w:rsidRPr="003C5C20" w:rsidRDefault="00FA4354" w:rsidP="00573301">
            <w:pPr>
              <w:pStyle w:val="Heading1"/>
              <w:numPr>
                <w:ilvl w:val="0"/>
                <w:numId w:val="0"/>
              </w:numPr>
            </w:pPr>
            <w:bookmarkStart w:id="22" w:name="_Toc205559945"/>
            <w:r w:rsidRPr="003C5C20">
              <w:t>Pembrokeshire College</w:t>
            </w:r>
            <w:bookmarkEnd w:id="22"/>
            <w:r w:rsidRPr="003C5C20">
              <w:t xml:space="preserve"> </w:t>
            </w:r>
          </w:p>
          <w:p w14:paraId="3A328E41" w14:textId="77777777" w:rsidR="00FA4354" w:rsidRPr="003C5C20" w:rsidRDefault="00FA4354" w:rsidP="00573301">
            <w:pPr>
              <w:pStyle w:val="Heading1"/>
              <w:numPr>
                <w:ilvl w:val="0"/>
                <w:numId w:val="0"/>
              </w:numPr>
            </w:pPr>
          </w:p>
          <w:p w14:paraId="4EDDD2B0" w14:textId="47671125" w:rsidR="00FA4354" w:rsidRPr="003C5C20" w:rsidRDefault="00FA4354" w:rsidP="00A8360C">
            <w:pPr>
              <w:pStyle w:val="ListParagraph"/>
              <w:numPr>
                <w:ilvl w:val="0"/>
                <w:numId w:val="16"/>
              </w:numPr>
              <w:jc w:val="both"/>
              <w:rPr>
                <w:b/>
                <w:bCs/>
                <w:szCs w:val="36"/>
              </w:rPr>
            </w:pPr>
            <w:r w:rsidRPr="003C5C20">
              <w:rPr>
                <w:szCs w:val="36"/>
                <w:lang w:val="en-US"/>
              </w:rPr>
              <w:t>Haverfordwest</w:t>
            </w:r>
          </w:p>
        </w:tc>
      </w:tr>
    </w:tbl>
    <w:p w14:paraId="1EA041DF" w14:textId="77777777" w:rsidR="00120606" w:rsidRPr="00120606" w:rsidRDefault="00120606" w:rsidP="003C5C20">
      <w:pPr>
        <w:jc w:val="both"/>
      </w:pPr>
    </w:p>
    <w:p w14:paraId="486B6880" w14:textId="17905D68" w:rsidR="006A13AB" w:rsidRDefault="006A13AB" w:rsidP="003C5C20">
      <w:pPr>
        <w:jc w:val="both"/>
        <w:textAlignment w:val="baseline"/>
        <w:rPr>
          <w:rFonts w:asciiTheme="minorHAnsi" w:eastAsia="Times New Roman" w:hAnsiTheme="minorHAnsi" w:cstheme="minorHAnsi"/>
          <w:b/>
          <w:bCs/>
          <w:szCs w:val="20"/>
        </w:rPr>
      </w:pPr>
      <w:r w:rsidRPr="000617FC">
        <w:rPr>
          <w:rFonts w:asciiTheme="minorHAnsi" w:eastAsia="Times New Roman" w:hAnsiTheme="minorHAnsi" w:cstheme="minorHAnsi"/>
          <w:b/>
          <w:bCs/>
          <w:szCs w:val="20"/>
        </w:rPr>
        <w:t xml:space="preserve">Please can it be noted that </w:t>
      </w:r>
      <w:r w:rsidR="00CA442A">
        <w:rPr>
          <w:rFonts w:asciiTheme="minorHAnsi" w:eastAsia="Times New Roman" w:hAnsiTheme="minorHAnsi" w:cstheme="minorHAnsi"/>
          <w:b/>
          <w:bCs/>
          <w:szCs w:val="20"/>
        </w:rPr>
        <w:t>C</w:t>
      </w:r>
      <w:r w:rsidR="009625E9">
        <w:rPr>
          <w:rFonts w:asciiTheme="minorHAnsi" w:eastAsia="Times New Roman" w:hAnsiTheme="minorHAnsi" w:cstheme="minorHAnsi"/>
          <w:b/>
          <w:bCs/>
          <w:szCs w:val="20"/>
        </w:rPr>
        <w:t>onsultants</w:t>
      </w:r>
      <w:r w:rsidRPr="000617FC">
        <w:rPr>
          <w:rFonts w:asciiTheme="minorHAnsi" w:eastAsia="Times New Roman" w:hAnsiTheme="minorHAnsi" w:cstheme="minorHAnsi"/>
          <w:b/>
          <w:bCs/>
          <w:szCs w:val="20"/>
        </w:rPr>
        <w:t xml:space="preserve"> shall be expected to be capable and willing of covering all locations within the scope of the Framework Agreement. </w:t>
      </w:r>
    </w:p>
    <w:p w14:paraId="7A9331E9" w14:textId="50191BD1" w:rsidR="00F22D5C" w:rsidRDefault="00F22D5C" w:rsidP="003C5C20">
      <w:pPr>
        <w:jc w:val="both"/>
        <w:textAlignment w:val="baseline"/>
        <w:rPr>
          <w:rFonts w:asciiTheme="minorHAnsi" w:eastAsia="Times New Roman" w:hAnsiTheme="minorHAnsi" w:cstheme="minorHAnsi"/>
          <w:b/>
          <w:bCs/>
          <w:szCs w:val="20"/>
        </w:rPr>
      </w:pPr>
    </w:p>
    <w:p w14:paraId="57DD6909" w14:textId="77777777" w:rsidR="00D23C5A" w:rsidRDefault="00D23C5A" w:rsidP="003C5C20">
      <w:pPr>
        <w:jc w:val="both"/>
        <w:textAlignment w:val="baseline"/>
        <w:rPr>
          <w:rFonts w:asciiTheme="minorHAnsi" w:eastAsia="Times New Roman" w:hAnsiTheme="minorHAnsi" w:cstheme="minorHAnsi"/>
          <w:b/>
          <w:bCs/>
          <w:szCs w:val="20"/>
        </w:rPr>
      </w:pPr>
    </w:p>
    <w:p w14:paraId="5A25C32F" w14:textId="77777777" w:rsidR="00D23C5A" w:rsidRDefault="00D23C5A" w:rsidP="003C5C20">
      <w:pPr>
        <w:jc w:val="both"/>
        <w:textAlignment w:val="baseline"/>
        <w:rPr>
          <w:rFonts w:asciiTheme="minorHAnsi" w:eastAsia="Times New Roman" w:hAnsiTheme="minorHAnsi" w:cstheme="minorHAnsi"/>
          <w:b/>
          <w:bCs/>
          <w:szCs w:val="20"/>
        </w:rPr>
      </w:pPr>
    </w:p>
    <w:p w14:paraId="09621448" w14:textId="77777777" w:rsidR="00D23C5A" w:rsidRDefault="00D23C5A" w:rsidP="003C5C20">
      <w:pPr>
        <w:jc w:val="both"/>
        <w:textAlignment w:val="baseline"/>
        <w:rPr>
          <w:rFonts w:asciiTheme="minorHAnsi" w:eastAsia="Times New Roman" w:hAnsiTheme="minorHAnsi" w:cstheme="minorHAnsi"/>
          <w:b/>
          <w:bCs/>
          <w:szCs w:val="20"/>
        </w:rPr>
      </w:pPr>
    </w:p>
    <w:p w14:paraId="2DD75862" w14:textId="77777777" w:rsidR="00D23C5A" w:rsidRDefault="00D23C5A" w:rsidP="003C5C20">
      <w:pPr>
        <w:jc w:val="both"/>
        <w:textAlignment w:val="baseline"/>
        <w:rPr>
          <w:rFonts w:asciiTheme="minorHAnsi" w:eastAsia="Times New Roman" w:hAnsiTheme="minorHAnsi" w:cstheme="minorHAnsi"/>
          <w:b/>
          <w:bCs/>
          <w:szCs w:val="20"/>
        </w:rPr>
      </w:pPr>
    </w:p>
    <w:p w14:paraId="6801E149" w14:textId="77777777" w:rsidR="00D23C5A" w:rsidRDefault="00D23C5A" w:rsidP="003C5C20">
      <w:pPr>
        <w:jc w:val="both"/>
        <w:textAlignment w:val="baseline"/>
        <w:rPr>
          <w:rFonts w:asciiTheme="minorHAnsi" w:eastAsia="Times New Roman" w:hAnsiTheme="minorHAnsi" w:cstheme="minorHAnsi"/>
          <w:b/>
          <w:bCs/>
          <w:szCs w:val="20"/>
        </w:rPr>
      </w:pPr>
    </w:p>
    <w:p w14:paraId="66A50257" w14:textId="77777777" w:rsidR="00D23C5A" w:rsidRDefault="00D23C5A" w:rsidP="003C5C20">
      <w:pPr>
        <w:jc w:val="both"/>
        <w:textAlignment w:val="baseline"/>
        <w:rPr>
          <w:rFonts w:asciiTheme="minorHAnsi" w:eastAsia="Times New Roman" w:hAnsiTheme="minorHAnsi" w:cstheme="minorHAnsi"/>
          <w:b/>
          <w:bCs/>
          <w:szCs w:val="20"/>
        </w:rPr>
      </w:pPr>
    </w:p>
    <w:p w14:paraId="3844D647" w14:textId="77777777" w:rsidR="00D23C5A" w:rsidRDefault="00D23C5A" w:rsidP="003C5C20">
      <w:pPr>
        <w:jc w:val="both"/>
        <w:textAlignment w:val="baseline"/>
        <w:rPr>
          <w:rFonts w:asciiTheme="minorHAnsi" w:eastAsia="Times New Roman" w:hAnsiTheme="minorHAnsi" w:cstheme="minorHAnsi"/>
          <w:b/>
          <w:bCs/>
          <w:szCs w:val="20"/>
        </w:rPr>
      </w:pPr>
    </w:p>
    <w:p w14:paraId="5B9A4994" w14:textId="77777777" w:rsidR="00D23C5A" w:rsidRDefault="00D23C5A" w:rsidP="003C5C20">
      <w:pPr>
        <w:jc w:val="both"/>
        <w:textAlignment w:val="baseline"/>
        <w:rPr>
          <w:rFonts w:asciiTheme="minorHAnsi" w:eastAsia="Times New Roman" w:hAnsiTheme="minorHAnsi" w:cstheme="minorHAnsi"/>
          <w:b/>
          <w:bCs/>
          <w:szCs w:val="20"/>
        </w:rPr>
      </w:pPr>
    </w:p>
    <w:p w14:paraId="0A37777A" w14:textId="77777777" w:rsidR="00D23C5A" w:rsidRDefault="00D23C5A" w:rsidP="003C5C20">
      <w:pPr>
        <w:jc w:val="both"/>
        <w:textAlignment w:val="baseline"/>
        <w:rPr>
          <w:rFonts w:asciiTheme="minorHAnsi" w:eastAsia="Times New Roman" w:hAnsiTheme="minorHAnsi" w:cstheme="minorHAnsi"/>
          <w:b/>
          <w:bCs/>
          <w:szCs w:val="20"/>
        </w:rPr>
      </w:pPr>
    </w:p>
    <w:p w14:paraId="502CD0F9" w14:textId="77777777" w:rsidR="002E7CF8" w:rsidRDefault="002E7CF8" w:rsidP="00573301">
      <w:pPr>
        <w:pStyle w:val="Heading1"/>
      </w:pPr>
      <w:bookmarkStart w:id="23" w:name="_Toc175226070"/>
      <w:bookmarkStart w:id="24" w:name="_Toc205559946"/>
      <w:bookmarkStart w:id="25" w:name="_Hlk195180572"/>
      <w:r w:rsidRPr="00811311">
        <w:t>Combined Liability Insurance</w:t>
      </w:r>
      <w:bookmarkEnd w:id="23"/>
      <w:bookmarkEnd w:id="24"/>
    </w:p>
    <w:p w14:paraId="1D330E6F" w14:textId="77777777" w:rsidR="003C5C20" w:rsidRPr="00811311" w:rsidRDefault="003C5C20" w:rsidP="00D23C5A">
      <w:pPr>
        <w:jc w:val="both"/>
      </w:pPr>
    </w:p>
    <w:p w14:paraId="6259CDA0" w14:textId="77777777" w:rsidR="002E7CF8" w:rsidRPr="007C3658" w:rsidRDefault="002E7CF8" w:rsidP="00D23C5A">
      <w:pPr>
        <w:jc w:val="both"/>
        <w:rPr>
          <w:rFonts w:cs="Tahoma"/>
        </w:rPr>
      </w:pPr>
      <w:r w:rsidRPr="007C3658">
        <w:rPr>
          <w:rFonts w:cs="Tahoma"/>
        </w:rPr>
        <w:t>It is a requirement of this Contract that the appointed Contractor should be insured against Employers Liability, Public Liability, Contractual Liability, and Fidelity Guarantee in accordance with the following schedule:</w:t>
      </w:r>
    </w:p>
    <w:p w14:paraId="2A3265EB" w14:textId="77777777" w:rsidR="002E7CF8" w:rsidRPr="007C3658" w:rsidRDefault="002E7CF8" w:rsidP="00D23C5A">
      <w:pPr>
        <w:pStyle w:val="ListParagraph"/>
        <w:jc w:val="both"/>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E7CF8" w:rsidRPr="00EB4050" w14:paraId="432307F2" w14:textId="77777777" w:rsidTr="0051123E">
        <w:trPr>
          <w:trHeight w:val="423"/>
        </w:trPr>
        <w:tc>
          <w:tcPr>
            <w:tcW w:w="4621" w:type="dxa"/>
            <w:shd w:val="clear" w:color="auto" w:fill="D9D9D9" w:themeFill="background1" w:themeFillShade="D9"/>
            <w:vAlign w:val="center"/>
          </w:tcPr>
          <w:p w14:paraId="6A7CA656" w14:textId="77777777" w:rsidR="002E7CF8" w:rsidRPr="009A7FAE" w:rsidRDefault="002E7CF8" w:rsidP="00D23C5A">
            <w:pPr>
              <w:jc w:val="both"/>
              <w:rPr>
                <w:rFonts w:cs="Tahoma"/>
                <w:b/>
              </w:rPr>
            </w:pPr>
            <w:r w:rsidRPr="009A7FAE">
              <w:rPr>
                <w:rFonts w:cs="Tahoma"/>
                <w:b/>
              </w:rPr>
              <w:t>Employers Liability</w:t>
            </w:r>
            <w:r w:rsidRPr="009A7FAE">
              <w:rPr>
                <w:rFonts w:cs="Tahoma"/>
                <w:b/>
              </w:rPr>
              <w:tab/>
            </w:r>
          </w:p>
        </w:tc>
        <w:tc>
          <w:tcPr>
            <w:tcW w:w="4621" w:type="dxa"/>
            <w:vAlign w:val="center"/>
          </w:tcPr>
          <w:p w14:paraId="4B061366" w14:textId="77777777" w:rsidR="002E7CF8" w:rsidRPr="009A7FAE" w:rsidRDefault="002E7CF8" w:rsidP="00D23C5A">
            <w:pPr>
              <w:jc w:val="both"/>
              <w:rPr>
                <w:rFonts w:cs="Tahoma"/>
              </w:rPr>
            </w:pPr>
            <w:r w:rsidRPr="009A7FAE">
              <w:rPr>
                <w:rFonts w:cs="Tahoma"/>
              </w:rPr>
              <w:t>Limit of Indemnity - £10,000,000</w:t>
            </w:r>
          </w:p>
        </w:tc>
      </w:tr>
      <w:tr w:rsidR="002E7CF8" w:rsidRPr="00EB4050" w14:paraId="13962FCE" w14:textId="77777777" w:rsidTr="0051123E">
        <w:trPr>
          <w:trHeight w:val="414"/>
        </w:trPr>
        <w:tc>
          <w:tcPr>
            <w:tcW w:w="4621" w:type="dxa"/>
            <w:shd w:val="clear" w:color="auto" w:fill="D9D9D9" w:themeFill="background1" w:themeFillShade="D9"/>
            <w:vAlign w:val="center"/>
          </w:tcPr>
          <w:p w14:paraId="31F4AB3A" w14:textId="77777777" w:rsidR="002E7CF8" w:rsidRPr="009A7FAE" w:rsidRDefault="002E7CF8" w:rsidP="00D23C5A">
            <w:pPr>
              <w:jc w:val="both"/>
              <w:rPr>
                <w:rFonts w:cs="Tahoma"/>
                <w:b/>
              </w:rPr>
            </w:pPr>
            <w:r w:rsidRPr="009A7FAE">
              <w:rPr>
                <w:rFonts w:cs="Tahoma"/>
                <w:b/>
              </w:rPr>
              <w:t>Public Liability</w:t>
            </w:r>
            <w:r w:rsidRPr="009A7FAE">
              <w:rPr>
                <w:rFonts w:cs="Tahoma"/>
                <w:b/>
              </w:rPr>
              <w:tab/>
            </w:r>
          </w:p>
        </w:tc>
        <w:tc>
          <w:tcPr>
            <w:tcW w:w="4621" w:type="dxa"/>
            <w:vAlign w:val="center"/>
          </w:tcPr>
          <w:p w14:paraId="1259A185" w14:textId="77777777" w:rsidR="002E7CF8" w:rsidRPr="009A7FAE" w:rsidRDefault="002E7CF8" w:rsidP="00D23C5A">
            <w:pPr>
              <w:jc w:val="both"/>
              <w:rPr>
                <w:rFonts w:cs="Tahoma"/>
              </w:rPr>
            </w:pPr>
            <w:r w:rsidRPr="009A7FAE">
              <w:rPr>
                <w:rFonts w:cs="Tahoma"/>
              </w:rPr>
              <w:t>Limit of Indemnity - £5,000,000</w:t>
            </w:r>
          </w:p>
        </w:tc>
      </w:tr>
      <w:tr w:rsidR="002E7CF8" w:rsidRPr="00EB4050" w14:paraId="52268B98" w14:textId="77777777" w:rsidTr="0051123E">
        <w:trPr>
          <w:trHeight w:val="407"/>
        </w:trPr>
        <w:tc>
          <w:tcPr>
            <w:tcW w:w="4621" w:type="dxa"/>
            <w:shd w:val="clear" w:color="auto" w:fill="D9D9D9" w:themeFill="background1" w:themeFillShade="D9"/>
            <w:vAlign w:val="center"/>
          </w:tcPr>
          <w:p w14:paraId="03B4A611" w14:textId="77777777" w:rsidR="002E7CF8" w:rsidRPr="009A7FAE" w:rsidRDefault="002E7CF8" w:rsidP="00D23C5A">
            <w:pPr>
              <w:jc w:val="both"/>
              <w:rPr>
                <w:rFonts w:cs="Tahoma"/>
                <w:b/>
              </w:rPr>
            </w:pPr>
            <w:r w:rsidRPr="009A7FAE">
              <w:rPr>
                <w:rFonts w:cs="Tahoma"/>
                <w:b/>
              </w:rPr>
              <w:t>Professional Indemnity</w:t>
            </w:r>
          </w:p>
        </w:tc>
        <w:tc>
          <w:tcPr>
            <w:tcW w:w="4621" w:type="dxa"/>
            <w:vAlign w:val="center"/>
          </w:tcPr>
          <w:p w14:paraId="44537E71" w14:textId="77777777" w:rsidR="002E7CF8" w:rsidRPr="009A7FAE" w:rsidRDefault="002E7CF8" w:rsidP="00D23C5A">
            <w:pPr>
              <w:jc w:val="both"/>
              <w:rPr>
                <w:rFonts w:cs="Tahoma"/>
              </w:rPr>
            </w:pPr>
            <w:r w:rsidRPr="009A7FAE">
              <w:rPr>
                <w:rFonts w:cs="Tahoma"/>
              </w:rPr>
              <w:t>Limit of Indemnity - £</w:t>
            </w:r>
            <w:r>
              <w:rPr>
                <w:rFonts w:cs="Tahoma"/>
              </w:rPr>
              <w:t>1</w:t>
            </w:r>
            <w:r w:rsidRPr="009A7FAE">
              <w:rPr>
                <w:rFonts w:cs="Tahoma"/>
              </w:rPr>
              <w:t>,000,000</w:t>
            </w:r>
          </w:p>
        </w:tc>
      </w:tr>
    </w:tbl>
    <w:p w14:paraId="2BC61831" w14:textId="77777777" w:rsidR="002E7CF8" w:rsidRPr="007C3658" w:rsidRDefault="002E7CF8" w:rsidP="00D23C5A">
      <w:pPr>
        <w:jc w:val="both"/>
        <w:rPr>
          <w:rFonts w:cs="Tahoma"/>
        </w:rPr>
      </w:pPr>
    </w:p>
    <w:p w14:paraId="699ADEB3" w14:textId="77777777" w:rsidR="002E7CF8" w:rsidRDefault="002E7CF8" w:rsidP="00D23C5A">
      <w:pPr>
        <w:jc w:val="both"/>
        <w:rPr>
          <w:rFonts w:cs="Tahoma"/>
          <w:color w:val="FF0000"/>
        </w:rPr>
      </w:pPr>
      <w:r>
        <w:rPr>
          <w:rFonts w:cs="Tahoma"/>
          <w:color w:val="FF0000"/>
        </w:rPr>
        <w:t xml:space="preserve">(UWTSD </w:t>
      </w:r>
      <w:r w:rsidRPr="007C3658">
        <w:rPr>
          <w:rFonts w:cs="Tahoma"/>
          <w:color w:val="FF0000"/>
        </w:rPr>
        <w:t xml:space="preserve">will only contract with an organisation that holds the required levels of insurance as set out above, or those who are willing to bring these levels into effect for the </w:t>
      </w:r>
      <w:r>
        <w:rPr>
          <w:rFonts w:cs="Tahoma"/>
          <w:color w:val="FF0000"/>
        </w:rPr>
        <w:t xml:space="preserve">contract </w:t>
      </w:r>
      <w:r w:rsidRPr="007C3658">
        <w:rPr>
          <w:rFonts w:cs="Tahoma"/>
          <w:color w:val="FF0000"/>
        </w:rPr>
        <w:t>start date).</w:t>
      </w:r>
    </w:p>
    <w:p w14:paraId="269CD279" w14:textId="694324C0" w:rsidR="0041179E" w:rsidRPr="00B377EB" w:rsidRDefault="0041179E" w:rsidP="00D23C5A">
      <w:pPr>
        <w:jc w:val="both"/>
        <w:rPr>
          <w:lang w:val="en-GB" w:eastAsia="en-GB"/>
        </w:rPr>
      </w:pPr>
    </w:p>
    <w:p w14:paraId="5C92F411" w14:textId="10CC40D5" w:rsidR="002E7CF8" w:rsidRDefault="002E7CF8" w:rsidP="00573301">
      <w:pPr>
        <w:pStyle w:val="Heading1"/>
      </w:pPr>
      <w:bookmarkStart w:id="26" w:name="_Toc205559947"/>
      <w:r w:rsidRPr="00E43213">
        <w:t>Scope of Requirement</w:t>
      </w:r>
      <w:r w:rsidR="00EC457D">
        <w:t xml:space="preserve"> and Framework Structure</w:t>
      </w:r>
      <w:bookmarkEnd w:id="26"/>
    </w:p>
    <w:p w14:paraId="0A2DD5A3" w14:textId="77777777" w:rsidR="00EC457D" w:rsidRDefault="00EC457D" w:rsidP="00D23C5A">
      <w:pPr>
        <w:jc w:val="both"/>
      </w:pPr>
    </w:p>
    <w:p w14:paraId="3AD0C315" w14:textId="50C81DC5" w:rsidR="00EC457D" w:rsidRPr="0001260C" w:rsidRDefault="00EC457D" w:rsidP="00D23C5A">
      <w:pPr>
        <w:jc w:val="both"/>
      </w:pPr>
      <w:r w:rsidRPr="0001260C">
        <w:t>The Framework Agreement is divided into two (2) Lots.</w:t>
      </w:r>
    </w:p>
    <w:p w14:paraId="0CAA0F30" w14:textId="70959A6B" w:rsidR="002E7CF8" w:rsidRPr="0001260C" w:rsidRDefault="00EC457D" w:rsidP="00D23C5A">
      <w:pPr>
        <w:jc w:val="both"/>
      </w:pPr>
      <w:r w:rsidRPr="0001260C">
        <w:t>Further details on the specific scope of requirements for each Lot are provided in the following appendices:</w:t>
      </w:r>
    </w:p>
    <w:p w14:paraId="39B6ED54" w14:textId="77777777" w:rsidR="00EC457D" w:rsidRPr="0001260C" w:rsidRDefault="00EC457D" w:rsidP="00D23C5A">
      <w:pPr>
        <w:jc w:val="both"/>
        <w:rPr>
          <w:b/>
          <w:bCs/>
          <w:sz w:val="18"/>
          <w:u w:val="single"/>
          <w:lang w:val="en-GB"/>
        </w:rPr>
      </w:pPr>
    </w:p>
    <w:p w14:paraId="73156433" w14:textId="3E811184" w:rsidR="002E7CF8" w:rsidRPr="0001260C" w:rsidRDefault="002E7CF8" w:rsidP="00D23C5A">
      <w:pPr>
        <w:jc w:val="both"/>
      </w:pPr>
      <w:r w:rsidRPr="0001260C">
        <w:t>Please refer to the following appendixes for further information on the scope of requirements for the specific lots</w:t>
      </w:r>
      <w:r w:rsidR="00EC457D" w:rsidRPr="0001260C">
        <w:t>.</w:t>
      </w:r>
    </w:p>
    <w:p w14:paraId="16B1E879" w14:textId="77777777" w:rsidR="002E7CF8" w:rsidRPr="0001260C" w:rsidRDefault="002E7CF8" w:rsidP="00D23C5A">
      <w:pPr>
        <w:jc w:val="both"/>
      </w:pPr>
    </w:p>
    <w:tbl>
      <w:tblPr>
        <w:tblStyle w:val="TableGrid"/>
        <w:tblW w:w="0" w:type="auto"/>
        <w:tblLook w:val="04A0" w:firstRow="1" w:lastRow="0" w:firstColumn="1" w:lastColumn="0" w:noHBand="0" w:noVBand="1"/>
      </w:tblPr>
      <w:tblGrid>
        <w:gridCol w:w="6091"/>
        <w:gridCol w:w="3169"/>
      </w:tblGrid>
      <w:tr w:rsidR="002E7CF8" w:rsidRPr="0001260C" w14:paraId="28F70709" w14:textId="77777777" w:rsidTr="0010409D">
        <w:tc>
          <w:tcPr>
            <w:tcW w:w="6091" w:type="dxa"/>
          </w:tcPr>
          <w:p w14:paraId="723D2CD8" w14:textId="06F17052" w:rsidR="00EC457D" w:rsidRPr="0001260C" w:rsidRDefault="002E7CF8" w:rsidP="00D23C5A">
            <w:pPr>
              <w:pStyle w:val="BodyText"/>
              <w:ind w:right="116"/>
              <w:jc w:val="both"/>
              <w:rPr>
                <w:rFonts w:asciiTheme="minorHAnsi" w:hAnsiTheme="minorHAnsi" w:cstheme="minorHAnsi"/>
                <w:szCs w:val="20"/>
                <w:lang w:val="en-US"/>
              </w:rPr>
            </w:pPr>
            <w:r w:rsidRPr="0001260C">
              <w:rPr>
                <w:rFonts w:asciiTheme="minorHAnsi" w:hAnsiTheme="minorHAnsi" w:cstheme="minorHAnsi"/>
                <w:szCs w:val="20"/>
              </w:rPr>
              <w:t>Lot 1, General Project Management and Estates Services Consultancy</w:t>
            </w:r>
            <w:r w:rsidR="00EC457D" w:rsidRPr="0001260C">
              <w:rPr>
                <w:rFonts w:asciiTheme="minorHAnsi" w:hAnsiTheme="minorHAnsi" w:cstheme="minorHAnsi"/>
                <w:szCs w:val="20"/>
              </w:rPr>
              <w:t>.</w:t>
            </w:r>
          </w:p>
          <w:p w14:paraId="42302BD2" w14:textId="2B5D3856" w:rsidR="00EC457D" w:rsidRPr="0001260C" w:rsidRDefault="00EC457D" w:rsidP="00D23C5A">
            <w:pPr>
              <w:pStyle w:val="BodyText"/>
              <w:ind w:right="116"/>
              <w:jc w:val="both"/>
              <w:rPr>
                <w:rFonts w:asciiTheme="minorHAnsi" w:hAnsiTheme="minorHAnsi" w:cstheme="minorHAnsi"/>
                <w:szCs w:val="20"/>
                <w:lang w:val="en-US"/>
              </w:rPr>
            </w:pPr>
            <w:r w:rsidRPr="0001260C">
              <w:rPr>
                <w:rFonts w:asciiTheme="minorHAnsi" w:hAnsiTheme="minorHAnsi" w:cstheme="minorHAnsi"/>
                <w:szCs w:val="20"/>
              </w:rPr>
              <w:t>Scope of Requirements File</w:t>
            </w:r>
          </w:p>
        </w:tc>
        <w:tc>
          <w:tcPr>
            <w:tcW w:w="3169" w:type="dxa"/>
          </w:tcPr>
          <w:p w14:paraId="4D0DE42A" w14:textId="77777777" w:rsidR="002E7CF8" w:rsidRPr="0001260C" w:rsidRDefault="002E7CF8" w:rsidP="00D23C5A">
            <w:pPr>
              <w:pStyle w:val="BodyText"/>
              <w:ind w:right="116"/>
              <w:jc w:val="both"/>
              <w:rPr>
                <w:rFonts w:asciiTheme="minorHAnsi" w:hAnsiTheme="minorHAnsi" w:cstheme="minorHAnsi"/>
                <w:szCs w:val="20"/>
                <w:lang w:val="en-US"/>
              </w:rPr>
            </w:pPr>
            <w:r w:rsidRPr="0001260C">
              <w:rPr>
                <w:rFonts w:asciiTheme="minorHAnsi" w:hAnsiTheme="minorHAnsi" w:cstheme="minorHAnsi"/>
                <w:szCs w:val="20"/>
              </w:rPr>
              <w:t>Appendix 1</w:t>
            </w:r>
          </w:p>
        </w:tc>
      </w:tr>
      <w:tr w:rsidR="002E7CF8" w:rsidRPr="0001260C" w14:paraId="76A8E6CD" w14:textId="77777777" w:rsidTr="0010409D">
        <w:tc>
          <w:tcPr>
            <w:tcW w:w="6091" w:type="dxa"/>
          </w:tcPr>
          <w:p w14:paraId="1481224F" w14:textId="7889C93F" w:rsidR="00EC457D" w:rsidRPr="0001260C" w:rsidRDefault="002E7CF8" w:rsidP="00D23C5A">
            <w:pPr>
              <w:pStyle w:val="BodyText"/>
              <w:ind w:right="116"/>
              <w:jc w:val="both"/>
              <w:rPr>
                <w:szCs w:val="20"/>
                <w:lang w:val="en-US"/>
              </w:rPr>
            </w:pPr>
            <w:r w:rsidRPr="0001260C">
              <w:rPr>
                <w:szCs w:val="20"/>
              </w:rPr>
              <w:t>Lot 2, Property Consultancy Services</w:t>
            </w:r>
            <w:r w:rsidR="00EC457D" w:rsidRPr="0001260C">
              <w:rPr>
                <w:szCs w:val="20"/>
              </w:rPr>
              <w:t>.</w:t>
            </w:r>
            <w:r w:rsidRPr="0001260C">
              <w:rPr>
                <w:szCs w:val="20"/>
              </w:rPr>
              <w:t xml:space="preserve"> </w:t>
            </w:r>
          </w:p>
          <w:p w14:paraId="27D5ADB3" w14:textId="108063D9" w:rsidR="00EC457D" w:rsidRPr="0001260C" w:rsidRDefault="00EC457D" w:rsidP="00D23C5A">
            <w:pPr>
              <w:pStyle w:val="BodyText"/>
              <w:ind w:right="116"/>
              <w:jc w:val="both"/>
              <w:rPr>
                <w:szCs w:val="20"/>
                <w:lang w:val="en-US"/>
              </w:rPr>
            </w:pPr>
            <w:r w:rsidRPr="0001260C">
              <w:rPr>
                <w:szCs w:val="20"/>
              </w:rPr>
              <w:t>Scope of Requirements File</w:t>
            </w:r>
          </w:p>
        </w:tc>
        <w:tc>
          <w:tcPr>
            <w:tcW w:w="3169" w:type="dxa"/>
          </w:tcPr>
          <w:p w14:paraId="4B75862A" w14:textId="77777777" w:rsidR="002E7CF8" w:rsidRPr="0001260C" w:rsidRDefault="002E7CF8" w:rsidP="00D23C5A">
            <w:pPr>
              <w:pStyle w:val="BodyText"/>
              <w:ind w:right="116"/>
              <w:jc w:val="both"/>
              <w:rPr>
                <w:szCs w:val="20"/>
                <w:lang w:val="en-US"/>
              </w:rPr>
            </w:pPr>
            <w:r w:rsidRPr="0001260C">
              <w:rPr>
                <w:szCs w:val="20"/>
              </w:rPr>
              <w:t>Appendix 2</w:t>
            </w:r>
          </w:p>
        </w:tc>
      </w:tr>
    </w:tbl>
    <w:p w14:paraId="4FE5CDD0" w14:textId="3E158C44" w:rsidR="0041179E" w:rsidRPr="0001260C" w:rsidRDefault="0041179E" w:rsidP="00D23C5A">
      <w:pPr>
        <w:jc w:val="both"/>
        <w:rPr>
          <w:rFonts w:asciiTheme="minorHAnsi" w:hAnsiTheme="minorHAnsi" w:cstheme="minorHAnsi"/>
          <w:szCs w:val="20"/>
          <w:lang w:val="en-GB" w:eastAsia="en-GB"/>
        </w:rPr>
      </w:pPr>
    </w:p>
    <w:p w14:paraId="7F2761E7" w14:textId="58E5BA36" w:rsidR="00F22D5C" w:rsidRPr="0001260C" w:rsidRDefault="00EC457D" w:rsidP="00D23C5A">
      <w:pPr>
        <w:jc w:val="both"/>
      </w:pPr>
      <w:r w:rsidRPr="0001260C">
        <w:t>The Appendices are available via Sell2Wales, as separate documents.</w:t>
      </w:r>
    </w:p>
    <w:bookmarkEnd w:id="25"/>
    <w:p w14:paraId="219F6F2F" w14:textId="77777777" w:rsidR="00F22D5C" w:rsidRPr="00837956" w:rsidRDefault="00F22D5C" w:rsidP="00D23C5A">
      <w:pPr>
        <w:pStyle w:val="BodyText"/>
        <w:spacing w:line="256" w:lineRule="auto"/>
        <w:ind w:right="116"/>
        <w:jc w:val="both"/>
        <w:rPr>
          <w:rFonts w:asciiTheme="minorHAnsi" w:hAnsiTheme="minorHAnsi" w:cstheme="minorHAnsi"/>
          <w:lang w:val="en-GB"/>
        </w:rPr>
      </w:pPr>
    </w:p>
    <w:p w14:paraId="51086B56" w14:textId="12896F1B" w:rsidR="00846570" w:rsidRPr="000617FC" w:rsidRDefault="00846570" w:rsidP="00573301">
      <w:pPr>
        <w:pStyle w:val="Heading1"/>
      </w:pPr>
      <w:bookmarkStart w:id="27" w:name="_Toc205559948"/>
      <w:r w:rsidRPr="000617FC">
        <w:t xml:space="preserve">General </w:t>
      </w:r>
      <w:r w:rsidR="00703173" w:rsidRPr="000617FC">
        <w:t>information</w:t>
      </w:r>
      <w:bookmarkEnd w:id="27"/>
    </w:p>
    <w:p w14:paraId="71C1B688" w14:textId="77777777" w:rsidR="00846570" w:rsidRPr="00846570" w:rsidRDefault="00846570" w:rsidP="00D23C5A">
      <w:pPr>
        <w:pStyle w:val="NormalWeb"/>
        <w:jc w:val="both"/>
        <w:rPr>
          <w:rFonts w:asciiTheme="minorHAnsi" w:hAnsiTheme="minorHAnsi" w:cstheme="minorHAnsi"/>
          <w:sz w:val="20"/>
          <w:szCs w:val="20"/>
        </w:rPr>
      </w:pPr>
      <w:r w:rsidRPr="00846570">
        <w:rPr>
          <w:rStyle w:val="Strong"/>
          <w:rFonts w:asciiTheme="minorHAnsi" w:hAnsiTheme="minorHAnsi" w:cstheme="minorHAnsi"/>
          <w:sz w:val="20"/>
          <w:szCs w:val="20"/>
        </w:rPr>
        <w:t>Please note that the following aspects are applicable to Lot 1 and Lot 2.</w:t>
      </w:r>
    </w:p>
    <w:p w14:paraId="42AD9E1D" w14:textId="5040F09E" w:rsidR="00D23C5A" w:rsidRDefault="00846570" w:rsidP="00D23C5A">
      <w:pPr>
        <w:pStyle w:val="Heading2"/>
        <w:jc w:val="both"/>
        <w:rPr>
          <w:rStyle w:val="Strong"/>
          <w:b/>
          <w:bCs/>
        </w:rPr>
      </w:pPr>
      <w:bookmarkStart w:id="28" w:name="_Toc205559949"/>
      <w:r w:rsidRPr="00F54335">
        <w:rPr>
          <w:rStyle w:val="Strong"/>
          <w:b/>
          <w:bCs/>
        </w:rPr>
        <w:t>Staffing</w:t>
      </w:r>
      <w:bookmarkEnd w:id="28"/>
    </w:p>
    <w:p w14:paraId="69185F3E" w14:textId="77777777" w:rsidR="00D23C5A" w:rsidRPr="00846570" w:rsidRDefault="00D23C5A" w:rsidP="00D23C5A">
      <w:pPr>
        <w:jc w:val="both"/>
      </w:pPr>
    </w:p>
    <w:p w14:paraId="48858D3C" w14:textId="2652F257" w:rsidR="00846570" w:rsidRDefault="00660274" w:rsidP="00D23C5A">
      <w:pPr>
        <w:jc w:val="both"/>
      </w:pPr>
      <w:r w:rsidRPr="0001260C">
        <w:t>Consultants</w:t>
      </w:r>
      <w:r w:rsidR="00846570" w:rsidRPr="0001260C">
        <w:t xml:space="preserve"> are expected to ensure they have sufficient management and technical resources available throughout the duration of the Framework to ensure that service provision is efficiently managed and delivered to the required standards, in line with the </w:t>
      </w:r>
      <w:r w:rsidR="00EC457D" w:rsidRPr="0001260C">
        <w:t>Lot specific</w:t>
      </w:r>
      <w:r w:rsidR="003C5C20" w:rsidRPr="0001260C">
        <w:t xml:space="preserve"> Scope of</w:t>
      </w:r>
      <w:r w:rsidR="00846570" w:rsidRPr="0001260C">
        <w:t xml:space="preserve"> Requirements.</w:t>
      </w:r>
    </w:p>
    <w:p w14:paraId="5727C174" w14:textId="77777777" w:rsidR="0001260C" w:rsidRPr="0001260C" w:rsidRDefault="0001260C" w:rsidP="00D23C5A">
      <w:pPr>
        <w:jc w:val="both"/>
      </w:pPr>
    </w:p>
    <w:p w14:paraId="468806AC" w14:textId="3FB92E62" w:rsidR="00846570" w:rsidRDefault="00846570" w:rsidP="00D23C5A">
      <w:pPr>
        <w:jc w:val="both"/>
      </w:pPr>
      <w:r w:rsidRPr="0001260C">
        <w:t>Management staff must possess suitable strategic and operational contract management skills, as well as the expertise necessary to manage the ongoing service provision. They are also responsible for ensuring effective customer relationship management with</w:t>
      </w:r>
      <w:r w:rsidR="001C53FD" w:rsidRPr="0001260C">
        <w:t xml:space="preserve"> all </w:t>
      </w:r>
      <w:r w:rsidR="00EB56C2" w:rsidRPr="0001260C">
        <w:t>institutions.</w:t>
      </w:r>
    </w:p>
    <w:p w14:paraId="3E354BBB" w14:textId="77777777" w:rsidR="0001260C" w:rsidRPr="0001260C" w:rsidRDefault="0001260C" w:rsidP="00D23C5A">
      <w:pPr>
        <w:jc w:val="both"/>
      </w:pPr>
    </w:p>
    <w:p w14:paraId="6B74C016" w14:textId="1C4B792C" w:rsidR="00846570" w:rsidRDefault="00846570" w:rsidP="00D23C5A">
      <w:pPr>
        <w:jc w:val="both"/>
      </w:pPr>
      <w:r w:rsidRPr="0001260C">
        <w:t xml:space="preserve">Additionally, </w:t>
      </w:r>
      <w:r w:rsidR="00660274" w:rsidRPr="0001260C">
        <w:t>Consultants</w:t>
      </w:r>
      <w:r w:rsidRPr="0001260C">
        <w:t xml:space="preserve"> should demonstrate that they have the necessary skills and processes in place to prevent any disruption in service levels in the event of staff absence or changes during the Framework Agreement.</w:t>
      </w:r>
    </w:p>
    <w:p w14:paraId="67F9EBD7" w14:textId="77777777" w:rsidR="00D23C5A" w:rsidRPr="0001260C" w:rsidRDefault="00D23C5A" w:rsidP="00D23C5A">
      <w:pPr>
        <w:jc w:val="both"/>
      </w:pPr>
    </w:p>
    <w:p w14:paraId="78F9F065" w14:textId="77777777" w:rsidR="00846570" w:rsidRPr="00846570" w:rsidRDefault="00846570" w:rsidP="00D23C5A">
      <w:pPr>
        <w:pStyle w:val="Heading2"/>
        <w:jc w:val="both"/>
      </w:pPr>
      <w:bookmarkStart w:id="29" w:name="_Toc205559950"/>
      <w:r w:rsidRPr="00F54335">
        <w:rPr>
          <w:rStyle w:val="Strong"/>
          <w:b/>
          <w:bCs/>
        </w:rPr>
        <w:t>Skills</w:t>
      </w:r>
      <w:r w:rsidRPr="00846570">
        <w:rPr>
          <w:rStyle w:val="Strong"/>
          <w:rFonts w:asciiTheme="minorHAnsi" w:hAnsiTheme="minorHAnsi" w:cstheme="minorHAnsi"/>
          <w:szCs w:val="20"/>
        </w:rPr>
        <w:t xml:space="preserve">, </w:t>
      </w:r>
      <w:r w:rsidRPr="00F54335">
        <w:rPr>
          <w:rStyle w:val="Strong"/>
          <w:b/>
          <w:bCs/>
        </w:rPr>
        <w:t>Knowledge</w:t>
      </w:r>
      <w:r w:rsidRPr="00846570">
        <w:rPr>
          <w:rStyle w:val="Strong"/>
          <w:rFonts w:asciiTheme="minorHAnsi" w:hAnsiTheme="minorHAnsi" w:cstheme="minorHAnsi"/>
          <w:szCs w:val="20"/>
        </w:rPr>
        <w:t xml:space="preserve">, </w:t>
      </w:r>
      <w:r w:rsidRPr="00F54335">
        <w:rPr>
          <w:rStyle w:val="Strong"/>
          <w:b/>
          <w:bCs/>
        </w:rPr>
        <w:t>and</w:t>
      </w:r>
      <w:r w:rsidRPr="00846570">
        <w:rPr>
          <w:rStyle w:val="Strong"/>
          <w:rFonts w:asciiTheme="minorHAnsi" w:hAnsiTheme="minorHAnsi" w:cstheme="minorHAnsi"/>
          <w:szCs w:val="20"/>
        </w:rPr>
        <w:t xml:space="preserve"> </w:t>
      </w:r>
      <w:r w:rsidRPr="00F54335">
        <w:rPr>
          <w:rStyle w:val="Strong"/>
          <w:b/>
          <w:bCs/>
        </w:rPr>
        <w:t>Expertise</w:t>
      </w:r>
      <w:bookmarkEnd w:id="29"/>
    </w:p>
    <w:p w14:paraId="6C83A0D6" w14:textId="77777777" w:rsidR="00D23C5A" w:rsidRDefault="00D23C5A" w:rsidP="00D23C5A">
      <w:pPr>
        <w:jc w:val="both"/>
      </w:pPr>
    </w:p>
    <w:p w14:paraId="306B94C6" w14:textId="0F0FCEF7" w:rsidR="00846570" w:rsidRDefault="00846570" w:rsidP="00D23C5A">
      <w:pPr>
        <w:jc w:val="both"/>
      </w:pPr>
      <w:r w:rsidRPr="0001260C">
        <w:t xml:space="preserve">The </w:t>
      </w:r>
      <w:r w:rsidR="00660274" w:rsidRPr="0001260C">
        <w:t>Consultant</w:t>
      </w:r>
      <w:r w:rsidRPr="0001260C">
        <w:t xml:space="preserve"> must be able to identify and focus on key problems and issues that need to be addressed and managed. Furthermore, they should be capable of communicating complex issues in a clear and understandable manner.</w:t>
      </w:r>
    </w:p>
    <w:p w14:paraId="2CE49FAB" w14:textId="77777777" w:rsidR="0001260C" w:rsidRPr="0001260C" w:rsidRDefault="0001260C" w:rsidP="00D23C5A">
      <w:pPr>
        <w:jc w:val="both"/>
      </w:pPr>
    </w:p>
    <w:p w14:paraId="2A372D39" w14:textId="408F8946" w:rsidR="00846570" w:rsidRDefault="00846570" w:rsidP="00D23C5A">
      <w:pPr>
        <w:jc w:val="both"/>
      </w:pPr>
      <w:r w:rsidRPr="0001260C">
        <w:t>The C</w:t>
      </w:r>
      <w:r w:rsidR="00660274" w:rsidRPr="0001260C">
        <w:t>onsultant</w:t>
      </w:r>
      <w:r w:rsidRPr="0001260C">
        <w:t xml:space="preserve"> must also be able and willing to assist in facilitating decision-</w:t>
      </w:r>
      <w:r w:rsidR="001C53FD" w:rsidRPr="0001260C">
        <w:t>making when required</w:t>
      </w:r>
      <w:r w:rsidRPr="0001260C">
        <w:t>.</w:t>
      </w:r>
    </w:p>
    <w:p w14:paraId="274754A5" w14:textId="77777777" w:rsidR="00D23C5A" w:rsidRDefault="00D23C5A" w:rsidP="00D23C5A">
      <w:pPr>
        <w:jc w:val="both"/>
      </w:pPr>
    </w:p>
    <w:p w14:paraId="21CEAD83" w14:textId="77777777" w:rsidR="00846570" w:rsidRPr="00846570" w:rsidRDefault="00846570" w:rsidP="00D23C5A">
      <w:pPr>
        <w:pStyle w:val="Heading2"/>
        <w:jc w:val="both"/>
      </w:pPr>
      <w:bookmarkStart w:id="30" w:name="_Toc205559951"/>
      <w:r w:rsidRPr="00F54335">
        <w:rPr>
          <w:rStyle w:val="Strong"/>
          <w:b/>
          <w:bCs/>
        </w:rPr>
        <w:t>Legislation</w:t>
      </w:r>
      <w:bookmarkEnd w:id="30"/>
    </w:p>
    <w:p w14:paraId="1A54CD20" w14:textId="77777777" w:rsidR="00D23C5A" w:rsidRDefault="00D23C5A" w:rsidP="00D23C5A">
      <w:pPr>
        <w:jc w:val="both"/>
      </w:pPr>
    </w:p>
    <w:p w14:paraId="10E35136" w14:textId="4F340947" w:rsidR="00846570" w:rsidRDefault="00846570" w:rsidP="00D23C5A">
      <w:pPr>
        <w:jc w:val="both"/>
      </w:pPr>
      <w:r w:rsidRPr="0001260C">
        <w:t xml:space="preserve">The </w:t>
      </w:r>
      <w:r w:rsidR="00660274" w:rsidRPr="0001260C">
        <w:t>Consultant</w:t>
      </w:r>
      <w:r w:rsidRPr="0001260C">
        <w:t xml:space="preserve"> must ensure that all services are provided in compliance with all relevant legislation and regulations.</w:t>
      </w:r>
    </w:p>
    <w:p w14:paraId="5F319AC5" w14:textId="77777777" w:rsidR="00D23C5A" w:rsidRDefault="00D23C5A" w:rsidP="00D23C5A">
      <w:pPr>
        <w:jc w:val="both"/>
      </w:pPr>
    </w:p>
    <w:p w14:paraId="7AAF9830" w14:textId="77777777" w:rsidR="0001260C" w:rsidRPr="0001260C" w:rsidRDefault="0001260C" w:rsidP="00D23C5A">
      <w:pPr>
        <w:jc w:val="both"/>
      </w:pPr>
    </w:p>
    <w:p w14:paraId="7BAF3731" w14:textId="77777777" w:rsidR="00846570" w:rsidRPr="00F54335" w:rsidRDefault="00846570" w:rsidP="00D23C5A">
      <w:pPr>
        <w:pStyle w:val="Heading2"/>
        <w:jc w:val="both"/>
        <w:rPr>
          <w:b w:val="0"/>
        </w:rPr>
      </w:pPr>
      <w:bookmarkStart w:id="31" w:name="_Toc205559952"/>
      <w:r w:rsidRPr="00F54335">
        <w:rPr>
          <w:rStyle w:val="Strong"/>
          <w:rFonts w:asciiTheme="minorHAnsi" w:hAnsiTheme="minorHAnsi" w:cstheme="minorHAnsi"/>
          <w:b/>
          <w:szCs w:val="20"/>
        </w:rPr>
        <w:t xml:space="preserve">Service </w:t>
      </w:r>
      <w:r w:rsidRPr="00F54335">
        <w:rPr>
          <w:rStyle w:val="Strong"/>
          <w:b/>
          <w:bCs/>
        </w:rPr>
        <w:t>Management</w:t>
      </w:r>
      <w:bookmarkEnd w:id="31"/>
    </w:p>
    <w:p w14:paraId="4572E0C3" w14:textId="77777777" w:rsidR="00D23C5A" w:rsidRDefault="00D23C5A" w:rsidP="00D23C5A">
      <w:pPr>
        <w:jc w:val="both"/>
        <w:rPr>
          <w:lang w:val="en-GB" w:eastAsia="en-GB"/>
        </w:rPr>
      </w:pPr>
    </w:p>
    <w:p w14:paraId="32B17823" w14:textId="424E006B" w:rsidR="001C53FD" w:rsidRPr="0001260C" w:rsidRDefault="001C53FD" w:rsidP="00D23C5A">
      <w:pPr>
        <w:jc w:val="both"/>
        <w:rPr>
          <w:lang w:val="en-GB" w:eastAsia="en-GB"/>
        </w:rPr>
      </w:pPr>
      <w:r w:rsidRPr="0001260C">
        <w:rPr>
          <w:lang w:val="en-GB" w:eastAsia="en-GB"/>
        </w:rPr>
        <w:t>For all call-off contracts under the Framework Agreement, the Consultant must:</w:t>
      </w:r>
    </w:p>
    <w:p w14:paraId="5D5A9235" w14:textId="77777777" w:rsidR="001C53FD" w:rsidRPr="0001260C" w:rsidRDefault="001C53FD" w:rsidP="00A8360C">
      <w:pPr>
        <w:widowControl/>
        <w:numPr>
          <w:ilvl w:val="0"/>
          <w:numId w:val="6"/>
        </w:numPr>
        <w:autoSpaceDE/>
        <w:autoSpaceDN/>
        <w:spacing w:before="100" w:beforeAutospacing="1" w:after="100" w:afterAutospacing="1"/>
        <w:jc w:val="both"/>
        <w:rPr>
          <w:rFonts w:eastAsia="Times New Roman"/>
          <w:szCs w:val="20"/>
          <w:lang w:val="en-GB" w:eastAsia="en-GB"/>
        </w:rPr>
      </w:pPr>
      <w:r w:rsidRPr="0001260C">
        <w:rPr>
          <w:rFonts w:eastAsia="Times New Roman"/>
          <w:szCs w:val="20"/>
          <w:lang w:val="en-GB" w:eastAsia="en-GB"/>
        </w:rPr>
        <w:t>Provide an email address and phone number for all initial and ongoing communications, and respond promptly.</w:t>
      </w:r>
    </w:p>
    <w:p w14:paraId="76A7DDA2" w14:textId="77777777" w:rsidR="001C53FD" w:rsidRPr="0001260C" w:rsidRDefault="001C53FD" w:rsidP="00A8360C">
      <w:pPr>
        <w:widowControl/>
        <w:numPr>
          <w:ilvl w:val="0"/>
          <w:numId w:val="6"/>
        </w:numPr>
        <w:autoSpaceDE/>
        <w:autoSpaceDN/>
        <w:spacing w:before="100" w:beforeAutospacing="1" w:after="100" w:afterAutospacing="1"/>
        <w:jc w:val="both"/>
        <w:rPr>
          <w:rFonts w:eastAsia="Times New Roman"/>
          <w:szCs w:val="20"/>
          <w:lang w:val="en-GB" w:eastAsia="en-GB"/>
        </w:rPr>
      </w:pPr>
      <w:r w:rsidRPr="0001260C">
        <w:rPr>
          <w:rFonts w:eastAsia="Times New Roman"/>
          <w:szCs w:val="20"/>
          <w:lang w:val="en-GB" w:eastAsia="en-GB"/>
        </w:rPr>
        <w:t>Appoint a named point of contact and a deputy for the duration of the contract. If either contact changes, a suitably qualified and experienced replacement must be provided. The Authority’s Contract Manager may request an alternative replacement with justification.</w:t>
      </w:r>
    </w:p>
    <w:p w14:paraId="20EE7CA6" w14:textId="77777777" w:rsidR="001C53FD" w:rsidRPr="0001260C" w:rsidRDefault="001C53FD" w:rsidP="00A8360C">
      <w:pPr>
        <w:widowControl/>
        <w:numPr>
          <w:ilvl w:val="0"/>
          <w:numId w:val="6"/>
        </w:numPr>
        <w:autoSpaceDE/>
        <w:autoSpaceDN/>
        <w:spacing w:before="100" w:beforeAutospacing="1" w:after="100" w:afterAutospacing="1"/>
        <w:jc w:val="both"/>
        <w:rPr>
          <w:rFonts w:eastAsia="Times New Roman"/>
          <w:szCs w:val="20"/>
          <w:lang w:val="en-GB" w:eastAsia="en-GB"/>
        </w:rPr>
      </w:pPr>
      <w:r w:rsidRPr="0001260C">
        <w:rPr>
          <w:rFonts w:eastAsia="Times New Roman"/>
          <w:szCs w:val="20"/>
          <w:lang w:val="en-GB" w:eastAsia="en-GB"/>
        </w:rPr>
        <w:t>Be available to attend meetings either in person or via Teams, including at short notice, and show flexibility where possible.</w:t>
      </w:r>
    </w:p>
    <w:p w14:paraId="7830BC40" w14:textId="1994FC7A" w:rsidR="001C53FD" w:rsidRPr="0001260C" w:rsidRDefault="001C53FD" w:rsidP="00A8360C">
      <w:pPr>
        <w:widowControl/>
        <w:numPr>
          <w:ilvl w:val="0"/>
          <w:numId w:val="6"/>
        </w:numPr>
        <w:autoSpaceDE/>
        <w:autoSpaceDN/>
        <w:spacing w:before="100" w:beforeAutospacing="1" w:after="100" w:afterAutospacing="1"/>
        <w:jc w:val="both"/>
        <w:rPr>
          <w:rFonts w:eastAsia="Times New Roman"/>
          <w:szCs w:val="20"/>
          <w:lang w:val="en-GB" w:eastAsia="en-GB"/>
        </w:rPr>
      </w:pPr>
      <w:r w:rsidRPr="0001260C">
        <w:rPr>
          <w:rFonts w:eastAsia="Times New Roman"/>
          <w:szCs w:val="20"/>
          <w:lang w:val="en-GB" w:eastAsia="en-GB"/>
        </w:rPr>
        <w:t>Adhere to all timescales set by the institutions in line with the project requirements.</w:t>
      </w:r>
    </w:p>
    <w:p w14:paraId="06D08369" w14:textId="77777777" w:rsidR="00846570" w:rsidRPr="00F54335" w:rsidRDefault="00846570" w:rsidP="00D23C5A">
      <w:pPr>
        <w:pStyle w:val="Heading2"/>
        <w:jc w:val="both"/>
        <w:rPr>
          <w:b w:val="0"/>
        </w:rPr>
      </w:pPr>
      <w:bookmarkStart w:id="32" w:name="_Toc205559953"/>
      <w:r w:rsidRPr="00F54335">
        <w:rPr>
          <w:rStyle w:val="Strong"/>
          <w:rFonts w:asciiTheme="minorHAnsi" w:hAnsiTheme="minorHAnsi" w:cstheme="minorHAnsi"/>
          <w:b/>
          <w:szCs w:val="20"/>
        </w:rPr>
        <w:t>Exit Strategy</w:t>
      </w:r>
      <w:bookmarkEnd w:id="32"/>
    </w:p>
    <w:p w14:paraId="2F0C2A9E" w14:textId="77777777" w:rsidR="00D23C5A" w:rsidRDefault="00D23C5A" w:rsidP="00D23C5A">
      <w:pPr>
        <w:jc w:val="both"/>
      </w:pPr>
    </w:p>
    <w:p w14:paraId="084DFA43" w14:textId="63257526" w:rsidR="00846570" w:rsidRDefault="00846570" w:rsidP="00D23C5A">
      <w:pPr>
        <w:jc w:val="both"/>
      </w:pPr>
      <w:r w:rsidRPr="0001260C">
        <w:t xml:space="preserve">Upon completion of services, a full and complete handover, including knowledge transfer, will be required from the </w:t>
      </w:r>
      <w:r w:rsidR="00660274" w:rsidRPr="0001260C">
        <w:t>Consultant</w:t>
      </w:r>
      <w:r w:rsidRPr="0001260C">
        <w:t>, which may also involve coordination with other external parties. All documents, files, plans, and information must be handed over in a timely manner.</w:t>
      </w:r>
    </w:p>
    <w:p w14:paraId="1CB19382" w14:textId="77777777" w:rsidR="00D23C5A" w:rsidRPr="0001260C" w:rsidRDefault="00D23C5A" w:rsidP="00D23C5A">
      <w:pPr>
        <w:jc w:val="both"/>
      </w:pPr>
    </w:p>
    <w:p w14:paraId="328688C6" w14:textId="0BAAECAA" w:rsidR="00846570" w:rsidRDefault="00846570" w:rsidP="00D23C5A">
      <w:pPr>
        <w:jc w:val="both"/>
      </w:pPr>
      <w:r w:rsidRPr="0001260C">
        <w:t>Intellectual property rights may apply and will be discussed and agreed upon on a case-by-case or project basis. However, any documentation or information originating from the</w:t>
      </w:r>
      <w:r w:rsidR="001C53FD" w:rsidRPr="0001260C">
        <w:t xml:space="preserve"> institutions w</w:t>
      </w:r>
      <w:r w:rsidRPr="0001260C">
        <w:t>ill remain their intellectual property at all times.</w:t>
      </w:r>
    </w:p>
    <w:p w14:paraId="3745F705" w14:textId="77777777" w:rsidR="0001260C" w:rsidRPr="0001260C" w:rsidRDefault="0001260C" w:rsidP="00D23C5A">
      <w:pPr>
        <w:jc w:val="both"/>
      </w:pPr>
    </w:p>
    <w:p w14:paraId="6E39E2C0" w14:textId="77777777" w:rsidR="00846570" w:rsidRPr="00F54335" w:rsidRDefault="00846570" w:rsidP="00D23C5A">
      <w:pPr>
        <w:pStyle w:val="Heading2"/>
        <w:jc w:val="both"/>
        <w:rPr>
          <w:b w:val="0"/>
        </w:rPr>
      </w:pPr>
      <w:bookmarkStart w:id="33" w:name="_Toc205559954"/>
      <w:r w:rsidRPr="00F54335">
        <w:rPr>
          <w:rStyle w:val="Strong"/>
          <w:rFonts w:asciiTheme="minorHAnsi" w:hAnsiTheme="minorHAnsi" w:cstheme="minorHAnsi"/>
          <w:b/>
          <w:szCs w:val="20"/>
        </w:rPr>
        <w:t>Business Continuity</w:t>
      </w:r>
      <w:bookmarkEnd w:id="33"/>
    </w:p>
    <w:p w14:paraId="21C0BFB1" w14:textId="77777777" w:rsidR="00D23C5A" w:rsidRDefault="00D23C5A" w:rsidP="00D23C5A">
      <w:pPr>
        <w:jc w:val="both"/>
      </w:pPr>
    </w:p>
    <w:p w14:paraId="3DBCE340" w14:textId="00CBB3E3" w:rsidR="00846570" w:rsidRDefault="00846570" w:rsidP="00D23C5A">
      <w:pPr>
        <w:jc w:val="both"/>
      </w:pPr>
      <w:r w:rsidRPr="00846570">
        <w:t xml:space="preserve">The </w:t>
      </w:r>
      <w:r w:rsidR="00660274">
        <w:t>Consultant</w:t>
      </w:r>
      <w:r w:rsidRPr="00846570">
        <w:t xml:space="preserve"> must maintain an up-to-date and robust business continuity plan to ensure operations can continue in the event of any unforeseen circumstances, such as IT issues, fire, flood, health pandemics, etc. These plans should outline how any impact will be minimised and resolved.</w:t>
      </w:r>
    </w:p>
    <w:p w14:paraId="52408B65" w14:textId="77777777" w:rsidR="0001260C" w:rsidRPr="00846570" w:rsidRDefault="0001260C" w:rsidP="00D23C5A">
      <w:pPr>
        <w:jc w:val="both"/>
      </w:pPr>
    </w:p>
    <w:p w14:paraId="60008BCD" w14:textId="0BA8602B" w:rsidR="001C53FD" w:rsidRDefault="001C53FD" w:rsidP="00D23C5A">
      <w:pPr>
        <w:pStyle w:val="Heading2"/>
        <w:jc w:val="both"/>
      </w:pPr>
      <w:bookmarkStart w:id="34" w:name="_Toc205559955"/>
      <w:r w:rsidRPr="00F54335">
        <w:t>Sub-Contractors</w:t>
      </w:r>
      <w:r w:rsidR="00D23C5A">
        <w:t xml:space="preserve"> </w:t>
      </w:r>
      <w:r>
        <w:t>/</w:t>
      </w:r>
      <w:r w:rsidR="00D23C5A">
        <w:t xml:space="preserve"> </w:t>
      </w:r>
      <w:r>
        <w:t>Consultants</w:t>
      </w:r>
      <w:bookmarkEnd w:id="34"/>
    </w:p>
    <w:p w14:paraId="10001716" w14:textId="77777777" w:rsidR="001C53FD" w:rsidRPr="00F54335" w:rsidRDefault="001C53FD" w:rsidP="00D23C5A">
      <w:pPr>
        <w:jc w:val="both"/>
      </w:pPr>
    </w:p>
    <w:p w14:paraId="6E8251C6" w14:textId="191A6977" w:rsidR="001C53FD" w:rsidRPr="00E43213" w:rsidRDefault="001C53FD" w:rsidP="00D23C5A">
      <w:pPr>
        <w:jc w:val="both"/>
        <w:rPr>
          <w:lang w:val="en-GB"/>
        </w:rPr>
      </w:pPr>
      <w:r w:rsidRPr="00E43213">
        <w:rPr>
          <w:lang w:val="en-GB"/>
        </w:rPr>
        <w:t xml:space="preserve">It is expected that </w:t>
      </w:r>
      <w:r>
        <w:rPr>
          <w:lang w:val="en-GB"/>
        </w:rPr>
        <w:t>Consultants</w:t>
      </w:r>
      <w:r w:rsidRPr="00E43213">
        <w:rPr>
          <w:lang w:val="en-GB"/>
        </w:rPr>
        <w:t xml:space="preserve"> have a sound and effective process in place for selection of suitably qualified and skilled sub-contractors</w:t>
      </w:r>
      <w:r w:rsidR="00D23C5A">
        <w:rPr>
          <w:lang w:val="en-GB"/>
        </w:rPr>
        <w:t xml:space="preserve"> </w:t>
      </w:r>
      <w:r w:rsidRPr="00E43213">
        <w:rPr>
          <w:lang w:val="en-GB"/>
        </w:rPr>
        <w:t>/</w:t>
      </w:r>
      <w:r w:rsidR="00D23C5A">
        <w:rPr>
          <w:lang w:val="en-GB"/>
        </w:rPr>
        <w:t xml:space="preserve"> </w:t>
      </w:r>
      <w:r w:rsidRPr="00E43213">
        <w:rPr>
          <w:lang w:val="en-GB"/>
        </w:rPr>
        <w:t>consultants. </w:t>
      </w:r>
    </w:p>
    <w:p w14:paraId="18880E45" w14:textId="77777777" w:rsidR="001C53FD" w:rsidRPr="00E43213" w:rsidRDefault="001C53FD" w:rsidP="00D23C5A">
      <w:pPr>
        <w:jc w:val="both"/>
        <w:rPr>
          <w:lang w:val="en-GB"/>
        </w:rPr>
      </w:pPr>
    </w:p>
    <w:p w14:paraId="369831ED" w14:textId="15153663" w:rsidR="001C53FD" w:rsidRDefault="001C53FD" w:rsidP="00D23C5A">
      <w:pPr>
        <w:jc w:val="both"/>
        <w:rPr>
          <w:lang w:val="en-GB"/>
        </w:rPr>
      </w:pPr>
      <w:r w:rsidRPr="00E43213">
        <w:rPr>
          <w:lang w:val="en-GB"/>
        </w:rPr>
        <w:t>Any such sub-contract</w:t>
      </w:r>
      <w:r w:rsidR="00D23C5A">
        <w:rPr>
          <w:lang w:val="en-GB"/>
        </w:rPr>
        <w:t xml:space="preserve"> </w:t>
      </w:r>
      <w:r w:rsidRPr="00E43213">
        <w:rPr>
          <w:lang w:val="en-GB"/>
        </w:rPr>
        <w:t>/</w:t>
      </w:r>
      <w:r w:rsidR="00D23C5A">
        <w:rPr>
          <w:lang w:val="en-GB"/>
        </w:rPr>
        <w:t xml:space="preserve"> o</w:t>
      </w:r>
      <w:r w:rsidRPr="00E43213">
        <w:rPr>
          <w:lang w:val="en-GB"/>
        </w:rPr>
        <w:t xml:space="preserve">utsource arrangements should be carried out without any additional cost to the </w:t>
      </w:r>
      <w:r w:rsidR="00EB56C2">
        <w:rPr>
          <w:lang w:val="en-GB"/>
        </w:rPr>
        <w:t>Group</w:t>
      </w:r>
      <w:r w:rsidRPr="00E43213">
        <w:rPr>
          <w:lang w:val="en-GB"/>
        </w:rPr>
        <w:t>, unless specifically agreed by them prior to the commencement of the Framework Agreement. </w:t>
      </w:r>
    </w:p>
    <w:p w14:paraId="77B7ED49" w14:textId="77777777" w:rsidR="00EC457D" w:rsidRPr="00E43213" w:rsidRDefault="00EC457D" w:rsidP="00D23C5A">
      <w:pPr>
        <w:jc w:val="both"/>
        <w:rPr>
          <w:lang w:val="en-GB"/>
        </w:rPr>
      </w:pPr>
    </w:p>
    <w:p w14:paraId="07C0282B" w14:textId="06E29311" w:rsidR="001C53FD" w:rsidRDefault="001C53FD" w:rsidP="00D23C5A">
      <w:pPr>
        <w:jc w:val="both"/>
        <w:rPr>
          <w:lang w:val="en-GB"/>
        </w:rPr>
      </w:pPr>
      <w:r w:rsidRPr="00E43213">
        <w:rPr>
          <w:lang w:val="en-GB"/>
        </w:rPr>
        <w:t xml:space="preserve">Any subsequent changes to any </w:t>
      </w:r>
      <w:r w:rsidR="00D23C5A">
        <w:rPr>
          <w:lang w:val="en-GB"/>
        </w:rPr>
        <w:t>s</w:t>
      </w:r>
      <w:r w:rsidRPr="00E43213">
        <w:rPr>
          <w:lang w:val="en-GB"/>
        </w:rPr>
        <w:t>ub-contract</w:t>
      </w:r>
      <w:r w:rsidR="00D23C5A">
        <w:rPr>
          <w:lang w:val="en-GB"/>
        </w:rPr>
        <w:t xml:space="preserve"> </w:t>
      </w:r>
      <w:r w:rsidRPr="00E43213">
        <w:rPr>
          <w:lang w:val="en-GB"/>
        </w:rPr>
        <w:t>/</w:t>
      </w:r>
      <w:r w:rsidR="00D23C5A">
        <w:rPr>
          <w:lang w:val="en-GB"/>
        </w:rPr>
        <w:t xml:space="preserve"> o</w:t>
      </w:r>
      <w:r w:rsidRPr="00E43213">
        <w:rPr>
          <w:lang w:val="en-GB"/>
        </w:rPr>
        <w:t>utsource arrangement must be approved by the</w:t>
      </w:r>
      <w:r w:rsidR="00EB56C2">
        <w:rPr>
          <w:lang w:val="en-GB"/>
        </w:rPr>
        <w:t xml:space="preserve"> Group </w:t>
      </w:r>
      <w:r w:rsidRPr="00E43213">
        <w:rPr>
          <w:lang w:val="en-GB"/>
        </w:rPr>
        <w:t xml:space="preserve">prior to the date of change. The </w:t>
      </w:r>
      <w:r w:rsidR="00EB56C2">
        <w:rPr>
          <w:lang w:val="en-GB"/>
        </w:rPr>
        <w:t xml:space="preserve">Group </w:t>
      </w:r>
      <w:r w:rsidRPr="00E43213">
        <w:rPr>
          <w:lang w:val="en-GB"/>
        </w:rPr>
        <w:t xml:space="preserve">reserves the right to refuse any changes in </w:t>
      </w:r>
      <w:r w:rsidR="00D23C5A">
        <w:rPr>
          <w:lang w:val="en-GB"/>
        </w:rPr>
        <w:t>s</w:t>
      </w:r>
      <w:r w:rsidRPr="00E43213">
        <w:rPr>
          <w:lang w:val="en-GB"/>
        </w:rPr>
        <w:t>ub-contract/</w:t>
      </w:r>
      <w:r w:rsidR="00D23C5A">
        <w:rPr>
          <w:lang w:val="en-GB"/>
        </w:rPr>
        <w:t>o</w:t>
      </w:r>
      <w:r w:rsidRPr="00E43213">
        <w:rPr>
          <w:lang w:val="en-GB"/>
        </w:rPr>
        <w:t>utsource relationship. </w:t>
      </w:r>
    </w:p>
    <w:p w14:paraId="71D1AFA4" w14:textId="77777777" w:rsidR="001C53FD" w:rsidRPr="00E43213" w:rsidRDefault="001C53FD" w:rsidP="00D23C5A">
      <w:pPr>
        <w:jc w:val="both"/>
        <w:rPr>
          <w:lang w:val="en-GB"/>
        </w:rPr>
      </w:pPr>
    </w:p>
    <w:p w14:paraId="144C255C" w14:textId="1FF8C4BC" w:rsidR="001C53FD" w:rsidRDefault="001C53FD" w:rsidP="00D23C5A">
      <w:pPr>
        <w:jc w:val="both"/>
        <w:rPr>
          <w:lang w:val="en-GB"/>
        </w:rPr>
      </w:pPr>
      <w:r>
        <w:rPr>
          <w:lang w:val="en-GB"/>
        </w:rPr>
        <w:t>Consultants</w:t>
      </w:r>
      <w:r w:rsidRPr="00E43213">
        <w:rPr>
          <w:lang w:val="en-GB"/>
        </w:rPr>
        <w:t xml:space="preserve"> are responsible for the performance of all Subcontractors</w:t>
      </w:r>
      <w:r>
        <w:rPr>
          <w:lang w:val="en-GB"/>
        </w:rPr>
        <w:t>/</w:t>
      </w:r>
      <w:r w:rsidR="001841DA">
        <w:rPr>
          <w:lang w:val="en-GB"/>
        </w:rPr>
        <w:t>C</w:t>
      </w:r>
      <w:r>
        <w:rPr>
          <w:lang w:val="en-GB"/>
        </w:rPr>
        <w:t>onsultants</w:t>
      </w:r>
      <w:r w:rsidRPr="00E43213">
        <w:rPr>
          <w:lang w:val="en-GB"/>
        </w:rPr>
        <w:t xml:space="preserve"> used for delivery of the Framework Agreement. All </w:t>
      </w:r>
      <w:r w:rsidR="00D23C5A">
        <w:rPr>
          <w:lang w:val="en-GB"/>
        </w:rPr>
        <w:t>s</w:t>
      </w:r>
      <w:r w:rsidRPr="00E43213">
        <w:rPr>
          <w:lang w:val="en-GB"/>
        </w:rPr>
        <w:t>ub-contractors</w:t>
      </w:r>
      <w:r w:rsidR="00D23C5A">
        <w:rPr>
          <w:lang w:val="en-GB"/>
        </w:rPr>
        <w:t xml:space="preserve"> </w:t>
      </w:r>
      <w:r>
        <w:rPr>
          <w:lang w:val="en-GB"/>
        </w:rPr>
        <w:t>/</w:t>
      </w:r>
      <w:r w:rsidR="00D23C5A">
        <w:rPr>
          <w:lang w:val="en-GB"/>
        </w:rPr>
        <w:t xml:space="preserve"> c</w:t>
      </w:r>
      <w:r>
        <w:rPr>
          <w:lang w:val="en-GB"/>
        </w:rPr>
        <w:t>onsultants</w:t>
      </w:r>
      <w:r w:rsidRPr="00E43213">
        <w:rPr>
          <w:lang w:val="en-GB"/>
        </w:rPr>
        <w:t xml:space="preserve"> must comply with the terms of this Framework Agreement.   </w:t>
      </w:r>
    </w:p>
    <w:p w14:paraId="057142EB" w14:textId="77777777" w:rsidR="00EC457D" w:rsidRPr="00E43213" w:rsidRDefault="00EC457D" w:rsidP="00D23C5A">
      <w:pPr>
        <w:jc w:val="both"/>
        <w:rPr>
          <w:lang w:val="en-GB"/>
        </w:rPr>
      </w:pPr>
    </w:p>
    <w:p w14:paraId="724821F5" w14:textId="5A12851C" w:rsidR="006A13AB" w:rsidRDefault="001C53FD" w:rsidP="00D23C5A">
      <w:pPr>
        <w:jc w:val="both"/>
        <w:rPr>
          <w:lang w:val="en-GB"/>
        </w:rPr>
      </w:pPr>
      <w:r w:rsidRPr="00E43213">
        <w:rPr>
          <w:lang w:val="en-GB"/>
        </w:rPr>
        <w:t xml:space="preserve">The </w:t>
      </w:r>
      <w:r w:rsidR="00D23C5A">
        <w:rPr>
          <w:lang w:val="en-GB"/>
        </w:rPr>
        <w:t>c</w:t>
      </w:r>
      <w:r w:rsidRPr="00E43213">
        <w:rPr>
          <w:lang w:val="en-GB"/>
        </w:rPr>
        <w:t>ontractor</w:t>
      </w:r>
      <w:r w:rsidR="00D23C5A">
        <w:rPr>
          <w:lang w:val="en-GB"/>
        </w:rPr>
        <w:t xml:space="preserve"> </w:t>
      </w:r>
      <w:r>
        <w:rPr>
          <w:lang w:val="en-GB"/>
        </w:rPr>
        <w:t>/</w:t>
      </w:r>
      <w:r w:rsidR="00D23C5A">
        <w:rPr>
          <w:lang w:val="en-GB"/>
        </w:rPr>
        <w:t xml:space="preserve"> c</w:t>
      </w:r>
      <w:r>
        <w:rPr>
          <w:lang w:val="en-GB"/>
        </w:rPr>
        <w:t xml:space="preserve">onsultant </w:t>
      </w:r>
      <w:r w:rsidRPr="00E43213">
        <w:rPr>
          <w:lang w:val="en-GB"/>
        </w:rPr>
        <w:t xml:space="preserve">shall ensure any </w:t>
      </w:r>
      <w:r w:rsidR="00D23C5A">
        <w:rPr>
          <w:lang w:val="en-GB"/>
        </w:rPr>
        <w:t>s</w:t>
      </w:r>
      <w:r w:rsidRPr="00E43213">
        <w:rPr>
          <w:lang w:val="en-GB"/>
        </w:rPr>
        <w:t xml:space="preserve">ub-contractors used in the delivery of the Framework Agreement shall adhere to </w:t>
      </w:r>
      <w:r w:rsidR="00D23C5A">
        <w:rPr>
          <w:lang w:val="en-GB"/>
        </w:rPr>
        <w:t>a</w:t>
      </w:r>
      <w:r w:rsidRPr="00E43213">
        <w:rPr>
          <w:lang w:val="en-GB"/>
        </w:rPr>
        <w:t>uthorities</w:t>
      </w:r>
      <w:r w:rsidR="00D23C5A">
        <w:rPr>
          <w:lang w:val="en-GB"/>
        </w:rPr>
        <w:t>’</w:t>
      </w:r>
      <w:r w:rsidRPr="00E43213">
        <w:rPr>
          <w:lang w:val="en-GB"/>
        </w:rPr>
        <w:t xml:space="preserve"> policies and procedures. </w:t>
      </w:r>
    </w:p>
    <w:p w14:paraId="660C486F" w14:textId="77777777" w:rsidR="00D23C5A" w:rsidRDefault="00D23C5A" w:rsidP="00D23C5A">
      <w:pPr>
        <w:jc w:val="both"/>
        <w:rPr>
          <w:lang w:val="en-GB"/>
        </w:rPr>
      </w:pPr>
    </w:p>
    <w:p w14:paraId="42E8B849" w14:textId="77777777" w:rsidR="00D23C5A" w:rsidRDefault="00D23C5A" w:rsidP="00D23C5A">
      <w:pPr>
        <w:jc w:val="both"/>
        <w:rPr>
          <w:lang w:val="en-GB"/>
        </w:rPr>
      </w:pPr>
    </w:p>
    <w:p w14:paraId="1AEF879F" w14:textId="77777777" w:rsidR="00D23C5A" w:rsidRDefault="00D23C5A" w:rsidP="00D23C5A">
      <w:pPr>
        <w:jc w:val="both"/>
        <w:rPr>
          <w:lang w:val="en-GB"/>
        </w:rPr>
      </w:pPr>
    </w:p>
    <w:p w14:paraId="1AE16BA9" w14:textId="77777777" w:rsidR="00D23C5A" w:rsidRDefault="00D23C5A" w:rsidP="00D23C5A">
      <w:pPr>
        <w:jc w:val="both"/>
        <w:rPr>
          <w:lang w:val="en-GB"/>
        </w:rPr>
      </w:pPr>
    </w:p>
    <w:p w14:paraId="7A375E29" w14:textId="77777777" w:rsidR="00D23C5A" w:rsidRDefault="00D23C5A" w:rsidP="00D23C5A">
      <w:pPr>
        <w:jc w:val="both"/>
        <w:rPr>
          <w:lang w:val="en-GB"/>
        </w:rPr>
      </w:pPr>
    </w:p>
    <w:p w14:paraId="40F1895D" w14:textId="77777777" w:rsidR="00D23C5A" w:rsidRDefault="00D23C5A" w:rsidP="00D23C5A">
      <w:pPr>
        <w:jc w:val="both"/>
        <w:rPr>
          <w:lang w:val="en-GB"/>
        </w:rPr>
      </w:pPr>
    </w:p>
    <w:p w14:paraId="73574F1D" w14:textId="77777777" w:rsidR="00D23C5A" w:rsidRDefault="00D23C5A" w:rsidP="00D23C5A">
      <w:pPr>
        <w:jc w:val="both"/>
        <w:rPr>
          <w:lang w:val="en-GB"/>
        </w:rPr>
      </w:pPr>
    </w:p>
    <w:p w14:paraId="79B3BFFD" w14:textId="77777777" w:rsidR="00D23C5A" w:rsidRDefault="00D23C5A" w:rsidP="00D23C5A">
      <w:pPr>
        <w:jc w:val="both"/>
        <w:rPr>
          <w:lang w:val="en-GB"/>
        </w:rPr>
      </w:pPr>
    </w:p>
    <w:p w14:paraId="4B4B477E" w14:textId="77777777" w:rsidR="00D23C5A" w:rsidRDefault="00D23C5A" w:rsidP="00D23C5A">
      <w:pPr>
        <w:jc w:val="both"/>
        <w:rPr>
          <w:lang w:val="en-GB"/>
        </w:rPr>
      </w:pPr>
    </w:p>
    <w:p w14:paraId="5762F627" w14:textId="77777777" w:rsidR="00D23C5A" w:rsidRDefault="00D23C5A" w:rsidP="00D23C5A">
      <w:pPr>
        <w:jc w:val="both"/>
        <w:rPr>
          <w:lang w:val="en-GB"/>
        </w:rPr>
      </w:pPr>
    </w:p>
    <w:p w14:paraId="6EF39E9E" w14:textId="77777777" w:rsidR="00D23C5A" w:rsidRPr="00837956" w:rsidRDefault="00D23C5A" w:rsidP="00D23C5A">
      <w:pPr>
        <w:jc w:val="both"/>
        <w:rPr>
          <w:lang w:val="en-GB"/>
        </w:rPr>
      </w:pPr>
    </w:p>
    <w:p w14:paraId="39EFA36C" w14:textId="77777777" w:rsidR="00924831" w:rsidRDefault="00924831" w:rsidP="00D23C5A">
      <w:pPr>
        <w:jc w:val="both"/>
      </w:pPr>
    </w:p>
    <w:p w14:paraId="013370B2" w14:textId="1AF39A83" w:rsidR="002A69B4" w:rsidRDefault="002A69B4" w:rsidP="00573301">
      <w:pPr>
        <w:pStyle w:val="Heading1"/>
      </w:pPr>
      <w:bookmarkStart w:id="35" w:name="_Toc205559956"/>
      <w:r w:rsidRPr="00B11EEA">
        <w:t xml:space="preserve">Guidance </w:t>
      </w:r>
      <w:r w:rsidRPr="000C4785">
        <w:t>for</w:t>
      </w:r>
      <w:r w:rsidRPr="00B11EEA">
        <w:t xml:space="preserve"> Calling-off from the Framework Agreement</w:t>
      </w:r>
      <w:bookmarkEnd w:id="35"/>
    </w:p>
    <w:p w14:paraId="0E7B4160" w14:textId="77777777" w:rsidR="00EB56C2" w:rsidRPr="00B11EEA" w:rsidRDefault="00EB56C2" w:rsidP="00DC71D0">
      <w:pPr>
        <w:jc w:val="both"/>
      </w:pPr>
    </w:p>
    <w:p w14:paraId="2D770A12" w14:textId="48E754E9" w:rsidR="002A69B4" w:rsidRPr="004B1BB4" w:rsidRDefault="002A69B4" w:rsidP="00DC71D0">
      <w:pPr>
        <w:jc w:val="both"/>
      </w:pPr>
      <w:r w:rsidRPr="004B1BB4">
        <w:t xml:space="preserve">Call-off from the Framework Agreement is by means of </w:t>
      </w:r>
      <w:r w:rsidR="00CC58BC">
        <w:t xml:space="preserve">Mini-Competition, Direct Award (by rotation) or Desktop </w:t>
      </w:r>
      <w:r w:rsidR="003C5C20">
        <w:t>Exercise.</w:t>
      </w:r>
    </w:p>
    <w:p w14:paraId="4ACA313A" w14:textId="77777777" w:rsidR="002A69B4" w:rsidRPr="00B11EEA" w:rsidRDefault="002A69B4" w:rsidP="00DC71D0">
      <w:pPr>
        <w:jc w:val="both"/>
      </w:pPr>
    </w:p>
    <w:p w14:paraId="49CF577F" w14:textId="15D58125" w:rsidR="002A69B4" w:rsidRDefault="002A69B4" w:rsidP="00DC71D0">
      <w:pPr>
        <w:jc w:val="both"/>
        <w:rPr>
          <w:rFonts w:asciiTheme="minorHAnsi" w:hAnsiTheme="minorHAnsi" w:cstheme="minorHAnsi"/>
          <w:color w:val="000000"/>
          <w:lang w:val="en-GB" w:eastAsia="en-GB"/>
        </w:rPr>
      </w:pPr>
      <w:r w:rsidRPr="004B1BB4">
        <w:rPr>
          <w:rFonts w:asciiTheme="minorHAnsi" w:hAnsiTheme="minorHAnsi" w:cstheme="minorHAnsi"/>
          <w:color w:val="000000"/>
          <w:lang w:val="en-GB" w:eastAsia="en-GB"/>
        </w:rPr>
        <w:t xml:space="preserve">The call-off </w:t>
      </w:r>
      <w:r w:rsidR="00CC58BC">
        <w:rPr>
          <w:rFonts w:asciiTheme="minorHAnsi" w:hAnsiTheme="minorHAnsi" w:cstheme="minorHAnsi"/>
          <w:color w:val="000000"/>
          <w:lang w:val="en-GB" w:eastAsia="en-GB"/>
        </w:rPr>
        <w:t xml:space="preserve">process for awarding call-offs </w:t>
      </w:r>
      <w:r w:rsidRPr="004B1BB4">
        <w:rPr>
          <w:rFonts w:asciiTheme="minorHAnsi" w:hAnsiTheme="minorHAnsi" w:cstheme="minorHAnsi"/>
          <w:color w:val="000000"/>
          <w:lang w:val="en-GB" w:eastAsia="en-GB"/>
        </w:rPr>
        <w:t xml:space="preserve">s under the Framework will </w:t>
      </w:r>
      <w:r w:rsidR="00EF1887">
        <w:rPr>
          <w:rFonts w:asciiTheme="minorHAnsi" w:hAnsiTheme="minorHAnsi" w:cstheme="minorHAnsi"/>
          <w:color w:val="000000"/>
          <w:lang w:val="en-GB" w:eastAsia="en-GB"/>
        </w:rPr>
        <w:t>follow</w:t>
      </w:r>
      <w:r w:rsidR="00CC58BC">
        <w:rPr>
          <w:rFonts w:asciiTheme="minorHAnsi" w:hAnsiTheme="minorHAnsi" w:cstheme="minorHAnsi"/>
          <w:color w:val="000000"/>
          <w:lang w:val="en-GB" w:eastAsia="en-GB"/>
        </w:rPr>
        <w:t xml:space="preserve"> one of these three (3</w:t>
      </w:r>
      <w:r w:rsidR="003C5C20">
        <w:rPr>
          <w:rFonts w:asciiTheme="minorHAnsi" w:hAnsiTheme="minorHAnsi" w:cstheme="minorHAnsi"/>
          <w:color w:val="000000"/>
          <w:lang w:val="en-GB" w:eastAsia="en-GB"/>
        </w:rPr>
        <w:t xml:space="preserve">) </w:t>
      </w:r>
      <w:r w:rsidR="003C5C20" w:rsidRPr="004B1BB4">
        <w:rPr>
          <w:rFonts w:asciiTheme="minorHAnsi" w:hAnsiTheme="minorHAnsi" w:cstheme="minorHAnsi"/>
          <w:color w:val="000000"/>
          <w:lang w:val="en-GB" w:eastAsia="en-GB"/>
        </w:rPr>
        <w:t>principal</w:t>
      </w:r>
      <w:r w:rsidRPr="004B1BB4">
        <w:rPr>
          <w:rFonts w:asciiTheme="minorHAnsi" w:hAnsiTheme="minorHAnsi" w:cstheme="minorHAnsi"/>
          <w:color w:val="000000"/>
          <w:lang w:val="en-GB" w:eastAsia="en-GB"/>
        </w:rPr>
        <w:t xml:space="preserve"> selection </w:t>
      </w:r>
      <w:r w:rsidR="003C5C20">
        <w:rPr>
          <w:rFonts w:asciiTheme="minorHAnsi" w:hAnsiTheme="minorHAnsi" w:cstheme="minorHAnsi"/>
          <w:color w:val="000000"/>
          <w:lang w:val="en-GB" w:eastAsia="en-GB"/>
        </w:rPr>
        <w:t>methods.</w:t>
      </w:r>
      <w:r w:rsidRPr="004B1BB4">
        <w:rPr>
          <w:rFonts w:asciiTheme="minorHAnsi" w:hAnsiTheme="minorHAnsi" w:cstheme="minorHAnsi"/>
          <w:color w:val="000000"/>
          <w:lang w:val="en-GB" w:eastAsia="en-GB"/>
        </w:rPr>
        <w:t> </w:t>
      </w:r>
    </w:p>
    <w:p w14:paraId="7943761C" w14:textId="77777777" w:rsidR="003C5C20" w:rsidRPr="004B1BB4" w:rsidRDefault="003C5C20" w:rsidP="00DC71D0">
      <w:pPr>
        <w:widowControl/>
        <w:autoSpaceDE/>
        <w:autoSpaceDN/>
        <w:jc w:val="both"/>
        <w:rPr>
          <w:rFonts w:asciiTheme="minorHAnsi" w:eastAsia="Times New Roman" w:hAnsiTheme="minorHAnsi" w:cstheme="minorHAnsi"/>
          <w:szCs w:val="20"/>
          <w:lang w:val="en-GB" w:eastAsia="en-GB"/>
        </w:rPr>
      </w:pPr>
    </w:p>
    <w:p w14:paraId="22D9E17C" w14:textId="7F8CB286" w:rsidR="002A69B4" w:rsidRDefault="00CC58BC" w:rsidP="00DC71D0">
      <w:pPr>
        <w:pStyle w:val="Heading2"/>
        <w:jc w:val="both"/>
      </w:pPr>
      <w:bookmarkStart w:id="36" w:name="_Toc205559957"/>
      <w:r>
        <w:t xml:space="preserve">Call-Off Process 1 - </w:t>
      </w:r>
      <w:r w:rsidR="002A69B4">
        <w:t>Mini-Competition</w:t>
      </w:r>
      <w:bookmarkEnd w:id="36"/>
    </w:p>
    <w:p w14:paraId="1BAC0D18" w14:textId="77777777" w:rsidR="002A69B4" w:rsidRDefault="002A69B4" w:rsidP="00DC71D0">
      <w:pPr>
        <w:jc w:val="both"/>
      </w:pPr>
    </w:p>
    <w:p w14:paraId="327F0A4A" w14:textId="77777777" w:rsidR="002A69B4" w:rsidRDefault="002A69B4" w:rsidP="00DC71D0">
      <w:pPr>
        <w:jc w:val="both"/>
        <w:rPr>
          <w:lang w:val="en-GB" w:eastAsia="en-GB"/>
        </w:rPr>
      </w:pPr>
      <w:r w:rsidRPr="004B1BB4">
        <w:rPr>
          <w:lang w:val="en-GB" w:eastAsia="en-GB"/>
        </w:rPr>
        <w:t xml:space="preserve">Mini competitions can be utilised where tender documentation is issued to all framework </w:t>
      </w:r>
      <w:r>
        <w:rPr>
          <w:lang w:val="en-GB" w:eastAsia="en-GB"/>
        </w:rPr>
        <w:t xml:space="preserve">Consultants </w:t>
      </w:r>
      <w:r w:rsidRPr="004B1BB4">
        <w:rPr>
          <w:lang w:val="en-GB" w:eastAsia="en-GB"/>
        </w:rPr>
        <w:t>appointed in a specific lot to which the project relates.  The criteria applied to the scheme and their weightings will be set out in the mini-tender documentation. </w:t>
      </w:r>
    </w:p>
    <w:p w14:paraId="4EBA980B" w14:textId="77777777" w:rsidR="002A69B4" w:rsidRPr="004B1BB4" w:rsidRDefault="002A69B4" w:rsidP="00DC71D0">
      <w:pPr>
        <w:jc w:val="both"/>
        <w:rPr>
          <w:rFonts w:asciiTheme="minorHAnsi" w:hAnsiTheme="minorHAnsi" w:cstheme="minorHAnsi"/>
          <w:szCs w:val="20"/>
          <w:lang w:val="en-GB" w:eastAsia="en-GB"/>
        </w:rPr>
      </w:pPr>
    </w:p>
    <w:p w14:paraId="6767ABB2" w14:textId="18BCE9D0" w:rsidR="002A69B4" w:rsidRPr="00D23C5A" w:rsidRDefault="00CC58BC" w:rsidP="00DC71D0">
      <w:pPr>
        <w:pStyle w:val="Heading2"/>
        <w:jc w:val="both"/>
        <w:rPr>
          <w:rFonts w:ascii="Times New Roman" w:hAnsi="Times New Roman" w:cs="Times New Roman"/>
          <w:sz w:val="36"/>
          <w:szCs w:val="36"/>
          <w:lang w:val="en-GB" w:eastAsia="en-GB"/>
        </w:rPr>
      </w:pPr>
      <w:bookmarkStart w:id="37" w:name="_Toc205559958"/>
      <w:r>
        <w:rPr>
          <w:lang w:val="en-GB" w:eastAsia="en-GB"/>
        </w:rPr>
        <w:t xml:space="preserve">Call-Off Process 2 - </w:t>
      </w:r>
      <w:r w:rsidR="002A69B4" w:rsidRPr="00B377EB">
        <w:rPr>
          <w:lang w:val="en-GB" w:eastAsia="en-GB"/>
        </w:rPr>
        <w:t>Direct Award (Rotation Based)</w:t>
      </w:r>
      <w:r w:rsidR="006F38CC">
        <w:rPr>
          <w:lang w:val="en-GB" w:eastAsia="en-GB"/>
        </w:rPr>
        <w:t xml:space="preserve"> for </w:t>
      </w:r>
      <w:r w:rsidR="00EB56C2">
        <w:rPr>
          <w:lang w:val="en-GB" w:eastAsia="en-GB"/>
        </w:rPr>
        <w:t xml:space="preserve">below </w:t>
      </w:r>
      <w:proofErr w:type="gramStart"/>
      <w:r w:rsidR="003C5C20">
        <w:rPr>
          <w:lang w:val="en-GB" w:eastAsia="en-GB"/>
        </w:rPr>
        <w:t xml:space="preserve">threshold </w:t>
      </w:r>
      <w:r w:rsidR="00EB56C2">
        <w:rPr>
          <w:lang w:val="en-GB" w:eastAsia="en-GB"/>
        </w:rPr>
        <w:t xml:space="preserve"> goods</w:t>
      </w:r>
      <w:proofErr w:type="gramEnd"/>
      <w:r w:rsidR="00EB56C2">
        <w:rPr>
          <w:lang w:val="en-GB" w:eastAsia="en-GB"/>
        </w:rPr>
        <w:t xml:space="preserve"> and services</w:t>
      </w:r>
      <w:bookmarkEnd w:id="37"/>
    </w:p>
    <w:p w14:paraId="554C8B55" w14:textId="77777777" w:rsidR="00D23C5A" w:rsidRPr="0041179E" w:rsidRDefault="00D23C5A" w:rsidP="00DC71D0">
      <w:pPr>
        <w:jc w:val="both"/>
        <w:rPr>
          <w:lang w:val="en-GB" w:eastAsia="en-GB"/>
        </w:rPr>
      </w:pPr>
    </w:p>
    <w:p w14:paraId="0F32B35E" w14:textId="55DE7688" w:rsidR="002A69B4" w:rsidRPr="0041179E" w:rsidRDefault="002A69B4" w:rsidP="00DC71D0">
      <w:pPr>
        <w:jc w:val="both"/>
        <w:rPr>
          <w:lang w:val="en-GB" w:eastAsia="en-GB"/>
        </w:rPr>
      </w:pPr>
      <w:r w:rsidRPr="0041179E">
        <w:rPr>
          <w:lang w:val="en-GB" w:eastAsia="en-GB"/>
        </w:rPr>
        <w:t xml:space="preserve">Under Call-off Process </w:t>
      </w:r>
      <w:r w:rsidR="00EB56C2">
        <w:rPr>
          <w:lang w:val="en-GB" w:eastAsia="en-GB"/>
        </w:rPr>
        <w:t>2</w:t>
      </w:r>
      <w:r w:rsidRPr="0041179E">
        <w:rPr>
          <w:lang w:val="en-GB" w:eastAsia="en-GB"/>
        </w:rPr>
        <w:t>, the Institution can make a direct award without a mini competition, if the following conditions are met:</w:t>
      </w:r>
    </w:p>
    <w:p w14:paraId="2717DF9D" w14:textId="23F2AEE0" w:rsidR="002A69B4" w:rsidRPr="00DC71D0" w:rsidRDefault="002A69B4" w:rsidP="00DC71D0">
      <w:pPr>
        <w:pStyle w:val="ListParagraph"/>
        <w:widowControl/>
        <w:numPr>
          <w:ilvl w:val="0"/>
          <w:numId w:val="2"/>
        </w:numPr>
        <w:autoSpaceDE/>
        <w:autoSpaceDN/>
        <w:spacing w:before="100" w:beforeAutospacing="1" w:after="100" w:afterAutospacing="1"/>
        <w:jc w:val="both"/>
        <w:rPr>
          <w:rFonts w:asciiTheme="minorHAnsi" w:eastAsia="Times New Roman" w:hAnsiTheme="minorHAnsi" w:cstheme="minorHAnsi"/>
          <w:szCs w:val="20"/>
          <w:lang w:val="en-GB" w:eastAsia="en-GB"/>
        </w:rPr>
      </w:pPr>
      <w:r w:rsidRPr="00DC71D0">
        <w:rPr>
          <w:rFonts w:asciiTheme="minorHAnsi" w:eastAsia="Times New Roman" w:hAnsiTheme="minorHAnsi" w:cstheme="minorHAnsi"/>
          <w:szCs w:val="20"/>
          <w:lang w:val="en-GB" w:eastAsia="en-GB"/>
        </w:rPr>
        <w:t>The estimated project value is below the Procurement Act 2023, the public procurement thresholds for goods and services £214,904</w:t>
      </w:r>
      <w:r w:rsidR="00DC71D0" w:rsidRPr="00DC71D0">
        <w:rPr>
          <w:rFonts w:asciiTheme="minorHAnsi" w:eastAsia="Times New Roman" w:hAnsiTheme="minorHAnsi" w:cstheme="minorHAnsi"/>
          <w:szCs w:val="20"/>
          <w:lang w:val="en-GB" w:eastAsia="en-GB"/>
        </w:rPr>
        <w:t>.</w:t>
      </w:r>
    </w:p>
    <w:p w14:paraId="59EA41EE" w14:textId="25962056" w:rsidR="002A69B4" w:rsidRPr="00DC71D0" w:rsidRDefault="002A69B4" w:rsidP="00DC71D0">
      <w:pPr>
        <w:pStyle w:val="ListParagraph"/>
        <w:widowControl/>
        <w:numPr>
          <w:ilvl w:val="0"/>
          <w:numId w:val="2"/>
        </w:numPr>
        <w:autoSpaceDE/>
        <w:autoSpaceDN/>
        <w:spacing w:before="100" w:beforeAutospacing="1" w:after="100" w:afterAutospacing="1"/>
        <w:jc w:val="both"/>
        <w:rPr>
          <w:rFonts w:asciiTheme="minorHAnsi" w:eastAsia="Times New Roman" w:hAnsiTheme="minorHAnsi" w:cstheme="minorHAnsi"/>
          <w:szCs w:val="20"/>
          <w:lang w:val="en-GB" w:eastAsia="en-GB"/>
        </w:rPr>
      </w:pPr>
      <w:r w:rsidRPr="00DC71D0">
        <w:rPr>
          <w:rFonts w:asciiTheme="minorHAnsi" w:eastAsia="Times New Roman" w:hAnsiTheme="minorHAnsi" w:cstheme="minorHAnsi"/>
          <w:szCs w:val="20"/>
          <w:lang w:val="en-GB" w:eastAsia="en-GB"/>
        </w:rPr>
        <w:t>The funding stream allows for a direct award.</w:t>
      </w:r>
    </w:p>
    <w:p w14:paraId="5391CE66" w14:textId="77777777" w:rsidR="00CC58BC" w:rsidRDefault="002A69B4" w:rsidP="00DC71D0">
      <w:pPr>
        <w:jc w:val="both"/>
        <w:rPr>
          <w:lang w:val="en-GB" w:eastAsia="en-GB"/>
        </w:rPr>
      </w:pPr>
      <w:r w:rsidRPr="002A69B4">
        <w:rPr>
          <w:lang w:val="en-GB" w:eastAsia="en-GB"/>
        </w:rPr>
        <w:t xml:space="preserve">Suppliers are ranked within each lot, and contracts are awarded in </w:t>
      </w:r>
      <w:r w:rsidR="00CC58BC">
        <w:rPr>
          <w:lang w:val="en-GB" w:eastAsia="en-GB"/>
        </w:rPr>
        <w:t>rotation.</w:t>
      </w:r>
    </w:p>
    <w:p w14:paraId="4AC52420" w14:textId="77777777" w:rsidR="00CC58BC" w:rsidRPr="00CC58BC" w:rsidRDefault="002A69B4" w:rsidP="00DC71D0">
      <w:pPr>
        <w:pStyle w:val="ListParagraph"/>
        <w:widowControl/>
        <w:numPr>
          <w:ilvl w:val="0"/>
          <w:numId w:val="2"/>
        </w:numPr>
        <w:autoSpaceDE/>
        <w:autoSpaceDN/>
        <w:spacing w:before="100" w:beforeAutospacing="1" w:after="100" w:afterAutospacing="1"/>
        <w:jc w:val="both"/>
        <w:rPr>
          <w:rFonts w:asciiTheme="minorHAnsi" w:eastAsia="Times New Roman" w:hAnsiTheme="minorHAnsi" w:cstheme="minorHAnsi"/>
          <w:szCs w:val="20"/>
          <w:lang w:val="en-GB" w:eastAsia="en-GB"/>
        </w:rPr>
      </w:pPr>
      <w:r w:rsidRPr="00CC58BC">
        <w:rPr>
          <w:rFonts w:asciiTheme="minorHAnsi" w:eastAsia="Times New Roman" w:hAnsiTheme="minorHAnsi" w:cstheme="minorHAnsi"/>
          <w:szCs w:val="20"/>
          <w:lang w:val="en-GB" w:eastAsia="en-GB"/>
        </w:rPr>
        <w:t>The first project goes to the top-ranked supplier, the next to the second, and so on</w:t>
      </w:r>
      <w:r w:rsidR="00CC58BC" w:rsidRPr="00CC58BC">
        <w:rPr>
          <w:rFonts w:asciiTheme="minorHAnsi" w:eastAsia="Times New Roman" w:hAnsiTheme="minorHAnsi" w:cstheme="minorHAnsi"/>
          <w:szCs w:val="20"/>
          <w:lang w:val="en-GB" w:eastAsia="en-GB"/>
        </w:rPr>
        <w:t>.</w:t>
      </w:r>
    </w:p>
    <w:p w14:paraId="0AF034A3" w14:textId="146F1AAE" w:rsidR="002A69B4" w:rsidRPr="00CC58BC" w:rsidRDefault="00CC58BC" w:rsidP="00DC71D0">
      <w:pPr>
        <w:pStyle w:val="ListParagraph"/>
        <w:widowControl/>
        <w:numPr>
          <w:ilvl w:val="0"/>
          <w:numId w:val="2"/>
        </w:numPr>
        <w:autoSpaceDE/>
        <w:autoSpaceDN/>
        <w:spacing w:before="100" w:beforeAutospacing="1" w:after="100" w:afterAutospacing="1"/>
        <w:jc w:val="both"/>
        <w:rPr>
          <w:rFonts w:asciiTheme="minorHAnsi" w:eastAsia="Times New Roman" w:hAnsiTheme="minorHAnsi" w:cstheme="minorHAnsi"/>
          <w:szCs w:val="20"/>
          <w:lang w:val="en-GB" w:eastAsia="en-GB"/>
        </w:rPr>
      </w:pPr>
      <w:r w:rsidRPr="00CC58BC">
        <w:rPr>
          <w:rFonts w:asciiTheme="minorHAnsi" w:eastAsia="Times New Roman" w:hAnsiTheme="minorHAnsi" w:cstheme="minorHAnsi"/>
          <w:szCs w:val="20"/>
          <w:lang w:val="en-GB" w:eastAsia="en-GB"/>
        </w:rPr>
        <w:t>Once</w:t>
      </w:r>
      <w:r w:rsidR="002A69B4" w:rsidRPr="00CC58BC">
        <w:rPr>
          <w:rFonts w:asciiTheme="minorHAnsi" w:eastAsia="Times New Roman" w:hAnsiTheme="minorHAnsi" w:cstheme="minorHAnsi"/>
          <w:szCs w:val="20"/>
          <w:lang w:val="en-GB" w:eastAsia="en-GB"/>
        </w:rPr>
        <w:t xml:space="preserve"> all suppliers have had a turn. Then the rotation starts again.</w:t>
      </w:r>
    </w:p>
    <w:p w14:paraId="44CA6C10" w14:textId="77777777" w:rsidR="00CC58BC" w:rsidRPr="00CC58BC" w:rsidRDefault="00CC58BC" w:rsidP="00DC71D0">
      <w:pPr>
        <w:pStyle w:val="NormalWeb"/>
        <w:numPr>
          <w:ilvl w:val="0"/>
          <w:numId w:val="2"/>
        </w:numPr>
        <w:jc w:val="both"/>
        <w:rPr>
          <w:rFonts w:asciiTheme="minorHAnsi" w:hAnsiTheme="minorHAnsi" w:cstheme="minorHAnsi"/>
          <w:sz w:val="20"/>
          <w:szCs w:val="20"/>
        </w:rPr>
      </w:pPr>
      <w:r w:rsidRPr="00CC58BC">
        <w:rPr>
          <w:rFonts w:asciiTheme="minorHAnsi" w:hAnsiTheme="minorHAnsi" w:cstheme="minorHAnsi"/>
          <w:sz w:val="20"/>
          <w:szCs w:val="20"/>
        </w:rPr>
        <w:t>If a supplier is unable to accept work (due to capacity, timescale, or valid reasons such as conflict of interest), the next supplier in the rotation will be approached.</w:t>
      </w:r>
    </w:p>
    <w:p w14:paraId="7B35F1F4" w14:textId="2AC90D0A" w:rsidR="002A69B4" w:rsidRDefault="00CC58BC" w:rsidP="00DC71D0">
      <w:pPr>
        <w:jc w:val="both"/>
        <w:rPr>
          <w:rFonts w:asciiTheme="minorHAnsi" w:hAnsiTheme="minorHAnsi" w:cstheme="minorHAnsi"/>
          <w:szCs w:val="20"/>
        </w:rPr>
      </w:pPr>
      <w:r w:rsidRPr="00CC58BC">
        <w:rPr>
          <w:rFonts w:asciiTheme="minorHAnsi" w:hAnsiTheme="minorHAnsi" w:cstheme="minorHAnsi"/>
          <w:szCs w:val="20"/>
        </w:rPr>
        <w:t>All contracts will follow the Standard Terms and Conditions set out in the Framework Agreement. For longer-term contracts, instructions will be issued as necessary for each assignment.</w:t>
      </w:r>
    </w:p>
    <w:p w14:paraId="3DC014DE" w14:textId="77777777" w:rsidR="00DC71D0" w:rsidRDefault="00DC71D0" w:rsidP="00DC71D0">
      <w:pPr>
        <w:jc w:val="both"/>
        <w:rPr>
          <w:rFonts w:ascii="Times New Roman" w:eastAsia="Times New Roman" w:hAnsi="Times New Roman" w:cs="Times New Roman"/>
          <w:sz w:val="24"/>
          <w:szCs w:val="24"/>
          <w:lang w:val="en-GB" w:eastAsia="en-GB"/>
        </w:rPr>
      </w:pPr>
    </w:p>
    <w:p w14:paraId="5F90258F" w14:textId="6D606CC5" w:rsidR="002A69B4" w:rsidRDefault="00511623" w:rsidP="006F38CC">
      <w:pPr>
        <w:pStyle w:val="Heading2"/>
      </w:pPr>
      <w:bookmarkStart w:id="38" w:name="_Toc205559959"/>
      <w:r>
        <w:t xml:space="preserve">Call-Off Process 3 - </w:t>
      </w:r>
      <w:r w:rsidR="002A69B4" w:rsidRPr="00B413EC">
        <w:t>Desktop Exercise</w:t>
      </w:r>
      <w:bookmarkEnd w:id="38"/>
      <w:r w:rsidR="002A69B4">
        <w:t xml:space="preserve"> </w:t>
      </w:r>
      <w:r w:rsidR="006F38CC">
        <w:t xml:space="preserve">for below </w:t>
      </w:r>
      <w:proofErr w:type="gramStart"/>
      <w:r w:rsidR="006F38CC">
        <w:t>threshold  goods</w:t>
      </w:r>
      <w:proofErr w:type="gramEnd"/>
      <w:r w:rsidR="006F38CC">
        <w:t xml:space="preserve"> and services</w:t>
      </w:r>
    </w:p>
    <w:p w14:paraId="0BDF3074" w14:textId="77777777" w:rsidR="00DC71D0" w:rsidRPr="00B413EC" w:rsidRDefault="00DC71D0" w:rsidP="00DC71D0">
      <w:pPr>
        <w:jc w:val="both"/>
      </w:pPr>
    </w:p>
    <w:p w14:paraId="37FDCBF8" w14:textId="4C294787" w:rsidR="002A69B4" w:rsidRDefault="00EF1887" w:rsidP="00DC71D0">
      <w:pPr>
        <w:jc w:val="both"/>
        <w:rPr>
          <w:lang w:val="en-GB" w:eastAsia="en-GB"/>
        </w:rPr>
      </w:pPr>
      <w:r>
        <w:rPr>
          <w:lang w:val="en-GB" w:eastAsia="en-GB"/>
        </w:rPr>
        <w:t>Where</w:t>
      </w:r>
      <w:r w:rsidRPr="002A69B4">
        <w:rPr>
          <w:lang w:val="en-GB" w:eastAsia="en-GB"/>
        </w:rPr>
        <w:t xml:space="preserve"> time</w:t>
      </w:r>
      <w:r w:rsidR="002A69B4" w:rsidRPr="002A69B4">
        <w:rPr>
          <w:lang w:val="en-GB" w:eastAsia="en-GB"/>
        </w:rPr>
        <w:t xml:space="preserve"> is critical and UWTSD</w:t>
      </w:r>
      <w:r w:rsidR="00CC58BC">
        <w:rPr>
          <w:lang w:val="en-GB" w:eastAsia="en-GB"/>
        </w:rPr>
        <w:t xml:space="preserve"> / College</w:t>
      </w:r>
      <w:r w:rsidR="002A69B4" w:rsidRPr="002A69B4">
        <w:rPr>
          <w:lang w:val="en-GB" w:eastAsia="en-GB"/>
        </w:rPr>
        <w:t xml:space="preserve"> staff are satisfied with the </w:t>
      </w:r>
      <w:r w:rsidR="00CC58BC">
        <w:rPr>
          <w:lang w:val="en-GB" w:eastAsia="en-GB"/>
        </w:rPr>
        <w:t xml:space="preserve">standard </w:t>
      </w:r>
      <w:r w:rsidR="002A69B4" w:rsidRPr="002A69B4">
        <w:rPr>
          <w:lang w:val="en-GB" w:eastAsia="en-GB"/>
        </w:rPr>
        <w:t>call-off contract</w:t>
      </w:r>
      <w:r w:rsidR="00CC58BC">
        <w:rPr>
          <w:lang w:val="en-GB" w:eastAsia="en-GB"/>
        </w:rPr>
        <w:t xml:space="preserve"> terms</w:t>
      </w:r>
      <w:r w:rsidR="002A69B4" w:rsidRPr="002A69B4">
        <w:rPr>
          <w:lang w:val="en-GB" w:eastAsia="en-GB"/>
        </w:rPr>
        <w:t xml:space="preserve"> </w:t>
      </w:r>
      <w:r w:rsidR="00CC58BC">
        <w:rPr>
          <w:lang w:val="en-GB" w:eastAsia="en-GB"/>
        </w:rPr>
        <w:t>(</w:t>
      </w:r>
      <w:r w:rsidR="002A69B4" w:rsidRPr="002A69B4">
        <w:rPr>
          <w:lang w:val="en-GB" w:eastAsia="en-GB"/>
        </w:rPr>
        <w:t xml:space="preserve">with no need for </w:t>
      </w:r>
      <w:r w:rsidR="00CC58BC">
        <w:rPr>
          <w:lang w:val="en-GB" w:eastAsia="en-GB"/>
        </w:rPr>
        <w:t>amendments)</w:t>
      </w:r>
      <w:r w:rsidR="002A69B4" w:rsidRPr="002A69B4">
        <w:rPr>
          <w:lang w:val="en-GB" w:eastAsia="en-GB"/>
        </w:rPr>
        <w:t xml:space="preserve">, </w:t>
      </w:r>
      <w:r w:rsidRPr="002A69B4">
        <w:rPr>
          <w:lang w:val="en-GB" w:eastAsia="en-GB"/>
        </w:rPr>
        <w:t>the evaluation</w:t>
      </w:r>
      <w:r w:rsidR="002A69B4" w:rsidRPr="002A69B4">
        <w:rPr>
          <w:lang w:val="en-GB" w:eastAsia="en-GB"/>
        </w:rPr>
        <w:t xml:space="preserve"> criteria</w:t>
      </w:r>
      <w:r w:rsidR="00CC58BC">
        <w:rPr>
          <w:lang w:val="en-GB" w:eastAsia="en-GB"/>
        </w:rPr>
        <w:t xml:space="preserve"> may be adjusted using a desktop calculator to better reflect local requirements. </w:t>
      </w:r>
      <w:r w:rsidR="002A69B4" w:rsidRPr="002A69B4">
        <w:rPr>
          <w:lang w:val="en-GB" w:eastAsia="en-GB"/>
        </w:rPr>
        <w:t xml:space="preserve"> </w:t>
      </w:r>
    </w:p>
    <w:p w14:paraId="2D9F210F" w14:textId="15FE34D5" w:rsidR="00511623" w:rsidRPr="00511623" w:rsidRDefault="00511623" w:rsidP="00A8360C">
      <w:pPr>
        <w:pStyle w:val="ListParagraph"/>
        <w:widowControl/>
        <w:numPr>
          <w:ilvl w:val="0"/>
          <w:numId w:val="5"/>
        </w:numPr>
        <w:autoSpaceDE/>
        <w:autoSpaceDN/>
        <w:spacing w:before="100" w:beforeAutospacing="1" w:after="100" w:afterAutospacing="1"/>
        <w:jc w:val="both"/>
        <w:rPr>
          <w:rFonts w:asciiTheme="minorHAnsi" w:eastAsia="Times New Roman" w:hAnsiTheme="minorHAnsi" w:cstheme="minorHAnsi"/>
          <w:szCs w:val="20"/>
          <w:lang w:val="en-GB" w:eastAsia="en-GB"/>
        </w:rPr>
      </w:pPr>
      <w:r w:rsidRPr="00511623">
        <w:rPr>
          <w:rFonts w:asciiTheme="minorHAnsi" w:eastAsia="Times New Roman" w:hAnsiTheme="minorHAnsi" w:cstheme="minorHAnsi"/>
          <w:szCs w:val="20"/>
          <w:lang w:val="en-GB" w:eastAsia="en-GB"/>
        </w:rPr>
        <w:t>Each criterion’s weighting can be adjusted by up to 20 percentage points, provided the total weighting remains 100%.</w:t>
      </w:r>
    </w:p>
    <w:p w14:paraId="4CC41337" w14:textId="7A05677A" w:rsidR="00511623" w:rsidRPr="00511623" w:rsidRDefault="00511623" w:rsidP="00A8360C">
      <w:pPr>
        <w:pStyle w:val="ListParagraph"/>
        <w:widowControl/>
        <w:numPr>
          <w:ilvl w:val="0"/>
          <w:numId w:val="5"/>
        </w:numPr>
        <w:autoSpaceDE/>
        <w:autoSpaceDN/>
        <w:spacing w:before="100" w:beforeAutospacing="1" w:after="100" w:afterAutospacing="1"/>
        <w:jc w:val="both"/>
        <w:rPr>
          <w:rFonts w:asciiTheme="minorHAnsi" w:eastAsia="Times New Roman" w:hAnsiTheme="minorHAnsi" w:cstheme="minorHAnsi"/>
          <w:szCs w:val="20"/>
          <w:lang w:val="en-GB" w:eastAsia="en-GB"/>
        </w:rPr>
      </w:pPr>
      <w:r w:rsidRPr="00511623">
        <w:rPr>
          <w:rFonts w:asciiTheme="minorHAnsi" w:eastAsia="Times New Roman" w:hAnsiTheme="minorHAnsi" w:cstheme="minorHAnsi"/>
          <w:szCs w:val="20"/>
          <w:lang w:val="en-GB" w:eastAsia="en-GB"/>
        </w:rPr>
        <w:t>For example, if quality was originally weighted at 30%, it can be varied between 10% and 50%.</w:t>
      </w:r>
    </w:p>
    <w:p w14:paraId="19220BDC" w14:textId="35485CF8" w:rsidR="00511623" w:rsidRDefault="00511623" w:rsidP="00A8360C">
      <w:pPr>
        <w:pStyle w:val="ListParagraph"/>
        <w:widowControl/>
        <w:numPr>
          <w:ilvl w:val="0"/>
          <w:numId w:val="5"/>
        </w:numPr>
        <w:autoSpaceDE/>
        <w:autoSpaceDN/>
        <w:spacing w:before="100" w:beforeAutospacing="1" w:after="100" w:afterAutospacing="1"/>
        <w:jc w:val="both"/>
        <w:rPr>
          <w:rFonts w:asciiTheme="minorHAnsi" w:eastAsia="Times New Roman" w:hAnsiTheme="minorHAnsi" w:cstheme="minorHAnsi"/>
          <w:szCs w:val="20"/>
          <w:lang w:val="en-GB" w:eastAsia="en-GB"/>
        </w:rPr>
      </w:pPr>
      <w:r w:rsidRPr="00511623">
        <w:rPr>
          <w:rFonts w:asciiTheme="minorHAnsi" w:eastAsia="Times New Roman" w:hAnsiTheme="minorHAnsi" w:cstheme="minorHAnsi"/>
          <w:szCs w:val="20"/>
          <w:lang w:val="en-GB" w:eastAsia="en-GB"/>
        </w:rPr>
        <w:t>The overall scores will then be recalculated using the adjusted weightings, and the contract awarded to the highest-scoring supplier.</w:t>
      </w:r>
    </w:p>
    <w:p w14:paraId="6F4450B9" w14:textId="2F9AFD71" w:rsidR="00573301" w:rsidRDefault="00573301" w:rsidP="00573301">
      <w:pPr>
        <w:pStyle w:val="Heading1"/>
        <w:rPr>
          <w:rStyle w:val="Strong"/>
        </w:rPr>
      </w:pPr>
      <w:r w:rsidRPr="00573301">
        <w:rPr>
          <w:rStyle w:val="Strong"/>
          <w:b/>
          <w:bCs/>
        </w:rPr>
        <w:t>Options</w:t>
      </w:r>
    </w:p>
    <w:p w14:paraId="7C36E791" w14:textId="70CF32F5" w:rsidR="00573301" w:rsidRPr="00573301" w:rsidRDefault="00573301" w:rsidP="00573301">
      <w:pPr>
        <w:rPr>
          <w:rFonts w:eastAsia="Times New Roman"/>
        </w:rPr>
      </w:pPr>
      <w:r w:rsidRPr="00573301">
        <w:br/>
      </w:r>
      <w:r w:rsidR="00393E1E">
        <w:t xml:space="preserve">UWTSD </w:t>
      </w:r>
      <w:r w:rsidR="00393E1E" w:rsidRPr="00573301">
        <w:t>reserves</w:t>
      </w:r>
      <w:r w:rsidRPr="00573301">
        <w:t xml:space="preserve"> the right to exercise options during the contract period. These options may include, but are not limited to:</w:t>
      </w:r>
    </w:p>
    <w:p w14:paraId="615E9338" w14:textId="77777777" w:rsidR="00573301" w:rsidRPr="008E6B46" w:rsidRDefault="00573301" w:rsidP="00A8360C">
      <w:pPr>
        <w:pStyle w:val="NormalWeb"/>
        <w:numPr>
          <w:ilvl w:val="0"/>
          <w:numId w:val="19"/>
        </w:numPr>
        <w:rPr>
          <w:rFonts w:ascii="Calibri" w:hAnsi="Calibri" w:cs="Calibri"/>
          <w:sz w:val="20"/>
          <w:szCs w:val="20"/>
        </w:rPr>
      </w:pPr>
      <w:r w:rsidRPr="00573301">
        <w:rPr>
          <w:rFonts w:ascii="Calibri" w:hAnsi="Calibri" w:cs="Calibri"/>
          <w:sz w:val="22"/>
          <w:szCs w:val="22"/>
        </w:rPr>
        <w:t xml:space="preserve">The </w:t>
      </w:r>
      <w:r w:rsidRPr="008E6B46">
        <w:rPr>
          <w:rFonts w:ascii="Calibri" w:hAnsi="Calibri" w:cs="Calibri"/>
          <w:sz w:val="20"/>
          <w:szCs w:val="20"/>
        </w:rPr>
        <w:t>purchase of additional goods or services of a similar nature to those specified in the core contract</w:t>
      </w:r>
    </w:p>
    <w:p w14:paraId="0442BAC4" w14:textId="77777777" w:rsidR="00573301" w:rsidRPr="008E6B46" w:rsidRDefault="00573301" w:rsidP="00A8360C">
      <w:pPr>
        <w:pStyle w:val="NormalWeb"/>
        <w:numPr>
          <w:ilvl w:val="0"/>
          <w:numId w:val="19"/>
        </w:numPr>
        <w:rPr>
          <w:rFonts w:ascii="Calibri" w:hAnsi="Calibri" w:cs="Calibri"/>
          <w:sz w:val="20"/>
          <w:szCs w:val="20"/>
        </w:rPr>
      </w:pPr>
      <w:r w:rsidRPr="008E6B46">
        <w:rPr>
          <w:rFonts w:ascii="Calibri" w:hAnsi="Calibri" w:cs="Calibri"/>
          <w:sz w:val="20"/>
          <w:szCs w:val="20"/>
        </w:rPr>
        <w:t>The extension of the scope of services to meet evolving operational needs</w:t>
      </w:r>
    </w:p>
    <w:p w14:paraId="0F03A881" w14:textId="77777777" w:rsidR="00573301" w:rsidRPr="008E6B46" w:rsidRDefault="00573301" w:rsidP="00A8360C">
      <w:pPr>
        <w:pStyle w:val="NormalWeb"/>
        <w:numPr>
          <w:ilvl w:val="0"/>
          <w:numId w:val="19"/>
        </w:numPr>
        <w:rPr>
          <w:rFonts w:ascii="Calibri" w:hAnsi="Calibri" w:cs="Calibri"/>
          <w:sz w:val="20"/>
          <w:szCs w:val="20"/>
        </w:rPr>
      </w:pPr>
      <w:r w:rsidRPr="008E6B46">
        <w:rPr>
          <w:rFonts w:ascii="Calibri" w:hAnsi="Calibri" w:cs="Calibri"/>
          <w:sz w:val="20"/>
          <w:szCs w:val="20"/>
        </w:rPr>
        <w:t>Adjustments to quantities, delivery schedules, or service locations</w:t>
      </w:r>
    </w:p>
    <w:p w14:paraId="1A64124A" w14:textId="77777777" w:rsidR="00573301" w:rsidRPr="008E6B46" w:rsidRDefault="00573301" w:rsidP="00A8360C">
      <w:pPr>
        <w:pStyle w:val="NormalWeb"/>
        <w:numPr>
          <w:ilvl w:val="0"/>
          <w:numId w:val="19"/>
        </w:numPr>
        <w:rPr>
          <w:rFonts w:ascii="Calibri" w:hAnsi="Calibri" w:cs="Calibri"/>
          <w:sz w:val="20"/>
          <w:szCs w:val="20"/>
        </w:rPr>
      </w:pPr>
      <w:r w:rsidRPr="008E6B46">
        <w:rPr>
          <w:rFonts w:ascii="Calibri" w:hAnsi="Calibri" w:cs="Calibri"/>
          <w:sz w:val="20"/>
          <w:szCs w:val="20"/>
        </w:rPr>
        <w:t>Extension of the contract period (where applicable)</w:t>
      </w:r>
    </w:p>
    <w:p w14:paraId="0C1E67EB" w14:textId="77777777" w:rsidR="00573301" w:rsidRPr="008E6B46" w:rsidRDefault="00573301" w:rsidP="00573301">
      <w:pPr>
        <w:pStyle w:val="NormalWeb"/>
        <w:rPr>
          <w:rFonts w:ascii="Calibri" w:hAnsi="Calibri" w:cs="Calibri"/>
          <w:sz w:val="20"/>
          <w:szCs w:val="20"/>
        </w:rPr>
      </w:pPr>
      <w:r w:rsidRPr="008E6B46">
        <w:rPr>
          <w:rFonts w:ascii="Calibri" w:hAnsi="Calibri" w:cs="Calibri"/>
          <w:sz w:val="20"/>
          <w:szCs w:val="20"/>
        </w:rPr>
        <w:lastRenderedPageBreak/>
        <w:t>Any options exercised will be within the overall maximum contract value stated in the procurement documents. The inclusion of options does not guarantee any additional spend beyond the core contract.</w:t>
      </w:r>
    </w:p>
    <w:p w14:paraId="682E9B07" w14:textId="48ECA5D1" w:rsidR="005059C7" w:rsidRDefault="005059C7" w:rsidP="00573301">
      <w:pPr>
        <w:pStyle w:val="Heading1"/>
      </w:pPr>
      <w:bookmarkStart w:id="39" w:name="_Toc204090108"/>
      <w:bookmarkStart w:id="40" w:name="_Toc205559960"/>
      <w:r>
        <w:t>Key Performance Indicators</w:t>
      </w:r>
      <w:bookmarkEnd w:id="39"/>
      <w:bookmarkEnd w:id="40"/>
    </w:p>
    <w:p w14:paraId="39A2247C" w14:textId="77777777" w:rsidR="0001260C" w:rsidRDefault="0001260C" w:rsidP="00573301">
      <w:pPr>
        <w:pStyle w:val="Heading1"/>
        <w:numPr>
          <w:ilvl w:val="0"/>
          <w:numId w:val="0"/>
        </w:numPr>
        <w:ind w:left="567"/>
      </w:pPr>
    </w:p>
    <w:p w14:paraId="6AC56C8C" w14:textId="77777777" w:rsidR="007C586E" w:rsidRDefault="007C586E" w:rsidP="007C586E">
      <w:r>
        <w:t>To ensure the effective delivery and sustained performance of the Framework, the Authority will establish a set of Key Performance Indicators (“KPIs”). These KPIs will provide clear, measurable benchmarks against which the Service Provider’s performance will be monitored, assessed, and reported throughout the term of any Call-Off Contracts.</w:t>
      </w:r>
    </w:p>
    <w:p w14:paraId="32E227A1" w14:textId="77777777" w:rsidR="007C586E" w:rsidRDefault="007C586E" w:rsidP="007C586E"/>
    <w:p w14:paraId="595A1DD0" w14:textId="746242D4" w:rsidR="005059C7" w:rsidRDefault="007C586E" w:rsidP="007C586E">
      <w:r>
        <w:t>Performance against the KPIs will be reviewed at agreed intervals as part of the Authority’s contract management process. The purpose of these reviews will be to drive continuous improvement, ensure transparency, and maintain alignment with the University of Wales Trinity Saint David’s (“UWTSD”) strategic objectives.</w:t>
      </w:r>
    </w:p>
    <w:p w14:paraId="78AAAF08" w14:textId="77777777" w:rsidR="007C586E" w:rsidRPr="00620D0D" w:rsidRDefault="007C586E" w:rsidP="007C586E">
      <w:pPr>
        <w:rPr>
          <w:szCs w:val="20"/>
        </w:rPr>
      </w:pPr>
    </w:p>
    <w:tbl>
      <w:tblPr>
        <w:tblW w:w="92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118"/>
        <w:gridCol w:w="1845"/>
        <w:gridCol w:w="2314"/>
      </w:tblGrid>
      <w:tr w:rsidR="007C586E" w:rsidRPr="00D141A4" w14:paraId="087DDD6C" w14:textId="77777777" w:rsidTr="007C586E">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71369AFD" w14:textId="3A6D6FA9" w:rsidR="007C586E" w:rsidRPr="00B74F95" w:rsidRDefault="007C586E" w:rsidP="006F38CC">
            <w:pPr>
              <w:jc w:val="center"/>
              <w:rPr>
                <w:rFonts w:ascii="Segoe UI" w:eastAsia="Times New Roman" w:hAnsi="Segoe UI" w:cs="Segoe UI"/>
                <w:color w:val="FFFFFF" w:themeColor="background1"/>
              </w:rPr>
            </w:pPr>
            <w:r w:rsidRPr="00B74F95">
              <w:rPr>
                <w:rFonts w:eastAsia="Times New Roman"/>
                <w:b/>
                <w:bCs/>
              </w:rPr>
              <w:t>KPI</w:t>
            </w:r>
          </w:p>
        </w:tc>
        <w:tc>
          <w:tcPr>
            <w:tcW w:w="3118"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56E4C15D" w14:textId="1361796B" w:rsidR="007C586E" w:rsidRPr="00B74F95" w:rsidRDefault="007C586E" w:rsidP="006F38CC">
            <w:pPr>
              <w:ind w:left="271"/>
              <w:jc w:val="center"/>
              <w:rPr>
                <w:rFonts w:ascii="Segoe UI" w:eastAsia="Times New Roman" w:hAnsi="Segoe UI" w:cs="Segoe UI"/>
                <w:color w:val="FFFFFF" w:themeColor="background1"/>
              </w:rPr>
            </w:pPr>
            <w:r w:rsidRPr="00B74F95">
              <w:rPr>
                <w:rFonts w:eastAsia="Times New Roman"/>
                <w:b/>
                <w:bCs/>
              </w:rPr>
              <w:t>Measurement</w:t>
            </w:r>
          </w:p>
        </w:tc>
        <w:tc>
          <w:tcPr>
            <w:tcW w:w="1845"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5B8720E8" w14:textId="1D7BBB3D" w:rsidR="007C586E" w:rsidRPr="00B74F95" w:rsidRDefault="007C586E" w:rsidP="006F38CC">
            <w:pPr>
              <w:ind w:left="-1"/>
              <w:jc w:val="center"/>
              <w:rPr>
                <w:rFonts w:eastAsia="Times New Roman"/>
                <w:b/>
                <w:bCs/>
              </w:rPr>
            </w:pPr>
            <w:r>
              <w:rPr>
                <w:rFonts w:eastAsia="Times New Roman"/>
                <w:b/>
                <w:bCs/>
              </w:rPr>
              <w:t>Target</w:t>
            </w:r>
          </w:p>
        </w:tc>
        <w:tc>
          <w:tcPr>
            <w:tcW w:w="2314"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14:paraId="20DAE487" w14:textId="2ECAE3EF" w:rsidR="007C586E" w:rsidRPr="00B74F95" w:rsidRDefault="007C586E" w:rsidP="006F38CC">
            <w:pPr>
              <w:ind w:left="136"/>
              <w:jc w:val="center"/>
              <w:rPr>
                <w:rFonts w:ascii="Segoe UI" w:eastAsia="Times New Roman" w:hAnsi="Segoe UI" w:cs="Segoe UI"/>
                <w:color w:val="FFFFFF" w:themeColor="background1"/>
              </w:rPr>
            </w:pPr>
            <w:r w:rsidRPr="00B74F95">
              <w:rPr>
                <w:rFonts w:eastAsia="Times New Roman"/>
                <w:b/>
                <w:bCs/>
              </w:rPr>
              <w:t>Verification Method</w:t>
            </w:r>
          </w:p>
        </w:tc>
      </w:tr>
      <w:tr w:rsidR="007C586E" w:rsidRPr="00D141A4" w14:paraId="7EF1A5BF" w14:textId="77777777" w:rsidTr="00DC71D0">
        <w:trPr>
          <w:trHeight w:val="1654"/>
        </w:trPr>
        <w:tc>
          <w:tcPr>
            <w:tcW w:w="19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A42B8F" w14:textId="247D15D4" w:rsidR="007C586E" w:rsidRPr="007C586E" w:rsidRDefault="0001260C" w:rsidP="006F38CC">
            <w:pPr>
              <w:ind w:left="271" w:right="132" w:firstLine="2"/>
              <w:jc w:val="center"/>
              <w:rPr>
                <w:b/>
                <w:bCs/>
              </w:rPr>
            </w:pPr>
            <w:r w:rsidRPr="0001260C">
              <w:rPr>
                <w:b/>
                <w:bCs/>
              </w:rPr>
              <w:t>Delivery Performance (Time &amp; Budget)</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27F70C" w14:textId="1D6FE4B5" w:rsidR="007C586E" w:rsidRPr="007C586E" w:rsidRDefault="0001260C" w:rsidP="006F38CC">
            <w:pPr>
              <w:ind w:left="283" w:right="132"/>
              <w:rPr>
                <w:rFonts w:asciiTheme="minorHAnsi" w:eastAsia="Times New Roman" w:hAnsiTheme="minorHAnsi" w:cstheme="minorHAnsi"/>
              </w:rPr>
            </w:pPr>
            <w:r>
              <w:t>P</w:t>
            </w:r>
            <w:r w:rsidRPr="0001260C">
              <w:t>ercentage of project milestones, consultancy reports, and deliverables submitted on or before agreed deadlines and delivered within ±5% of agreed budgets or cost forecasts.</w:t>
            </w:r>
          </w:p>
        </w:tc>
        <w:tc>
          <w:tcPr>
            <w:tcW w:w="184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39298A" w14:textId="2FB7B555" w:rsidR="007C586E" w:rsidRDefault="0001260C" w:rsidP="006F38CC">
            <w:pPr>
              <w:ind w:left="142" w:right="125"/>
              <w:jc w:val="center"/>
              <w:rPr>
                <w:rFonts w:asciiTheme="minorHAnsi" w:eastAsia="Times New Roman" w:hAnsiTheme="minorHAnsi" w:cstheme="minorHAnsi"/>
              </w:rPr>
            </w:pPr>
            <w:r w:rsidRPr="0001260C">
              <w:rPr>
                <w:rFonts w:asciiTheme="minorHAnsi" w:eastAsia="Times New Roman" w:hAnsiTheme="minorHAnsi" w:cstheme="minorHAnsi"/>
              </w:rPr>
              <w:t>&gt;95% of deliverables to meet both time and budget criteria.</w:t>
            </w:r>
          </w:p>
        </w:tc>
        <w:tc>
          <w:tcPr>
            <w:tcW w:w="23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3D68FD" w14:textId="257905F7" w:rsidR="007C586E" w:rsidRPr="007C586E" w:rsidRDefault="0001260C" w:rsidP="006F38CC">
            <w:pPr>
              <w:ind w:left="141"/>
              <w:rPr>
                <w:rFonts w:asciiTheme="minorHAnsi" w:eastAsia="Times New Roman" w:hAnsiTheme="minorHAnsi" w:cstheme="minorHAnsi"/>
              </w:rPr>
            </w:pPr>
            <w:r w:rsidRPr="0001260C">
              <w:rPr>
                <w:rFonts w:asciiTheme="minorHAnsi" w:eastAsia="Times New Roman" w:hAnsiTheme="minorHAnsi" w:cstheme="minorHAnsi"/>
              </w:rPr>
              <w:t>Reviewed against Project Timeline and Budget Reports at Quarterly Review Meetings</w:t>
            </w:r>
            <w:r>
              <w:rPr>
                <w:rFonts w:asciiTheme="minorHAnsi" w:eastAsia="Times New Roman" w:hAnsiTheme="minorHAnsi" w:cstheme="minorHAnsi"/>
              </w:rPr>
              <w:t xml:space="preserve">/ or project </w:t>
            </w:r>
            <w:r w:rsidR="00DC71D0">
              <w:rPr>
                <w:rFonts w:asciiTheme="minorHAnsi" w:eastAsia="Times New Roman" w:hAnsiTheme="minorHAnsi" w:cstheme="minorHAnsi"/>
              </w:rPr>
              <w:t>completion.</w:t>
            </w:r>
          </w:p>
        </w:tc>
      </w:tr>
      <w:tr w:rsidR="007C586E" w:rsidRPr="00D141A4" w14:paraId="57CAE629" w14:textId="77777777" w:rsidTr="00DC71D0">
        <w:trPr>
          <w:trHeight w:val="1408"/>
        </w:trPr>
        <w:tc>
          <w:tcPr>
            <w:tcW w:w="19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79B46E" w14:textId="6C774DCB" w:rsidR="007C586E" w:rsidRPr="007C586E" w:rsidRDefault="007C586E" w:rsidP="006F38CC">
            <w:pPr>
              <w:ind w:left="271" w:right="132"/>
              <w:jc w:val="center"/>
              <w:rPr>
                <w:b/>
                <w:bCs/>
              </w:rPr>
            </w:pPr>
            <w:r w:rsidRPr="007C586E">
              <w:rPr>
                <w:b/>
                <w:bCs/>
              </w:rPr>
              <w:t>Social Value Delivery</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0BA245" w14:textId="082FC027" w:rsidR="007C586E" w:rsidRPr="007C586E" w:rsidRDefault="007C586E" w:rsidP="006F38CC">
            <w:pPr>
              <w:ind w:left="283" w:right="132"/>
              <w:rPr>
                <w:rFonts w:asciiTheme="minorHAnsi" w:eastAsia="Times New Roman" w:hAnsiTheme="minorHAnsi" w:cstheme="minorHAnsi"/>
              </w:rPr>
            </w:pPr>
            <w:r w:rsidRPr="007C586E">
              <w:rPr>
                <w:rFonts w:asciiTheme="minorHAnsi" w:eastAsia="Times New Roman" w:hAnsiTheme="minorHAnsi" w:cstheme="minorHAnsi"/>
              </w:rPr>
              <w:t>Fulfilment of social value commitments made at contract award (e.g., apprenticeships, local supply chain engagement, sustainability initiatives).</w:t>
            </w:r>
          </w:p>
        </w:tc>
        <w:tc>
          <w:tcPr>
            <w:tcW w:w="184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6BE133" w14:textId="45BE7981" w:rsidR="007C586E" w:rsidRPr="007C586E" w:rsidRDefault="007C586E" w:rsidP="006F38CC">
            <w:pPr>
              <w:ind w:left="142" w:right="125"/>
              <w:jc w:val="center"/>
              <w:rPr>
                <w:rFonts w:asciiTheme="minorHAnsi" w:eastAsia="Times New Roman" w:hAnsiTheme="minorHAnsi" w:cstheme="minorHAnsi"/>
              </w:rPr>
            </w:pPr>
            <w:r w:rsidRPr="007C586E">
              <w:rPr>
                <w:rFonts w:asciiTheme="minorHAnsi" w:eastAsia="Times New Roman" w:hAnsiTheme="minorHAnsi" w:cstheme="minorHAnsi"/>
              </w:rPr>
              <w:t>100% delivery of stated commitments.</w:t>
            </w:r>
          </w:p>
        </w:tc>
        <w:tc>
          <w:tcPr>
            <w:tcW w:w="23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5D27C0" w14:textId="7BEC5650" w:rsidR="007C586E" w:rsidRPr="007C586E" w:rsidRDefault="007C586E" w:rsidP="006F38CC">
            <w:pPr>
              <w:ind w:left="141" w:right="125"/>
              <w:rPr>
                <w:rFonts w:asciiTheme="minorHAnsi" w:eastAsia="Times New Roman" w:hAnsiTheme="minorHAnsi" w:cstheme="minorHAnsi"/>
              </w:rPr>
            </w:pPr>
            <w:r>
              <w:rPr>
                <w:rFonts w:asciiTheme="minorHAnsi" w:eastAsia="Times New Roman" w:hAnsiTheme="minorHAnsi" w:cstheme="minorHAnsi"/>
              </w:rPr>
              <w:t>Annual Framework Review.</w:t>
            </w:r>
          </w:p>
        </w:tc>
      </w:tr>
      <w:tr w:rsidR="007C586E" w:rsidRPr="00D141A4" w14:paraId="6ECC610B" w14:textId="77777777" w:rsidTr="00DC71D0">
        <w:trPr>
          <w:trHeight w:val="1400"/>
        </w:trPr>
        <w:tc>
          <w:tcPr>
            <w:tcW w:w="19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CBB1CD" w14:textId="200C91BA" w:rsidR="007C586E" w:rsidRPr="007C586E" w:rsidRDefault="00D132B1" w:rsidP="006F38CC">
            <w:pPr>
              <w:ind w:left="271" w:right="132"/>
              <w:jc w:val="center"/>
              <w:rPr>
                <w:b/>
                <w:bCs/>
              </w:rPr>
            </w:pPr>
            <w:r>
              <w:rPr>
                <w:b/>
                <w:bCs/>
              </w:rPr>
              <w:t>Direct Award Acceptance Rate</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70D6C6" w14:textId="048134F3" w:rsidR="007C586E" w:rsidRPr="007C586E" w:rsidRDefault="00D132B1" w:rsidP="006F38CC">
            <w:pPr>
              <w:ind w:left="283" w:right="132"/>
              <w:rPr>
                <w:rFonts w:asciiTheme="minorHAnsi" w:eastAsia="Times New Roman" w:hAnsiTheme="minorHAnsi" w:cstheme="minorHAnsi"/>
              </w:rPr>
            </w:pPr>
            <w:r w:rsidRPr="00D132B1">
              <w:rPr>
                <w:rFonts w:asciiTheme="minorHAnsi" w:eastAsia="Times New Roman" w:hAnsiTheme="minorHAnsi" w:cstheme="minorHAnsi"/>
              </w:rPr>
              <w:t xml:space="preserve">Percentage of </w:t>
            </w:r>
            <w:r>
              <w:rPr>
                <w:rFonts w:asciiTheme="minorHAnsi" w:eastAsia="Times New Roman" w:hAnsiTheme="minorHAnsi" w:cstheme="minorHAnsi"/>
              </w:rPr>
              <w:t xml:space="preserve">Direct Award </w:t>
            </w:r>
            <w:r w:rsidRPr="00D132B1">
              <w:rPr>
                <w:rFonts w:asciiTheme="minorHAnsi" w:eastAsia="Times New Roman" w:hAnsiTheme="minorHAnsi" w:cstheme="minorHAnsi"/>
              </w:rPr>
              <w:t>Call-Off opportunities offered to the Supplier that are formally accepted within the specified response timeframe.</w:t>
            </w:r>
          </w:p>
        </w:tc>
        <w:tc>
          <w:tcPr>
            <w:tcW w:w="184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EC207B" w14:textId="0A67C574" w:rsidR="007C586E" w:rsidRPr="007C586E" w:rsidRDefault="00D132B1" w:rsidP="006F38CC">
            <w:pPr>
              <w:ind w:left="131" w:right="125"/>
              <w:jc w:val="center"/>
              <w:rPr>
                <w:rFonts w:asciiTheme="minorHAnsi" w:eastAsia="Times New Roman" w:hAnsiTheme="minorHAnsi" w:cstheme="minorHAnsi"/>
              </w:rPr>
            </w:pPr>
            <w:r>
              <w:rPr>
                <w:rFonts w:asciiTheme="minorHAnsi" w:eastAsia="Times New Roman" w:hAnsiTheme="minorHAnsi" w:cstheme="minorHAnsi"/>
              </w:rPr>
              <w:t>&gt;85% acceptance rate.</w:t>
            </w:r>
          </w:p>
        </w:tc>
        <w:tc>
          <w:tcPr>
            <w:tcW w:w="23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A6CB26" w14:textId="6419C702" w:rsidR="007C586E" w:rsidRPr="007C586E" w:rsidRDefault="007C586E" w:rsidP="00573301">
            <w:pPr>
              <w:ind w:left="141" w:right="125"/>
              <w:rPr>
                <w:rFonts w:asciiTheme="minorHAnsi" w:eastAsia="Times New Roman" w:hAnsiTheme="minorHAnsi" w:cstheme="minorHAnsi"/>
              </w:rPr>
            </w:pPr>
            <w:r w:rsidRPr="007C586E">
              <w:rPr>
                <w:rFonts w:asciiTheme="minorHAnsi" w:eastAsia="Times New Roman" w:hAnsiTheme="minorHAnsi" w:cstheme="minorHAnsi"/>
              </w:rPr>
              <w:t>Annual Framework Review.</w:t>
            </w:r>
          </w:p>
        </w:tc>
      </w:tr>
    </w:tbl>
    <w:p w14:paraId="3E2B94D5" w14:textId="4BF48B31" w:rsidR="00573301" w:rsidRDefault="00573301" w:rsidP="00573301">
      <w:pPr>
        <w:pStyle w:val="Heading1"/>
        <w:numPr>
          <w:ilvl w:val="0"/>
          <w:numId w:val="0"/>
        </w:numPr>
        <w:ind w:left="999"/>
      </w:pPr>
    </w:p>
    <w:p w14:paraId="7F8CAD1D" w14:textId="52DA3B54" w:rsidR="00573301" w:rsidRDefault="00573301" w:rsidP="00573301">
      <w:pPr>
        <w:pStyle w:val="Heading1"/>
        <w:numPr>
          <w:ilvl w:val="0"/>
          <w:numId w:val="0"/>
        </w:numPr>
        <w:ind w:left="999"/>
      </w:pPr>
    </w:p>
    <w:p w14:paraId="5A816023" w14:textId="77777777" w:rsidR="00573301" w:rsidRDefault="00573301" w:rsidP="00573301">
      <w:pPr>
        <w:pStyle w:val="Heading1"/>
      </w:pPr>
      <w:bookmarkStart w:id="41" w:name="_Toc137124451"/>
      <w:bookmarkStart w:id="42" w:name="_Toc158803879"/>
      <w:bookmarkStart w:id="43" w:name="_Toc169703808"/>
      <w:bookmarkStart w:id="44" w:name="_Toc184648264"/>
      <w:bookmarkStart w:id="45" w:name="_Toc204090111"/>
      <w:bookmarkStart w:id="46" w:name="_Toc205559961"/>
      <w:r w:rsidRPr="00573301">
        <w:t>Supplier</w:t>
      </w:r>
      <w:r w:rsidRPr="00620D0D">
        <w:t xml:space="preserve"> Sustainability </w:t>
      </w:r>
      <w:r w:rsidRPr="00B74F95">
        <w:t>Action</w:t>
      </w:r>
      <w:r w:rsidRPr="00620D0D">
        <w:t xml:space="preserve"> Plan</w:t>
      </w:r>
      <w:bookmarkEnd w:id="41"/>
      <w:bookmarkEnd w:id="42"/>
      <w:bookmarkEnd w:id="43"/>
      <w:bookmarkEnd w:id="44"/>
      <w:bookmarkEnd w:id="45"/>
      <w:bookmarkEnd w:id="46"/>
      <w:r w:rsidRPr="00620D0D">
        <w:t xml:space="preserve"> </w:t>
      </w:r>
    </w:p>
    <w:p w14:paraId="3F2BD971" w14:textId="77777777" w:rsidR="00DC71D0" w:rsidRPr="00620D0D" w:rsidRDefault="00DC71D0" w:rsidP="00DC71D0"/>
    <w:p w14:paraId="098D7F89" w14:textId="77777777" w:rsidR="003E5CC1" w:rsidRPr="003E5CC1" w:rsidRDefault="003E5CC1" w:rsidP="003C5C20">
      <w:pPr>
        <w:jc w:val="both"/>
        <w:rPr>
          <w:szCs w:val="20"/>
        </w:rPr>
      </w:pPr>
      <w:r w:rsidRPr="003E5CC1">
        <w:rPr>
          <w:szCs w:val="20"/>
        </w:rPr>
        <w:t>In response to the measures implemented by the UK Government, the UWTSD Group expects prospective bidders to demonstrate their commitment to this target by creating their own Sustainability Action Plan.</w:t>
      </w:r>
    </w:p>
    <w:p w14:paraId="14624E70" w14:textId="77777777" w:rsidR="003E5CC1" w:rsidRPr="003E5CC1" w:rsidRDefault="003E5CC1" w:rsidP="003C5C20">
      <w:pPr>
        <w:jc w:val="both"/>
        <w:rPr>
          <w:szCs w:val="20"/>
        </w:rPr>
      </w:pPr>
    </w:p>
    <w:p w14:paraId="1A67E3D9" w14:textId="77777777" w:rsidR="003E5CC1" w:rsidRPr="003E5CC1" w:rsidRDefault="003E5CC1" w:rsidP="003C5C20">
      <w:pPr>
        <w:jc w:val="both"/>
        <w:rPr>
          <w:szCs w:val="20"/>
        </w:rPr>
      </w:pPr>
      <w:r w:rsidRPr="003E5CC1">
        <w:rPr>
          <w:szCs w:val="20"/>
        </w:rPr>
        <w:t>We will be using the NET Positive Supplier Engagement HE Tool, which enables suppliers to the Education sector to create a simple, free sustainability action plan for your business; this plan will form part of our ongoing contract management discussions moving forwards. The tool also addresses issues raised by the Modern Slavery Act, which is new legislation universities are required to report against; your responses will form part of our annual report.</w:t>
      </w:r>
    </w:p>
    <w:p w14:paraId="1E9CC869" w14:textId="77777777" w:rsidR="003E5CC1" w:rsidRPr="003E5CC1" w:rsidRDefault="003E5CC1" w:rsidP="003C5C20">
      <w:pPr>
        <w:jc w:val="both"/>
        <w:rPr>
          <w:szCs w:val="20"/>
        </w:rPr>
      </w:pPr>
    </w:p>
    <w:p w14:paraId="7FC1300B" w14:textId="77777777" w:rsidR="003E5CC1" w:rsidRPr="003E5CC1" w:rsidRDefault="003E5CC1" w:rsidP="003C5C20">
      <w:pPr>
        <w:jc w:val="both"/>
        <w:rPr>
          <w:szCs w:val="20"/>
        </w:rPr>
      </w:pPr>
      <w:r w:rsidRPr="003E5CC1">
        <w:rPr>
          <w:szCs w:val="20"/>
        </w:rPr>
        <w:t xml:space="preserve">Link:  </w:t>
      </w:r>
      <w:hyperlink r:id="rId11" w:history="1">
        <w:r w:rsidRPr="003E5CC1">
          <w:rPr>
            <w:szCs w:val="20"/>
          </w:rPr>
          <w:t>https://supplierengagementhe.net-positive.org/</w:t>
        </w:r>
      </w:hyperlink>
    </w:p>
    <w:p w14:paraId="315D1646" w14:textId="77777777" w:rsidR="003E5CC1" w:rsidRPr="003E5CC1" w:rsidRDefault="003E5CC1" w:rsidP="003C5C20">
      <w:pPr>
        <w:jc w:val="both"/>
        <w:rPr>
          <w:szCs w:val="20"/>
        </w:rPr>
      </w:pPr>
    </w:p>
    <w:p w14:paraId="5B2C5412" w14:textId="77777777" w:rsidR="003E5CC1" w:rsidRPr="003E5CC1" w:rsidRDefault="003E5CC1" w:rsidP="003C5C20">
      <w:pPr>
        <w:jc w:val="both"/>
        <w:rPr>
          <w:szCs w:val="20"/>
        </w:rPr>
      </w:pPr>
      <w:r w:rsidRPr="003E5CC1">
        <w:rPr>
          <w:szCs w:val="20"/>
        </w:rPr>
        <w:t>Sustainability Action Plans which are submitted via the HE Tool will be available to all Higher Education institutions, so you only need to complete it once.</w:t>
      </w:r>
    </w:p>
    <w:p w14:paraId="4EA20BCF" w14:textId="77777777" w:rsidR="003E5CC1" w:rsidRPr="003E5CC1" w:rsidRDefault="003E5CC1" w:rsidP="003C5C20">
      <w:pPr>
        <w:jc w:val="both"/>
        <w:rPr>
          <w:szCs w:val="20"/>
        </w:rPr>
      </w:pPr>
    </w:p>
    <w:p w14:paraId="39ABD2CD" w14:textId="77777777" w:rsidR="003E5CC1" w:rsidRPr="003E5CC1" w:rsidRDefault="003E5CC1" w:rsidP="003C5C20">
      <w:pPr>
        <w:jc w:val="both"/>
        <w:rPr>
          <w:szCs w:val="20"/>
        </w:rPr>
      </w:pPr>
      <w:r w:rsidRPr="003E5CC1">
        <w:rPr>
          <w:szCs w:val="20"/>
        </w:rPr>
        <w:t>If you require more guidance in relation to the above, please visit their website.</w:t>
      </w:r>
    </w:p>
    <w:p w14:paraId="0FC2CAB5" w14:textId="77777777" w:rsidR="003E5CC1" w:rsidRPr="003E5CC1" w:rsidRDefault="003E5CC1" w:rsidP="003C5C20">
      <w:pPr>
        <w:jc w:val="both"/>
        <w:rPr>
          <w:szCs w:val="20"/>
        </w:rPr>
      </w:pPr>
    </w:p>
    <w:p w14:paraId="7D2C2694" w14:textId="77777777" w:rsidR="00DC71D0" w:rsidRDefault="003E5CC1" w:rsidP="003C5C20">
      <w:pPr>
        <w:jc w:val="both"/>
        <w:rPr>
          <w:szCs w:val="20"/>
        </w:rPr>
      </w:pPr>
      <w:r w:rsidRPr="003E5CC1">
        <w:rPr>
          <w:szCs w:val="20"/>
        </w:rPr>
        <w:t>Bidders who are awarded a contract will be required to commit to signing up to the NET positives tool within 6 months of contract award.</w:t>
      </w:r>
    </w:p>
    <w:p w14:paraId="69A147F0" w14:textId="77777777" w:rsidR="00DC71D0" w:rsidRDefault="00DC71D0" w:rsidP="003C5C20">
      <w:pPr>
        <w:jc w:val="both"/>
        <w:rPr>
          <w:szCs w:val="20"/>
        </w:rPr>
      </w:pPr>
    </w:p>
    <w:p w14:paraId="3EE73920" w14:textId="2B5EC623" w:rsidR="003E5CC1" w:rsidRDefault="003E5CC1" w:rsidP="003C5C20">
      <w:pPr>
        <w:jc w:val="both"/>
        <w:rPr>
          <w:szCs w:val="20"/>
        </w:rPr>
      </w:pPr>
      <w:r w:rsidRPr="003E5CC1">
        <w:rPr>
          <w:szCs w:val="20"/>
        </w:rPr>
        <w:t xml:space="preserve">   </w:t>
      </w:r>
    </w:p>
    <w:p w14:paraId="47876361" w14:textId="77777777" w:rsidR="003E5CC1" w:rsidRPr="00620D0D" w:rsidRDefault="003E5CC1" w:rsidP="00573301">
      <w:pPr>
        <w:pStyle w:val="Heading1"/>
      </w:pPr>
      <w:bookmarkStart w:id="47" w:name="_Toc198116223"/>
      <w:bookmarkStart w:id="48" w:name="_Toc204090112"/>
      <w:bookmarkStart w:id="49" w:name="_Toc205559962"/>
      <w:r w:rsidRPr="007A28D2">
        <w:t>Community</w:t>
      </w:r>
      <w:r w:rsidRPr="00620D0D">
        <w:t xml:space="preserve"> Benefits</w:t>
      </w:r>
      <w:bookmarkEnd w:id="47"/>
      <w:bookmarkEnd w:id="48"/>
      <w:bookmarkEnd w:id="49"/>
    </w:p>
    <w:p w14:paraId="6FA7C867" w14:textId="77777777" w:rsidR="00DC71D0" w:rsidRDefault="00DC71D0" w:rsidP="003C5C20">
      <w:pPr>
        <w:jc w:val="both"/>
        <w:rPr>
          <w:szCs w:val="20"/>
        </w:rPr>
      </w:pPr>
    </w:p>
    <w:p w14:paraId="2FFC6984" w14:textId="714142AD" w:rsidR="003E5CC1" w:rsidRPr="003E5CC1" w:rsidRDefault="003E5CC1" w:rsidP="003C5C20">
      <w:pPr>
        <w:jc w:val="both"/>
        <w:rPr>
          <w:szCs w:val="20"/>
        </w:rPr>
      </w:pPr>
      <w:r w:rsidRPr="003E5CC1">
        <w:rPr>
          <w:szCs w:val="20"/>
        </w:rPr>
        <w:t xml:space="preserve">The UWTSD Group are committed to promoting Sustainable Development through its policies, strategies and services, thus achieving best value for money in the widest sense. The aim is to build stronger communities, reduce social exclusion and poverty and encourage the development of the economy. In delivering this project, we will be pursuing Community Benefits to contribute to the social, economic and environmental well-being of the wider community.   </w:t>
      </w:r>
    </w:p>
    <w:p w14:paraId="0168A84D" w14:textId="77777777" w:rsidR="003E5CC1" w:rsidRPr="003E5CC1" w:rsidRDefault="003E5CC1" w:rsidP="003C5C20">
      <w:pPr>
        <w:jc w:val="both"/>
        <w:rPr>
          <w:szCs w:val="20"/>
        </w:rPr>
      </w:pPr>
    </w:p>
    <w:p w14:paraId="270D400E" w14:textId="77777777" w:rsidR="003E5CC1" w:rsidRPr="003E5CC1" w:rsidRDefault="003E5CC1" w:rsidP="003C5C20">
      <w:pPr>
        <w:jc w:val="both"/>
        <w:rPr>
          <w:szCs w:val="20"/>
        </w:rPr>
      </w:pPr>
      <w:r w:rsidRPr="003E5CC1">
        <w:rPr>
          <w:szCs w:val="20"/>
        </w:rPr>
        <w:t>As part of the submission, the Service Provider shall outline their approach to how their proposal shall improve the economic, social and environmental well - being of the Campuses, its staff and students. This should outline how the proposal fits with Welsh Government’s Sustainable Procurement objectives.</w:t>
      </w:r>
    </w:p>
    <w:p w14:paraId="425F27C3" w14:textId="77777777" w:rsidR="003E5CC1" w:rsidRPr="003E5CC1" w:rsidRDefault="003E5CC1" w:rsidP="003C5C20">
      <w:pPr>
        <w:jc w:val="both"/>
        <w:rPr>
          <w:szCs w:val="20"/>
        </w:rPr>
      </w:pPr>
      <w:r w:rsidRPr="003E5CC1">
        <w:rPr>
          <w:szCs w:val="20"/>
        </w:rPr>
        <w:t xml:space="preserve">Service Providers are expected to consider how they might provide community benefits through its engagement and delivery of the contract and should prepare a community benefits plan. </w:t>
      </w:r>
    </w:p>
    <w:p w14:paraId="57853E8A" w14:textId="77777777" w:rsidR="003E5CC1" w:rsidRPr="003E5CC1" w:rsidRDefault="003E5CC1" w:rsidP="003C5C20">
      <w:pPr>
        <w:jc w:val="both"/>
        <w:rPr>
          <w:szCs w:val="20"/>
        </w:rPr>
      </w:pPr>
    </w:p>
    <w:p w14:paraId="2DBD1C6F" w14:textId="77777777" w:rsidR="003E5CC1" w:rsidRPr="003E5CC1" w:rsidRDefault="003E5CC1" w:rsidP="003C5C20">
      <w:pPr>
        <w:jc w:val="both"/>
        <w:rPr>
          <w:szCs w:val="20"/>
        </w:rPr>
      </w:pPr>
      <w:r w:rsidRPr="003E5CC1">
        <w:rPr>
          <w:szCs w:val="20"/>
        </w:rPr>
        <w:t>Examples of Community benefits</w:t>
      </w:r>
    </w:p>
    <w:p w14:paraId="4AF8A22B" w14:textId="77777777" w:rsidR="003E5CC1" w:rsidRPr="003E5CC1" w:rsidRDefault="003E5CC1" w:rsidP="003C5C20">
      <w:pPr>
        <w:jc w:val="both"/>
        <w:rPr>
          <w:szCs w:val="20"/>
        </w:rPr>
      </w:pPr>
      <w:r w:rsidRPr="003E5CC1">
        <w:rPr>
          <w:szCs w:val="20"/>
        </w:rPr>
        <w:t>The following list are examples community benefits that might be applied to such a scheme;</w:t>
      </w:r>
    </w:p>
    <w:p w14:paraId="3F722F47" w14:textId="77777777" w:rsidR="003E5CC1" w:rsidRPr="003E5CC1" w:rsidRDefault="003E5CC1" w:rsidP="00A8360C">
      <w:pPr>
        <w:pStyle w:val="ListParagraph"/>
        <w:widowControl/>
        <w:numPr>
          <w:ilvl w:val="0"/>
          <w:numId w:val="13"/>
        </w:numPr>
        <w:autoSpaceDE/>
        <w:autoSpaceDN/>
        <w:contextualSpacing/>
        <w:jc w:val="both"/>
        <w:textAlignment w:val="baseline"/>
        <w:rPr>
          <w:szCs w:val="20"/>
        </w:rPr>
      </w:pPr>
      <w:r w:rsidRPr="003E5CC1">
        <w:rPr>
          <w:szCs w:val="20"/>
        </w:rPr>
        <w:t>Work Experience for Students</w:t>
      </w:r>
    </w:p>
    <w:p w14:paraId="1A8C809A" w14:textId="77777777" w:rsidR="003E5CC1" w:rsidRPr="003E5CC1" w:rsidRDefault="003E5CC1" w:rsidP="00A8360C">
      <w:pPr>
        <w:pStyle w:val="ListParagraph"/>
        <w:widowControl/>
        <w:numPr>
          <w:ilvl w:val="0"/>
          <w:numId w:val="13"/>
        </w:numPr>
        <w:autoSpaceDE/>
        <w:autoSpaceDN/>
        <w:contextualSpacing/>
        <w:jc w:val="both"/>
        <w:textAlignment w:val="baseline"/>
        <w:rPr>
          <w:szCs w:val="20"/>
        </w:rPr>
      </w:pPr>
      <w:r w:rsidRPr="003E5CC1">
        <w:rPr>
          <w:szCs w:val="20"/>
        </w:rPr>
        <w:t>Student talks</w:t>
      </w:r>
    </w:p>
    <w:p w14:paraId="1B2E4434" w14:textId="77777777" w:rsidR="003E5CC1" w:rsidRPr="003E5CC1" w:rsidRDefault="003E5CC1" w:rsidP="00A8360C">
      <w:pPr>
        <w:pStyle w:val="ListParagraph"/>
        <w:widowControl/>
        <w:numPr>
          <w:ilvl w:val="0"/>
          <w:numId w:val="13"/>
        </w:numPr>
        <w:autoSpaceDE/>
        <w:autoSpaceDN/>
        <w:contextualSpacing/>
        <w:jc w:val="both"/>
        <w:textAlignment w:val="baseline"/>
        <w:rPr>
          <w:szCs w:val="20"/>
        </w:rPr>
      </w:pPr>
      <w:r w:rsidRPr="003E5CC1">
        <w:rPr>
          <w:szCs w:val="20"/>
        </w:rPr>
        <w:t>Sponsorship and donations.</w:t>
      </w:r>
    </w:p>
    <w:p w14:paraId="58FB3177" w14:textId="468341FD" w:rsidR="00DC71D0" w:rsidRDefault="003E5CC1" w:rsidP="00A8360C">
      <w:pPr>
        <w:pStyle w:val="ListParagraph"/>
        <w:widowControl/>
        <w:numPr>
          <w:ilvl w:val="0"/>
          <w:numId w:val="13"/>
        </w:numPr>
        <w:autoSpaceDE/>
        <w:autoSpaceDN/>
        <w:contextualSpacing/>
        <w:jc w:val="both"/>
        <w:textAlignment w:val="baseline"/>
        <w:rPr>
          <w:szCs w:val="20"/>
        </w:rPr>
      </w:pPr>
      <w:r w:rsidRPr="003E5CC1">
        <w:rPr>
          <w:szCs w:val="20"/>
        </w:rPr>
        <w:t>Maximizing opportunities for smaller / more local service providers for sub-contract or supply-chain opportunities.</w:t>
      </w:r>
    </w:p>
    <w:p w14:paraId="34875A4E" w14:textId="77777777" w:rsidR="00DC71D0" w:rsidRDefault="00DC71D0">
      <w:pPr>
        <w:rPr>
          <w:szCs w:val="20"/>
        </w:rPr>
      </w:pPr>
      <w:r>
        <w:rPr>
          <w:szCs w:val="20"/>
        </w:rPr>
        <w:br w:type="page"/>
      </w:r>
    </w:p>
    <w:p w14:paraId="462CD82A" w14:textId="0DF4460E" w:rsidR="002B5F34" w:rsidRDefault="002B5F34" w:rsidP="00573301">
      <w:pPr>
        <w:pStyle w:val="Heading1"/>
      </w:pPr>
      <w:bookmarkStart w:id="50" w:name="_Toc205559963"/>
      <w:r w:rsidRPr="002B5F34">
        <w:lastRenderedPageBreak/>
        <w:t>Tender Evaluation Criteria</w:t>
      </w:r>
      <w:bookmarkEnd w:id="50"/>
    </w:p>
    <w:p w14:paraId="503A9AB1" w14:textId="77777777" w:rsidR="00593CCF" w:rsidRPr="00E43213" w:rsidRDefault="00593CCF" w:rsidP="00E43213">
      <w:pPr>
        <w:rPr>
          <w:rFonts w:asciiTheme="minorHAnsi" w:hAnsiTheme="minorHAnsi" w:cstheme="minorHAnsi"/>
          <w:lang w:val="en-GB"/>
        </w:rPr>
      </w:pPr>
    </w:p>
    <w:p w14:paraId="2EBDDD6D" w14:textId="182BE970" w:rsidR="00557FEA" w:rsidRDefault="002B5F34" w:rsidP="00E43213">
      <w:pPr>
        <w:rPr>
          <w:rFonts w:asciiTheme="minorHAnsi" w:hAnsiTheme="minorHAnsi" w:cstheme="minorHAnsi"/>
          <w:lang w:val="en-GB"/>
        </w:rPr>
      </w:pPr>
      <w:r w:rsidRPr="00E43213">
        <w:rPr>
          <w:rFonts w:asciiTheme="minorHAnsi" w:hAnsiTheme="minorHAnsi" w:cstheme="minorHAnsi"/>
          <w:lang w:val="en-GB"/>
        </w:rPr>
        <w:t>Tender submissions will be assessed on the basis of both quality and price with the following weighting:</w:t>
      </w:r>
    </w:p>
    <w:p w14:paraId="67A73158" w14:textId="77777777" w:rsidR="003E5CC1" w:rsidRPr="00E43213" w:rsidRDefault="003E5CC1" w:rsidP="00E43213">
      <w:pPr>
        <w:rPr>
          <w:rFonts w:asciiTheme="minorHAnsi" w:hAnsiTheme="minorHAnsi" w:cstheme="minorHAnsi"/>
          <w:lang w:val="en-GB"/>
        </w:rPr>
      </w:pPr>
    </w:p>
    <w:p w14:paraId="2B71E0BE" w14:textId="1BB77985" w:rsidR="00557FEA" w:rsidRPr="00557FEA" w:rsidRDefault="00DC71D0" w:rsidP="00DC71D0">
      <w:pPr>
        <w:jc w:val="both"/>
        <w:rPr>
          <w:rFonts w:asciiTheme="minorHAnsi" w:hAnsiTheme="minorHAnsi" w:cstheme="minorHAnsi"/>
        </w:rPr>
      </w:pPr>
      <w:r>
        <w:rPr>
          <w:rFonts w:asciiTheme="minorHAnsi" w:hAnsiTheme="minorHAnsi" w:cstheme="minorHAnsi"/>
          <w:b/>
        </w:rPr>
        <w:t xml:space="preserve">Appendix A - </w:t>
      </w:r>
      <w:r w:rsidR="00557FEA" w:rsidRPr="00557FEA">
        <w:rPr>
          <w:rFonts w:asciiTheme="minorHAnsi" w:hAnsiTheme="minorHAnsi" w:cstheme="minorHAnsi"/>
          <w:b/>
        </w:rPr>
        <w:t xml:space="preserve">Quality:    </w:t>
      </w:r>
      <w:r w:rsidR="00557FEA" w:rsidRPr="00557FEA">
        <w:rPr>
          <w:rFonts w:asciiTheme="minorHAnsi" w:hAnsiTheme="minorHAnsi" w:cstheme="minorHAnsi"/>
          <w:b/>
        </w:rPr>
        <w:tab/>
      </w:r>
      <w:r>
        <w:rPr>
          <w:rFonts w:asciiTheme="minorHAnsi" w:hAnsiTheme="minorHAnsi" w:cstheme="minorHAnsi"/>
          <w:b/>
        </w:rPr>
        <w:tab/>
      </w:r>
      <w:r w:rsidR="00557FEA" w:rsidRPr="00557FEA">
        <w:rPr>
          <w:rFonts w:asciiTheme="minorHAnsi" w:hAnsiTheme="minorHAnsi" w:cstheme="minorHAnsi"/>
          <w:b/>
        </w:rPr>
        <w:t>70%</w:t>
      </w:r>
    </w:p>
    <w:p w14:paraId="697271B3" w14:textId="68BDA447" w:rsidR="00557FEA" w:rsidRDefault="00DC71D0" w:rsidP="00DC71D0">
      <w:pPr>
        <w:jc w:val="both"/>
        <w:rPr>
          <w:rFonts w:asciiTheme="minorHAnsi" w:hAnsiTheme="minorHAnsi" w:cstheme="minorHAnsi"/>
          <w:b/>
        </w:rPr>
      </w:pPr>
      <w:r>
        <w:rPr>
          <w:rFonts w:asciiTheme="minorHAnsi" w:hAnsiTheme="minorHAnsi" w:cstheme="minorHAnsi"/>
          <w:b/>
        </w:rPr>
        <w:t xml:space="preserve">Appendix B - </w:t>
      </w:r>
      <w:r w:rsidR="002B5F34" w:rsidRPr="00557FEA">
        <w:rPr>
          <w:rFonts w:asciiTheme="minorHAnsi" w:hAnsiTheme="minorHAnsi" w:cstheme="minorHAnsi"/>
          <w:b/>
        </w:rPr>
        <w:t xml:space="preserve">Price:       </w:t>
      </w:r>
      <w:r w:rsidR="00557FEA" w:rsidRPr="00557FEA">
        <w:rPr>
          <w:rFonts w:asciiTheme="minorHAnsi" w:hAnsiTheme="minorHAnsi" w:cstheme="minorHAnsi"/>
          <w:b/>
        </w:rPr>
        <w:tab/>
      </w:r>
      <w:r>
        <w:rPr>
          <w:rFonts w:asciiTheme="minorHAnsi" w:hAnsiTheme="minorHAnsi" w:cstheme="minorHAnsi"/>
          <w:b/>
        </w:rPr>
        <w:tab/>
      </w:r>
      <w:r w:rsidR="002B5F34" w:rsidRPr="00557FEA">
        <w:rPr>
          <w:rFonts w:asciiTheme="minorHAnsi" w:hAnsiTheme="minorHAnsi" w:cstheme="minorHAnsi"/>
          <w:b/>
        </w:rPr>
        <w:t>30%</w:t>
      </w:r>
    </w:p>
    <w:p w14:paraId="3F69B60C" w14:textId="77777777" w:rsidR="00E43213" w:rsidRDefault="00E43213" w:rsidP="00557FEA">
      <w:pPr>
        <w:jc w:val="both"/>
        <w:rPr>
          <w:rFonts w:asciiTheme="minorHAnsi" w:hAnsiTheme="minorHAnsi" w:cstheme="minorHAnsi"/>
          <w:b/>
        </w:rPr>
      </w:pPr>
    </w:p>
    <w:p w14:paraId="613A9A79" w14:textId="2CD72D09" w:rsidR="002B5F34" w:rsidRPr="00557FEA" w:rsidRDefault="002B5F34" w:rsidP="00557FEA">
      <w:pPr>
        <w:jc w:val="both"/>
        <w:rPr>
          <w:rFonts w:asciiTheme="minorHAnsi" w:hAnsiTheme="minorHAnsi" w:cstheme="minorHAnsi"/>
        </w:rPr>
      </w:pPr>
      <w:r w:rsidRPr="00557FEA">
        <w:rPr>
          <w:rFonts w:asciiTheme="minorHAnsi" w:hAnsiTheme="minorHAnsi" w:cstheme="minorHAnsi"/>
        </w:rPr>
        <w:t>The following scoring matrix will be used to evaluate received bids;</w:t>
      </w:r>
    </w:p>
    <w:p w14:paraId="6D456E95" w14:textId="77777777" w:rsidR="002B5F34" w:rsidRPr="002B5F34" w:rsidRDefault="002B5F34" w:rsidP="002B5F34">
      <w:pPr>
        <w:jc w:val="both"/>
        <w:rPr>
          <w:rFonts w:cstheme="minorHAnsi"/>
        </w:rPr>
      </w:pPr>
    </w:p>
    <w:tbl>
      <w:tblPr>
        <w:tblStyle w:val="TableGrid"/>
        <w:tblW w:w="0" w:type="auto"/>
        <w:tblInd w:w="108" w:type="dxa"/>
        <w:tblLook w:val="04A0" w:firstRow="1" w:lastRow="0" w:firstColumn="1" w:lastColumn="0" w:noHBand="0" w:noVBand="1"/>
      </w:tblPr>
      <w:tblGrid>
        <w:gridCol w:w="1359"/>
        <w:gridCol w:w="6738"/>
        <w:gridCol w:w="817"/>
      </w:tblGrid>
      <w:tr w:rsidR="002B5F34" w:rsidRPr="002B5F34" w14:paraId="1CE41B64" w14:textId="77777777" w:rsidTr="003C5C20">
        <w:trPr>
          <w:trHeight w:val="406"/>
        </w:trPr>
        <w:tc>
          <w:tcPr>
            <w:tcW w:w="135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0450387" w14:textId="77777777" w:rsidR="002B5F34" w:rsidRPr="00557FEA" w:rsidRDefault="002B5F34" w:rsidP="006B5708">
            <w:pPr>
              <w:rPr>
                <w:b/>
                <w:color w:val="FFFFFF" w:themeColor="background1"/>
                <w:szCs w:val="20"/>
              </w:rPr>
            </w:pPr>
            <w:r w:rsidRPr="00557FEA">
              <w:rPr>
                <w:b/>
                <w:color w:val="FFFFFF" w:themeColor="background1"/>
                <w:szCs w:val="20"/>
              </w:rPr>
              <w:t>ASSESSMENT</w:t>
            </w:r>
          </w:p>
        </w:tc>
        <w:tc>
          <w:tcPr>
            <w:tcW w:w="673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2A51748" w14:textId="77777777" w:rsidR="002B5F34" w:rsidRPr="00557FEA" w:rsidRDefault="002B5F34" w:rsidP="006B5708">
            <w:pPr>
              <w:rPr>
                <w:b/>
                <w:color w:val="FFFFFF" w:themeColor="background1"/>
                <w:szCs w:val="20"/>
              </w:rPr>
            </w:pPr>
            <w:r w:rsidRPr="00557FEA">
              <w:rPr>
                <w:b/>
                <w:color w:val="FFFFFF" w:themeColor="background1"/>
                <w:szCs w:val="20"/>
              </w:rPr>
              <w:t>DESCRIPTION</w:t>
            </w:r>
          </w:p>
        </w:tc>
        <w:tc>
          <w:tcPr>
            <w:tcW w:w="81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27AD256" w14:textId="77777777" w:rsidR="002B5F34" w:rsidRPr="00557FEA" w:rsidRDefault="002B5F34" w:rsidP="006B5708">
            <w:pPr>
              <w:jc w:val="center"/>
              <w:rPr>
                <w:b/>
                <w:color w:val="FFFFFF" w:themeColor="background1"/>
                <w:szCs w:val="20"/>
              </w:rPr>
            </w:pPr>
            <w:r w:rsidRPr="00557FEA">
              <w:rPr>
                <w:b/>
                <w:color w:val="FFFFFF" w:themeColor="background1"/>
                <w:szCs w:val="20"/>
              </w:rPr>
              <w:t>SCORE</w:t>
            </w:r>
          </w:p>
        </w:tc>
      </w:tr>
      <w:tr w:rsidR="002B5F34" w:rsidRPr="002B5F34" w14:paraId="5B30C317" w14:textId="77777777" w:rsidTr="003C5C20">
        <w:trPr>
          <w:trHeight w:val="666"/>
        </w:trPr>
        <w:tc>
          <w:tcPr>
            <w:tcW w:w="1359" w:type="dxa"/>
            <w:tcBorders>
              <w:top w:val="single" w:sz="4" w:space="0" w:color="auto"/>
              <w:left w:val="single" w:sz="4" w:space="0" w:color="auto"/>
              <w:bottom w:val="single" w:sz="4" w:space="0" w:color="auto"/>
              <w:right w:val="single" w:sz="4" w:space="0" w:color="auto"/>
            </w:tcBorders>
            <w:vAlign w:val="center"/>
            <w:hideMark/>
          </w:tcPr>
          <w:p w14:paraId="75FB7F40" w14:textId="77777777" w:rsidR="002B5F34" w:rsidRPr="00557FEA" w:rsidRDefault="002B5F34" w:rsidP="00557FEA">
            <w:pPr>
              <w:spacing w:after="240"/>
              <w:rPr>
                <w:rFonts w:cs="Tahoma"/>
                <w:b/>
                <w:szCs w:val="20"/>
              </w:rPr>
            </w:pPr>
            <w:r w:rsidRPr="00557FEA">
              <w:rPr>
                <w:b/>
                <w:color w:val="FF0000"/>
                <w:szCs w:val="20"/>
              </w:rPr>
              <w:br w:type="page"/>
            </w:r>
            <w:r w:rsidRPr="00557FEA">
              <w:rPr>
                <w:rFonts w:cs="Tahoma"/>
                <w:b/>
                <w:szCs w:val="20"/>
              </w:rPr>
              <w:t>Outstanding</w:t>
            </w:r>
          </w:p>
        </w:tc>
        <w:tc>
          <w:tcPr>
            <w:tcW w:w="6738" w:type="dxa"/>
            <w:tcBorders>
              <w:top w:val="single" w:sz="4" w:space="0" w:color="auto"/>
              <w:left w:val="single" w:sz="4" w:space="0" w:color="auto"/>
              <w:bottom w:val="single" w:sz="4" w:space="0" w:color="auto"/>
              <w:right w:val="single" w:sz="4" w:space="0" w:color="auto"/>
            </w:tcBorders>
            <w:vAlign w:val="center"/>
            <w:hideMark/>
          </w:tcPr>
          <w:p w14:paraId="4C4DB5BB" w14:textId="77777777" w:rsidR="002B5F34" w:rsidRPr="00557FEA" w:rsidRDefault="002B5F34" w:rsidP="00557FEA">
            <w:pPr>
              <w:spacing w:after="240"/>
              <w:jc w:val="both"/>
              <w:rPr>
                <w:szCs w:val="20"/>
              </w:rPr>
            </w:pPr>
            <w:r w:rsidRPr="00557FEA">
              <w:rPr>
                <w:b/>
                <w:szCs w:val="20"/>
              </w:rPr>
              <w:t>Exceeds</w:t>
            </w:r>
            <w:r w:rsidRPr="00557FEA">
              <w:rPr>
                <w:szCs w:val="20"/>
              </w:rPr>
              <w:t xml:space="preserve"> the requirement with significant additional benefits. </w:t>
            </w:r>
          </w:p>
          <w:p w14:paraId="5C41ADF5" w14:textId="77777777" w:rsidR="002B5F34" w:rsidRPr="00557FEA" w:rsidRDefault="002B5F34" w:rsidP="00557FEA">
            <w:pPr>
              <w:spacing w:after="240"/>
              <w:jc w:val="both"/>
              <w:rPr>
                <w:rFonts w:cs="Tahoma"/>
                <w:szCs w:val="20"/>
              </w:rPr>
            </w:pPr>
            <w:r w:rsidRPr="00557FEA">
              <w:rPr>
                <w:szCs w:val="20"/>
              </w:rPr>
              <w:t>In addition to demonstration by the Bidder of the relevant ability, flexibility, understanding, skills, resource and quality measures required to provide the services, the response identifies factors that will offer significant potential added value.  Significant evidence provided to support the response.</w:t>
            </w:r>
          </w:p>
        </w:tc>
        <w:tc>
          <w:tcPr>
            <w:tcW w:w="817" w:type="dxa"/>
            <w:tcBorders>
              <w:top w:val="single" w:sz="4" w:space="0" w:color="auto"/>
              <w:left w:val="single" w:sz="4" w:space="0" w:color="auto"/>
              <w:bottom w:val="single" w:sz="4" w:space="0" w:color="auto"/>
              <w:right w:val="single" w:sz="4" w:space="0" w:color="auto"/>
            </w:tcBorders>
            <w:vAlign w:val="center"/>
            <w:hideMark/>
          </w:tcPr>
          <w:p w14:paraId="5EBB86D7" w14:textId="77777777" w:rsidR="002B5F34" w:rsidRPr="00557FEA" w:rsidRDefault="002B5F34" w:rsidP="00557FEA">
            <w:pPr>
              <w:spacing w:after="240"/>
              <w:jc w:val="center"/>
              <w:rPr>
                <w:b/>
                <w:szCs w:val="20"/>
              </w:rPr>
            </w:pPr>
            <w:r w:rsidRPr="00557FEA">
              <w:rPr>
                <w:b/>
                <w:szCs w:val="20"/>
              </w:rPr>
              <w:t>10</w:t>
            </w:r>
          </w:p>
        </w:tc>
      </w:tr>
      <w:tr w:rsidR="002B5F34" w:rsidRPr="002B5F34" w14:paraId="6E0196B6" w14:textId="77777777" w:rsidTr="003C5C20">
        <w:trPr>
          <w:trHeight w:val="687"/>
        </w:trPr>
        <w:tc>
          <w:tcPr>
            <w:tcW w:w="1359" w:type="dxa"/>
            <w:tcBorders>
              <w:top w:val="single" w:sz="4" w:space="0" w:color="auto"/>
              <w:left w:val="single" w:sz="4" w:space="0" w:color="auto"/>
              <w:bottom w:val="single" w:sz="4" w:space="0" w:color="auto"/>
              <w:right w:val="single" w:sz="4" w:space="0" w:color="auto"/>
            </w:tcBorders>
            <w:vAlign w:val="center"/>
            <w:hideMark/>
          </w:tcPr>
          <w:p w14:paraId="78B93327" w14:textId="77777777" w:rsidR="002B5F34" w:rsidRPr="00557FEA" w:rsidRDefault="002B5F34" w:rsidP="00557FEA">
            <w:pPr>
              <w:spacing w:after="240"/>
              <w:rPr>
                <w:rFonts w:cs="Tahoma"/>
                <w:b/>
                <w:szCs w:val="20"/>
              </w:rPr>
            </w:pPr>
            <w:r w:rsidRPr="00557FEA">
              <w:rPr>
                <w:rFonts w:cs="Tahoma"/>
                <w:b/>
                <w:szCs w:val="20"/>
              </w:rPr>
              <w:t>Excellent</w:t>
            </w:r>
          </w:p>
        </w:tc>
        <w:tc>
          <w:tcPr>
            <w:tcW w:w="6738" w:type="dxa"/>
            <w:tcBorders>
              <w:top w:val="single" w:sz="4" w:space="0" w:color="auto"/>
              <w:left w:val="single" w:sz="4" w:space="0" w:color="auto"/>
              <w:bottom w:val="single" w:sz="4" w:space="0" w:color="auto"/>
              <w:right w:val="single" w:sz="4" w:space="0" w:color="auto"/>
            </w:tcBorders>
            <w:vAlign w:val="center"/>
            <w:hideMark/>
          </w:tcPr>
          <w:p w14:paraId="73EC4B49" w14:textId="77777777" w:rsidR="002B5F34" w:rsidRPr="00557FEA" w:rsidRDefault="002B5F34" w:rsidP="00557FEA">
            <w:pPr>
              <w:spacing w:after="240"/>
              <w:jc w:val="both"/>
              <w:rPr>
                <w:rFonts w:cs="Tahoma"/>
                <w:szCs w:val="20"/>
              </w:rPr>
            </w:pPr>
            <w:r w:rsidRPr="00557FEA">
              <w:rPr>
                <w:rFonts w:cs="Tahoma"/>
                <w:szCs w:val="20"/>
              </w:rPr>
              <w:t xml:space="preserve">Response meets all requirements while providing full evidence to support the response with additional value and benefits and a high level of confidence. </w:t>
            </w:r>
          </w:p>
        </w:tc>
        <w:tc>
          <w:tcPr>
            <w:tcW w:w="817" w:type="dxa"/>
            <w:tcBorders>
              <w:top w:val="single" w:sz="4" w:space="0" w:color="auto"/>
              <w:left w:val="single" w:sz="4" w:space="0" w:color="auto"/>
              <w:bottom w:val="single" w:sz="4" w:space="0" w:color="auto"/>
              <w:right w:val="single" w:sz="4" w:space="0" w:color="auto"/>
            </w:tcBorders>
            <w:vAlign w:val="center"/>
            <w:hideMark/>
          </w:tcPr>
          <w:p w14:paraId="4B1133EB" w14:textId="77777777" w:rsidR="002B5F34" w:rsidRPr="00557FEA" w:rsidRDefault="002B5F34" w:rsidP="00557FEA">
            <w:pPr>
              <w:spacing w:after="240"/>
              <w:jc w:val="center"/>
              <w:rPr>
                <w:b/>
                <w:szCs w:val="20"/>
              </w:rPr>
            </w:pPr>
            <w:r w:rsidRPr="00557FEA">
              <w:rPr>
                <w:b/>
                <w:szCs w:val="20"/>
              </w:rPr>
              <w:t>9</w:t>
            </w:r>
          </w:p>
        </w:tc>
      </w:tr>
      <w:tr w:rsidR="002B5F34" w:rsidRPr="002B5F34" w14:paraId="1D9B4D30" w14:textId="77777777" w:rsidTr="003C5C20">
        <w:trPr>
          <w:trHeight w:val="416"/>
        </w:trPr>
        <w:tc>
          <w:tcPr>
            <w:tcW w:w="1359" w:type="dxa"/>
            <w:tcBorders>
              <w:top w:val="single" w:sz="4" w:space="0" w:color="auto"/>
              <w:left w:val="single" w:sz="4" w:space="0" w:color="auto"/>
              <w:bottom w:val="single" w:sz="4" w:space="0" w:color="auto"/>
              <w:right w:val="single" w:sz="4" w:space="0" w:color="auto"/>
            </w:tcBorders>
            <w:vAlign w:val="center"/>
            <w:hideMark/>
          </w:tcPr>
          <w:p w14:paraId="4DFFA3E0" w14:textId="77777777" w:rsidR="002B5F34" w:rsidRPr="00557FEA" w:rsidRDefault="002B5F34" w:rsidP="00557FEA">
            <w:pPr>
              <w:spacing w:after="240"/>
              <w:rPr>
                <w:rFonts w:cs="Tahoma"/>
                <w:b/>
                <w:szCs w:val="20"/>
              </w:rPr>
            </w:pPr>
            <w:r w:rsidRPr="00557FEA">
              <w:rPr>
                <w:rFonts w:cs="Tahoma"/>
                <w:b/>
                <w:szCs w:val="20"/>
              </w:rPr>
              <w:t>Very Good</w:t>
            </w:r>
          </w:p>
        </w:tc>
        <w:tc>
          <w:tcPr>
            <w:tcW w:w="6738" w:type="dxa"/>
            <w:tcBorders>
              <w:top w:val="single" w:sz="4" w:space="0" w:color="auto"/>
              <w:left w:val="single" w:sz="4" w:space="0" w:color="auto"/>
              <w:bottom w:val="single" w:sz="4" w:space="0" w:color="auto"/>
              <w:right w:val="single" w:sz="4" w:space="0" w:color="auto"/>
            </w:tcBorders>
            <w:vAlign w:val="center"/>
            <w:hideMark/>
          </w:tcPr>
          <w:p w14:paraId="633EA79B" w14:textId="77777777" w:rsidR="002B5F34" w:rsidRPr="00557FEA" w:rsidRDefault="002B5F34" w:rsidP="00557FEA">
            <w:pPr>
              <w:spacing w:after="240"/>
              <w:jc w:val="both"/>
              <w:rPr>
                <w:rFonts w:cs="Tahoma"/>
                <w:szCs w:val="20"/>
              </w:rPr>
            </w:pPr>
            <w:r w:rsidRPr="00557FEA">
              <w:rPr>
                <w:rFonts w:cs="Tahoma"/>
                <w:szCs w:val="20"/>
              </w:rPr>
              <w:t>Response meets all requirements with a good evidence base and some added benefits.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75B0E057" w14:textId="77777777" w:rsidR="002B5F34" w:rsidRPr="00557FEA" w:rsidRDefault="002B5F34" w:rsidP="00557FEA">
            <w:pPr>
              <w:spacing w:after="240"/>
              <w:jc w:val="center"/>
              <w:rPr>
                <w:b/>
                <w:szCs w:val="20"/>
              </w:rPr>
            </w:pPr>
            <w:r w:rsidRPr="00557FEA">
              <w:rPr>
                <w:b/>
                <w:szCs w:val="20"/>
              </w:rPr>
              <w:t>8</w:t>
            </w:r>
          </w:p>
        </w:tc>
      </w:tr>
      <w:tr w:rsidR="002B5F34" w:rsidRPr="002B5F34" w14:paraId="7C72EAF0" w14:textId="77777777" w:rsidTr="003C5C20">
        <w:trPr>
          <w:trHeight w:val="423"/>
        </w:trPr>
        <w:tc>
          <w:tcPr>
            <w:tcW w:w="1359" w:type="dxa"/>
            <w:tcBorders>
              <w:top w:val="single" w:sz="4" w:space="0" w:color="auto"/>
              <w:left w:val="single" w:sz="4" w:space="0" w:color="auto"/>
              <w:bottom w:val="single" w:sz="4" w:space="0" w:color="auto"/>
              <w:right w:val="single" w:sz="4" w:space="0" w:color="auto"/>
            </w:tcBorders>
            <w:vAlign w:val="center"/>
            <w:hideMark/>
          </w:tcPr>
          <w:p w14:paraId="69ECED59" w14:textId="77777777" w:rsidR="002B5F34" w:rsidRPr="00557FEA" w:rsidRDefault="002B5F34" w:rsidP="00557FEA">
            <w:pPr>
              <w:spacing w:after="240"/>
              <w:rPr>
                <w:rFonts w:cs="Tahoma"/>
                <w:b/>
                <w:szCs w:val="20"/>
              </w:rPr>
            </w:pPr>
            <w:r w:rsidRPr="00557FEA">
              <w:rPr>
                <w:rFonts w:cs="Tahoma"/>
                <w:b/>
                <w:szCs w:val="20"/>
              </w:rPr>
              <w:t>Good</w:t>
            </w:r>
          </w:p>
        </w:tc>
        <w:tc>
          <w:tcPr>
            <w:tcW w:w="6738" w:type="dxa"/>
            <w:tcBorders>
              <w:top w:val="single" w:sz="4" w:space="0" w:color="auto"/>
              <w:left w:val="single" w:sz="4" w:space="0" w:color="auto"/>
              <w:bottom w:val="single" w:sz="4" w:space="0" w:color="auto"/>
              <w:right w:val="single" w:sz="4" w:space="0" w:color="auto"/>
            </w:tcBorders>
            <w:vAlign w:val="center"/>
            <w:hideMark/>
          </w:tcPr>
          <w:p w14:paraId="415A510A" w14:textId="77777777" w:rsidR="002B5F34" w:rsidRPr="00557FEA" w:rsidRDefault="002B5F34" w:rsidP="00557FEA">
            <w:pPr>
              <w:spacing w:after="240"/>
              <w:jc w:val="both"/>
              <w:rPr>
                <w:rFonts w:cs="Tahoma"/>
                <w:szCs w:val="20"/>
              </w:rPr>
            </w:pPr>
            <w:r w:rsidRPr="00557FEA">
              <w:rPr>
                <w:rFonts w:cs="Tahoma"/>
                <w:szCs w:val="20"/>
              </w:rPr>
              <w:t>Response meets all requirements to the minimal level required. No concerns.</w:t>
            </w:r>
          </w:p>
        </w:tc>
        <w:tc>
          <w:tcPr>
            <w:tcW w:w="817" w:type="dxa"/>
            <w:tcBorders>
              <w:top w:val="single" w:sz="4" w:space="0" w:color="auto"/>
              <w:left w:val="single" w:sz="4" w:space="0" w:color="auto"/>
              <w:bottom w:val="single" w:sz="4" w:space="0" w:color="auto"/>
              <w:right w:val="single" w:sz="4" w:space="0" w:color="auto"/>
            </w:tcBorders>
            <w:vAlign w:val="center"/>
            <w:hideMark/>
          </w:tcPr>
          <w:p w14:paraId="40E3C114" w14:textId="77777777" w:rsidR="002B5F34" w:rsidRPr="00557FEA" w:rsidRDefault="002B5F34" w:rsidP="00557FEA">
            <w:pPr>
              <w:spacing w:after="240"/>
              <w:jc w:val="center"/>
              <w:rPr>
                <w:b/>
                <w:szCs w:val="20"/>
              </w:rPr>
            </w:pPr>
            <w:r w:rsidRPr="00557FEA">
              <w:rPr>
                <w:b/>
                <w:szCs w:val="20"/>
              </w:rPr>
              <w:t>7</w:t>
            </w:r>
          </w:p>
        </w:tc>
      </w:tr>
      <w:tr w:rsidR="002B5F34" w:rsidRPr="002B5F34" w14:paraId="66BD27A6" w14:textId="77777777" w:rsidTr="003C5C20">
        <w:trPr>
          <w:trHeight w:val="557"/>
        </w:trPr>
        <w:tc>
          <w:tcPr>
            <w:tcW w:w="1359" w:type="dxa"/>
            <w:tcBorders>
              <w:top w:val="single" w:sz="4" w:space="0" w:color="auto"/>
              <w:left w:val="single" w:sz="4" w:space="0" w:color="auto"/>
              <w:bottom w:val="single" w:sz="4" w:space="0" w:color="auto"/>
              <w:right w:val="single" w:sz="4" w:space="0" w:color="auto"/>
            </w:tcBorders>
            <w:vAlign w:val="center"/>
            <w:hideMark/>
          </w:tcPr>
          <w:p w14:paraId="5FABEEC0" w14:textId="77777777" w:rsidR="002B5F34" w:rsidRPr="00557FEA" w:rsidRDefault="002B5F34" w:rsidP="00557FEA">
            <w:pPr>
              <w:spacing w:after="240"/>
              <w:rPr>
                <w:rFonts w:cs="Tahoma"/>
                <w:b/>
                <w:szCs w:val="20"/>
              </w:rPr>
            </w:pPr>
            <w:r w:rsidRPr="00557FEA">
              <w:rPr>
                <w:rFonts w:cs="Tahoma"/>
                <w:b/>
                <w:szCs w:val="20"/>
              </w:rPr>
              <w:t>Competent</w:t>
            </w:r>
          </w:p>
        </w:tc>
        <w:tc>
          <w:tcPr>
            <w:tcW w:w="6738" w:type="dxa"/>
            <w:tcBorders>
              <w:top w:val="single" w:sz="4" w:space="0" w:color="auto"/>
              <w:left w:val="single" w:sz="4" w:space="0" w:color="auto"/>
              <w:bottom w:val="single" w:sz="4" w:space="0" w:color="auto"/>
              <w:right w:val="single" w:sz="4" w:space="0" w:color="auto"/>
            </w:tcBorders>
            <w:vAlign w:val="center"/>
            <w:hideMark/>
          </w:tcPr>
          <w:p w14:paraId="61F31570" w14:textId="77777777" w:rsidR="002B5F34" w:rsidRPr="00557FEA" w:rsidRDefault="002B5F34" w:rsidP="00557FEA">
            <w:pPr>
              <w:spacing w:after="240"/>
              <w:jc w:val="both"/>
              <w:rPr>
                <w:rFonts w:cs="Tahoma"/>
                <w:szCs w:val="20"/>
              </w:rPr>
            </w:pPr>
            <w:r w:rsidRPr="00557FEA">
              <w:rPr>
                <w:rFonts w:cs="Tahoma"/>
                <w:szCs w:val="20"/>
              </w:rPr>
              <w:t>Response is complete and meets all minimum requirements. Some minor concerns.</w:t>
            </w:r>
          </w:p>
        </w:tc>
        <w:tc>
          <w:tcPr>
            <w:tcW w:w="817" w:type="dxa"/>
            <w:tcBorders>
              <w:top w:val="single" w:sz="4" w:space="0" w:color="auto"/>
              <w:left w:val="single" w:sz="4" w:space="0" w:color="auto"/>
              <w:bottom w:val="single" w:sz="4" w:space="0" w:color="auto"/>
              <w:right w:val="single" w:sz="4" w:space="0" w:color="auto"/>
            </w:tcBorders>
            <w:vAlign w:val="center"/>
            <w:hideMark/>
          </w:tcPr>
          <w:p w14:paraId="458A53C9" w14:textId="77777777" w:rsidR="002B5F34" w:rsidRPr="00557FEA" w:rsidRDefault="002B5F34" w:rsidP="00557FEA">
            <w:pPr>
              <w:spacing w:after="240"/>
              <w:jc w:val="center"/>
              <w:rPr>
                <w:b/>
                <w:szCs w:val="20"/>
              </w:rPr>
            </w:pPr>
            <w:r w:rsidRPr="00557FEA">
              <w:rPr>
                <w:b/>
                <w:szCs w:val="20"/>
              </w:rPr>
              <w:t>6</w:t>
            </w:r>
          </w:p>
        </w:tc>
      </w:tr>
      <w:tr w:rsidR="002B5F34" w:rsidRPr="002B5F34" w14:paraId="53645F39" w14:textId="77777777" w:rsidTr="003C5C20">
        <w:trPr>
          <w:trHeight w:val="423"/>
        </w:trPr>
        <w:tc>
          <w:tcPr>
            <w:tcW w:w="1359" w:type="dxa"/>
            <w:tcBorders>
              <w:top w:val="single" w:sz="4" w:space="0" w:color="auto"/>
              <w:left w:val="single" w:sz="4" w:space="0" w:color="auto"/>
              <w:bottom w:val="single" w:sz="4" w:space="0" w:color="auto"/>
              <w:right w:val="single" w:sz="4" w:space="0" w:color="auto"/>
            </w:tcBorders>
            <w:vAlign w:val="center"/>
            <w:hideMark/>
          </w:tcPr>
          <w:p w14:paraId="01A6FF26" w14:textId="77777777" w:rsidR="002B5F34" w:rsidRPr="00557FEA" w:rsidRDefault="002B5F34" w:rsidP="00557FEA">
            <w:pPr>
              <w:spacing w:after="240"/>
              <w:rPr>
                <w:rFonts w:cs="Tahoma"/>
                <w:szCs w:val="20"/>
              </w:rPr>
            </w:pPr>
            <w:r w:rsidRPr="00557FEA">
              <w:rPr>
                <w:rFonts w:cs="Tahoma"/>
                <w:b/>
                <w:szCs w:val="20"/>
              </w:rPr>
              <w:t>Acceptable</w:t>
            </w:r>
          </w:p>
        </w:tc>
        <w:tc>
          <w:tcPr>
            <w:tcW w:w="6738" w:type="dxa"/>
            <w:tcBorders>
              <w:top w:val="single" w:sz="4" w:space="0" w:color="auto"/>
              <w:left w:val="single" w:sz="4" w:space="0" w:color="auto"/>
              <w:bottom w:val="single" w:sz="4" w:space="0" w:color="auto"/>
              <w:right w:val="single" w:sz="4" w:space="0" w:color="auto"/>
            </w:tcBorders>
            <w:vAlign w:val="center"/>
            <w:hideMark/>
          </w:tcPr>
          <w:p w14:paraId="7E97013C" w14:textId="77777777" w:rsidR="002B5F34" w:rsidRPr="00557FEA" w:rsidRDefault="002B5F34" w:rsidP="00557FEA">
            <w:pPr>
              <w:spacing w:after="240"/>
              <w:jc w:val="both"/>
              <w:rPr>
                <w:rFonts w:cs="Tahoma"/>
                <w:szCs w:val="20"/>
              </w:rPr>
            </w:pPr>
            <w:r w:rsidRPr="00557FEA">
              <w:rPr>
                <w:rFonts w:cs="Tahoma"/>
                <w:szCs w:val="20"/>
              </w:rPr>
              <w:t>Response meets all minimum requirements, but with concerns.</w:t>
            </w:r>
          </w:p>
        </w:tc>
        <w:tc>
          <w:tcPr>
            <w:tcW w:w="817" w:type="dxa"/>
            <w:tcBorders>
              <w:top w:val="single" w:sz="4" w:space="0" w:color="auto"/>
              <w:left w:val="single" w:sz="4" w:space="0" w:color="auto"/>
              <w:bottom w:val="single" w:sz="4" w:space="0" w:color="auto"/>
              <w:right w:val="single" w:sz="4" w:space="0" w:color="auto"/>
            </w:tcBorders>
            <w:vAlign w:val="center"/>
            <w:hideMark/>
          </w:tcPr>
          <w:p w14:paraId="02174FFD" w14:textId="77777777" w:rsidR="002B5F34" w:rsidRPr="00557FEA" w:rsidRDefault="002B5F34" w:rsidP="00557FEA">
            <w:pPr>
              <w:spacing w:after="240"/>
              <w:jc w:val="center"/>
              <w:rPr>
                <w:b/>
                <w:szCs w:val="20"/>
              </w:rPr>
            </w:pPr>
            <w:r w:rsidRPr="00557FEA">
              <w:rPr>
                <w:b/>
                <w:szCs w:val="20"/>
              </w:rPr>
              <w:t>5</w:t>
            </w:r>
          </w:p>
        </w:tc>
      </w:tr>
      <w:tr w:rsidR="002B5F34" w:rsidRPr="002B5F34" w14:paraId="76495404" w14:textId="77777777" w:rsidTr="003C5C20">
        <w:trPr>
          <w:trHeight w:val="543"/>
        </w:trPr>
        <w:tc>
          <w:tcPr>
            <w:tcW w:w="1359" w:type="dxa"/>
            <w:tcBorders>
              <w:top w:val="single" w:sz="4" w:space="0" w:color="auto"/>
              <w:left w:val="single" w:sz="4" w:space="0" w:color="auto"/>
              <w:bottom w:val="single" w:sz="4" w:space="0" w:color="auto"/>
              <w:right w:val="single" w:sz="4" w:space="0" w:color="auto"/>
            </w:tcBorders>
            <w:vAlign w:val="center"/>
            <w:hideMark/>
          </w:tcPr>
          <w:p w14:paraId="4CA5DE08" w14:textId="77777777" w:rsidR="002B5F34" w:rsidRPr="00557FEA" w:rsidRDefault="002B5F34" w:rsidP="00557FEA">
            <w:pPr>
              <w:spacing w:after="240"/>
              <w:rPr>
                <w:rFonts w:cs="Tahoma"/>
                <w:szCs w:val="20"/>
              </w:rPr>
            </w:pPr>
            <w:r w:rsidRPr="00557FEA">
              <w:rPr>
                <w:rFonts w:cs="Tahoma"/>
                <w:b/>
                <w:szCs w:val="20"/>
              </w:rPr>
              <w:t>Satisfactory</w:t>
            </w:r>
          </w:p>
        </w:tc>
        <w:tc>
          <w:tcPr>
            <w:tcW w:w="6738" w:type="dxa"/>
            <w:tcBorders>
              <w:top w:val="single" w:sz="4" w:space="0" w:color="auto"/>
              <w:left w:val="single" w:sz="4" w:space="0" w:color="auto"/>
              <w:bottom w:val="single" w:sz="4" w:space="0" w:color="auto"/>
              <w:right w:val="single" w:sz="4" w:space="0" w:color="auto"/>
            </w:tcBorders>
            <w:vAlign w:val="center"/>
            <w:hideMark/>
          </w:tcPr>
          <w:p w14:paraId="1243BEF6" w14:textId="77777777" w:rsidR="002B5F34" w:rsidRPr="00557FEA" w:rsidRDefault="002B5F34" w:rsidP="00557FEA">
            <w:pPr>
              <w:spacing w:after="240"/>
              <w:jc w:val="both"/>
              <w:rPr>
                <w:rFonts w:cs="Tahoma"/>
                <w:szCs w:val="20"/>
              </w:rPr>
            </w:pPr>
            <w:r w:rsidRPr="00557FEA">
              <w:rPr>
                <w:rFonts w:cs="Tahoma"/>
                <w:szCs w:val="20"/>
              </w:rPr>
              <w:t xml:space="preserve">Response is complete but fails to provide adequate evidence that all minimum requirements can be satisfied. </w:t>
            </w:r>
          </w:p>
        </w:tc>
        <w:tc>
          <w:tcPr>
            <w:tcW w:w="817" w:type="dxa"/>
            <w:tcBorders>
              <w:top w:val="single" w:sz="4" w:space="0" w:color="auto"/>
              <w:left w:val="single" w:sz="4" w:space="0" w:color="auto"/>
              <w:bottom w:val="single" w:sz="4" w:space="0" w:color="auto"/>
              <w:right w:val="single" w:sz="4" w:space="0" w:color="auto"/>
            </w:tcBorders>
            <w:vAlign w:val="center"/>
            <w:hideMark/>
          </w:tcPr>
          <w:p w14:paraId="4C01A5FA" w14:textId="77777777" w:rsidR="002B5F34" w:rsidRPr="00557FEA" w:rsidRDefault="002B5F34" w:rsidP="00557FEA">
            <w:pPr>
              <w:spacing w:after="240"/>
              <w:jc w:val="center"/>
              <w:rPr>
                <w:b/>
                <w:szCs w:val="20"/>
              </w:rPr>
            </w:pPr>
            <w:r w:rsidRPr="00557FEA">
              <w:rPr>
                <w:b/>
                <w:szCs w:val="20"/>
              </w:rPr>
              <w:t>4</w:t>
            </w:r>
          </w:p>
        </w:tc>
      </w:tr>
      <w:tr w:rsidR="002B5F34" w:rsidRPr="002B5F34" w14:paraId="53654FD6" w14:textId="77777777" w:rsidTr="003C5C20">
        <w:trPr>
          <w:trHeight w:val="565"/>
        </w:trPr>
        <w:tc>
          <w:tcPr>
            <w:tcW w:w="1359" w:type="dxa"/>
            <w:tcBorders>
              <w:top w:val="single" w:sz="4" w:space="0" w:color="auto"/>
              <w:left w:val="single" w:sz="4" w:space="0" w:color="auto"/>
              <w:bottom w:val="single" w:sz="4" w:space="0" w:color="auto"/>
              <w:right w:val="single" w:sz="4" w:space="0" w:color="auto"/>
            </w:tcBorders>
            <w:vAlign w:val="center"/>
            <w:hideMark/>
          </w:tcPr>
          <w:p w14:paraId="76290261" w14:textId="77777777" w:rsidR="002B5F34" w:rsidRPr="00557FEA" w:rsidRDefault="002B5F34" w:rsidP="00557FEA">
            <w:pPr>
              <w:spacing w:after="240"/>
              <w:rPr>
                <w:rFonts w:cs="Tahoma"/>
                <w:szCs w:val="20"/>
              </w:rPr>
            </w:pPr>
            <w:r w:rsidRPr="00557FEA">
              <w:rPr>
                <w:rFonts w:cs="Tahoma"/>
                <w:b/>
                <w:szCs w:val="20"/>
              </w:rPr>
              <w:t>Less than Satisfactory</w:t>
            </w:r>
          </w:p>
        </w:tc>
        <w:tc>
          <w:tcPr>
            <w:tcW w:w="6738" w:type="dxa"/>
            <w:tcBorders>
              <w:top w:val="single" w:sz="4" w:space="0" w:color="auto"/>
              <w:left w:val="single" w:sz="4" w:space="0" w:color="auto"/>
              <w:bottom w:val="single" w:sz="4" w:space="0" w:color="auto"/>
              <w:right w:val="single" w:sz="4" w:space="0" w:color="auto"/>
            </w:tcBorders>
            <w:vAlign w:val="center"/>
            <w:hideMark/>
          </w:tcPr>
          <w:p w14:paraId="1E4D36DB" w14:textId="77777777" w:rsidR="002B5F34" w:rsidRPr="00557FEA" w:rsidRDefault="002B5F34" w:rsidP="00557FEA">
            <w:pPr>
              <w:spacing w:after="240"/>
              <w:jc w:val="both"/>
              <w:rPr>
                <w:rFonts w:cs="Tahoma"/>
                <w:szCs w:val="20"/>
              </w:rPr>
            </w:pPr>
            <w:r w:rsidRPr="00557FEA">
              <w:rPr>
                <w:rFonts w:cs="Tahoma"/>
                <w:szCs w:val="20"/>
              </w:rPr>
              <w:t>Response is complete but fails to satisfy all minimum requirements and fails to provide adequate evidence that these requirements can be satisfied.</w:t>
            </w:r>
            <w:r w:rsidRPr="00557FEA">
              <w:rPr>
                <w:rFonts w:cs="Tahoma"/>
                <w:b/>
                <w:szCs w:val="20"/>
              </w:rPr>
              <w:t xml:space="preserve"> </w:t>
            </w:r>
          </w:p>
        </w:tc>
        <w:tc>
          <w:tcPr>
            <w:tcW w:w="817" w:type="dxa"/>
            <w:tcBorders>
              <w:top w:val="single" w:sz="4" w:space="0" w:color="auto"/>
              <w:left w:val="single" w:sz="4" w:space="0" w:color="auto"/>
              <w:bottom w:val="single" w:sz="4" w:space="0" w:color="auto"/>
              <w:right w:val="single" w:sz="4" w:space="0" w:color="auto"/>
            </w:tcBorders>
            <w:vAlign w:val="center"/>
            <w:hideMark/>
          </w:tcPr>
          <w:p w14:paraId="133E2D87" w14:textId="77777777" w:rsidR="002B5F34" w:rsidRPr="00557FEA" w:rsidRDefault="002B5F34" w:rsidP="00557FEA">
            <w:pPr>
              <w:spacing w:after="240"/>
              <w:jc w:val="center"/>
              <w:rPr>
                <w:b/>
                <w:szCs w:val="20"/>
              </w:rPr>
            </w:pPr>
            <w:r w:rsidRPr="00557FEA">
              <w:rPr>
                <w:b/>
                <w:szCs w:val="20"/>
              </w:rPr>
              <w:t>3</w:t>
            </w:r>
          </w:p>
        </w:tc>
      </w:tr>
      <w:tr w:rsidR="002B5F34" w:rsidRPr="002B5F34" w14:paraId="00A7973E" w14:textId="77777777" w:rsidTr="003C5C20">
        <w:trPr>
          <w:trHeight w:val="559"/>
        </w:trPr>
        <w:tc>
          <w:tcPr>
            <w:tcW w:w="1359" w:type="dxa"/>
            <w:tcBorders>
              <w:top w:val="single" w:sz="4" w:space="0" w:color="auto"/>
              <w:left w:val="single" w:sz="4" w:space="0" w:color="auto"/>
              <w:bottom w:val="single" w:sz="4" w:space="0" w:color="auto"/>
              <w:right w:val="single" w:sz="4" w:space="0" w:color="auto"/>
            </w:tcBorders>
            <w:vAlign w:val="center"/>
            <w:hideMark/>
          </w:tcPr>
          <w:p w14:paraId="70B49CA1" w14:textId="77777777" w:rsidR="002B5F34" w:rsidRPr="00557FEA" w:rsidRDefault="002B5F34" w:rsidP="00557FEA">
            <w:pPr>
              <w:spacing w:after="240"/>
              <w:rPr>
                <w:rFonts w:cs="Tahoma"/>
                <w:szCs w:val="20"/>
              </w:rPr>
            </w:pPr>
            <w:r w:rsidRPr="00557FEA">
              <w:rPr>
                <w:rFonts w:cs="Tahoma"/>
                <w:b/>
                <w:szCs w:val="20"/>
              </w:rPr>
              <w:t>Inadequate</w:t>
            </w:r>
          </w:p>
        </w:tc>
        <w:tc>
          <w:tcPr>
            <w:tcW w:w="6738" w:type="dxa"/>
            <w:tcBorders>
              <w:top w:val="single" w:sz="4" w:space="0" w:color="auto"/>
              <w:left w:val="single" w:sz="4" w:space="0" w:color="auto"/>
              <w:bottom w:val="single" w:sz="4" w:space="0" w:color="auto"/>
              <w:right w:val="single" w:sz="4" w:space="0" w:color="auto"/>
            </w:tcBorders>
            <w:vAlign w:val="center"/>
            <w:hideMark/>
          </w:tcPr>
          <w:p w14:paraId="5BE9CF29" w14:textId="77777777" w:rsidR="002B5F34" w:rsidRPr="00557FEA" w:rsidRDefault="002B5F34" w:rsidP="00557FEA">
            <w:pPr>
              <w:spacing w:after="240"/>
              <w:jc w:val="both"/>
              <w:rPr>
                <w:rFonts w:cs="Tahoma"/>
                <w:szCs w:val="20"/>
              </w:rPr>
            </w:pPr>
            <w:r w:rsidRPr="00557FEA">
              <w:rPr>
                <w:rFonts w:cs="Tahoma"/>
                <w:szCs w:val="20"/>
              </w:rPr>
              <w:t>Response is partly complete, some non-compliance and fails to meet some minimum requirements.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33BD4FB5" w14:textId="77777777" w:rsidR="002B5F34" w:rsidRPr="00557FEA" w:rsidRDefault="002B5F34" w:rsidP="00557FEA">
            <w:pPr>
              <w:spacing w:after="240"/>
              <w:jc w:val="center"/>
              <w:rPr>
                <w:b/>
                <w:szCs w:val="20"/>
              </w:rPr>
            </w:pPr>
            <w:r w:rsidRPr="00557FEA">
              <w:rPr>
                <w:b/>
                <w:szCs w:val="20"/>
              </w:rPr>
              <w:t>2</w:t>
            </w:r>
          </w:p>
        </w:tc>
      </w:tr>
      <w:tr w:rsidR="002B5F34" w:rsidRPr="002B5F34" w14:paraId="5F5166D7" w14:textId="77777777" w:rsidTr="003C5C20">
        <w:trPr>
          <w:trHeight w:val="695"/>
        </w:trPr>
        <w:tc>
          <w:tcPr>
            <w:tcW w:w="1359" w:type="dxa"/>
            <w:tcBorders>
              <w:top w:val="single" w:sz="4" w:space="0" w:color="auto"/>
              <w:left w:val="single" w:sz="4" w:space="0" w:color="auto"/>
              <w:bottom w:val="single" w:sz="4" w:space="0" w:color="auto"/>
              <w:right w:val="single" w:sz="4" w:space="0" w:color="auto"/>
            </w:tcBorders>
            <w:vAlign w:val="center"/>
            <w:hideMark/>
          </w:tcPr>
          <w:p w14:paraId="3861D9C0" w14:textId="77777777" w:rsidR="002B5F34" w:rsidRPr="00557FEA" w:rsidRDefault="002B5F34" w:rsidP="00557FEA">
            <w:pPr>
              <w:spacing w:after="240"/>
              <w:rPr>
                <w:rFonts w:cs="Tahoma"/>
                <w:b/>
                <w:szCs w:val="20"/>
              </w:rPr>
            </w:pPr>
            <w:r w:rsidRPr="00557FEA">
              <w:rPr>
                <w:b/>
                <w:szCs w:val="20"/>
              </w:rPr>
              <w:t>Unacceptable</w:t>
            </w:r>
          </w:p>
        </w:tc>
        <w:tc>
          <w:tcPr>
            <w:tcW w:w="6738" w:type="dxa"/>
            <w:tcBorders>
              <w:top w:val="single" w:sz="4" w:space="0" w:color="auto"/>
              <w:left w:val="single" w:sz="4" w:space="0" w:color="auto"/>
              <w:bottom w:val="single" w:sz="4" w:space="0" w:color="auto"/>
              <w:right w:val="single" w:sz="4" w:space="0" w:color="auto"/>
            </w:tcBorders>
            <w:vAlign w:val="center"/>
            <w:hideMark/>
          </w:tcPr>
          <w:p w14:paraId="1CEB6562" w14:textId="77777777" w:rsidR="002B5F34" w:rsidRPr="00557FEA" w:rsidRDefault="002B5F34" w:rsidP="00557FEA">
            <w:pPr>
              <w:spacing w:after="240"/>
              <w:jc w:val="both"/>
              <w:rPr>
                <w:rFonts w:cs="Tahoma"/>
                <w:szCs w:val="20"/>
              </w:rPr>
            </w:pPr>
            <w:r w:rsidRPr="00557FEA">
              <w:rPr>
                <w:rFonts w:cs="Tahoma"/>
                <w:szCs w:val="20"/>
              </w:rPr>
              <w:t xml:space="preserve">Response is incomplete, non-compliant, fails to meet any minimum requirements and provides no evidence base. </w:t>
            </w:r>
          </w:p>
        </w:tc>
        <w:tc>
          <w:tcPr>
            <w:tcW w:w="817" w:type="dxa"/>
            <w:tcBorders>
              <w:top w:val="single" w:sz="4" w:space="0" w:color="auto"/>
              <w:left w:val="single" w:sz="4" w:space="0" w:color="auto"/>
              <w:bottom w:val="single" w:sz="4" w:space="0" w:color="auto"/>
              <w:right w:val="single" w:sz="4" w:space="0" w:color="auto"/>
            </w:tcBorders>
            <w:vAlign w:val="center"/>
            <w:hideMark/>
          </w:tcPr>
          <w:p w14:paraId="0D9D1C3F" w14:textId="77777777" w:rsidR="002B5F34" w:rsidRPr="00557FEA" w:rsidRDefault="002B5F34" w:rsidP="00557FEA">
            <w:pPr>
              <w:spacing w:after="240"/>
              <w:jc w:val="center"/>
              <w:rPr>
                <w:b/>
                <w:szCs w:val="20"/>
              </w:rPr>
            </w:pPr>
            <w:r w:rsidRPr="00557FEA">
              <w:rPr>
                <w:b/>
                <w:szCs w:val="20"/>
              </w:rPr>
              <w:t>1</w:t>
            </w:r>
          </w:p>
        </w:tc>
      </w:tr>
      <w:tr w:rsidR="002B5F34" w14:paraId="5FA8B852" w14:textId="77777777" w:rsidTr="003C5C20">
        <w:trPr>
          <w:trHeight w:val="285"/>
        </w:trPr>
        <w:tc>
          <w:tcPr>
            <w:tcW w:w="1359" w:type="dxa"/>
            <w:tcBorders>
              <w:top w:val="single" w:sz="4" w:space="0" w:color="auto"/>
              <w:left w:val="single" w:sz="4" w:space="0" w:color="auto"/>
              <w:bottom w:val="single" w:sz="4" w:space="0" w:color="auto"/>
              <w:right w:val="single" w:sz="4" w:space="0" w:color="auto"/>
            </w:tcBorders>
            <w:vAlign w:val="center"/>
            <w:hideMark/>
          </w:tcPr>
          <w:p w14:paraId="50E32AA9" w14:textId="77777777" w:rsidR="002B5F34" w:rsidRPr="00557FEA" w:rsidRDefault="002B5F34" w:rsidP="00557FEA">
            <w:pPr>
              <w:spacing w:after="240"/>
              <w:rPr>
                <w:rFonts w:cs="Tahoma"/>
                <w:szCs w:val="20"/>
              </w:rPr>
            </w:pPr>
            <w:r w:rsidRPr="00557FEA">
              <w:rPr>
                <w:rFonts w:cs="Tahoma"/>
                <w:b/>
                <w:szCs w:val="20"/>
              </w:rPr>
              <w:t>No Response</w:t>
            </w:r>
          </w:p>
        </w:tc>
        <w:tc>
          <w:tcPr>
            <w:tcW w:w="6738" w:type="dxa"/>
            <w:tcBorders>
              <w:top w:val="single" w:sz="4" w:space="0" w:color="auto"/>
              <w:left w:val="single" w:sz="4" w:space="0" w:color="auto"/>
              <w:bottom w:val="single" w:sz="4" w:space="0" w:color="auto"/>
              <w:right w:val="single" w:sz="4" w:space="0" w:color="auto"/>
            </w:tcBorders>
            <w:vAlign w:val="center"/>
            <w:hideMark/>
          </w:tcPr>
          <w:p w14:paraId="35E86618" w14:textId="77777777" w:rsidR="002B5F34" w:rsidRPr="00557FEA" w:rsidRDefault="002B5F34" w:rsidP="00557FEA">
            <w:pPr>
              <w:spacing w:after="240"/>
              <w:jc w:val="both"/>
              <w:rPr>
                <w:rFonts w:cs="Tahoma"/>
                <w:szCs w:val="20"/>
              </w:rPr>
            </w:pPr>
            <w:r w:rsidRPr="00557FEA">
              <w:rPr>
                <w:rFonts w:cs="Tahoma"/>
                <w:szCs w:val="20"/>
              </w:rPr>
              <w:t xml:space="preserve">No submission was made. </w:t>
            </w:r>
          </w:p>
        </w:tc>
        <w:tc>
          <w:tcPr>
            <w:tcW w:w="817" w:type="dxa"/>
            <w:tcBorders>
              <w:top w:val="single" w:sz="4" w:space="0" w:color="auto"/>
              <w:left w:val="single" w:sz="4" w:space="0" w:color="auto"/>
              <w:bottom w:val="single" w:sz="4" w:space="0" w:color="auto"/>
              <w:right w:val="single" w:sz="4" w:space="0" w:color="auto"/>
            </w:tcBorders>
            <w:vAlign w:val="center"/>
            <w:hideMark/>
          </w:tcPr>
          <w:p w14:paraId="2FA1723F" w14:textId="77777777" w:rsidR="002B5F34" w:rsidRPr="00557FEA" w:rsidRDefault="002B5F34" w:rsidP="00557FEA">
            <w:pPr>
              <w:spacing w:after="240"/>
              <w:jc w:val="center"/>
              <w:rPr>
                <w:b/>
                <w:szCs w:val="20"/>
              </w:rPr>
            </w:pPr>
            <w:r w:rsidRPr="00557FEA">
              <w:rPr>
                <w:b/>
                <w:szCs w:val="20"/>
              </w:rPr>
              <w:t>0</w:t>
            </w:r>
          </w:p>
        </w:tc>
      </w:tr>
    </w:tbl>
    <w:p w14:paraId="66B40F08" w14:textId="20CD3A42" w:rsidR="003C5C20" w:rsidRDefault="003C5C20" w:rsidP="002B5F34">
      <w:pPr>
        <w:rPr>
          <w:rFonts w:eastAsiaTheme="majorEastAsia" w:cstheme="minorHAnsi"/>
          <w:b/>
          <w:sz w:val="24"/>
          <w:szCs w:val="32"/>
        </w:rPr>
      </w:pPr>
    </w:p>
    <w:p w14:paraId="4AA7CA2B" w14:textId="16E9CDE0" w:rsidR="00011FE3" w:rsidRPr="00B35AEB" w:rsidRDefault="003E5CC1" w:rsidP="003E5CC1">
      <w:pPr>
        <w:rPr>
          <w:rFonts w:asciiTheme="minorHAnsi" w:hAnsiTheme="minorHAnsi" w:cstheme="minorHAnsi"/>
          <w:szCs w:val="20"/>
          <w:lang w:eastAsia="fr-FR"/>
        </w:rPr>
      </w:pPr>
      <w:r w:rsidRPr="00B35AEB">
        <w:rPr>
          <w:rFonts w:asciiTheme="minorHAnsi" w:hAnsiTheme="minorHAnsi" w:cstheme="minorHAnsi"/>
          <w:szCs w:val="20"/>
          <w:lang w:eastAsia="fr-FR"/>
        </w:rPr>
        <w:t xml:space="preserve">You are required to </w:t>
      </w:r>
      <w:r w:rsidR="00011FE3" w:rsidRPr="00B35AEB">
        <w:rPr>
          <w:rFonts w:asciiTheme="minorHAnsi" w:hAnsiTheme="minorHAnsi" w:cstheme="minorHAnsi"/>
          <w:szCs w:val="20"/>
          <w:lang w:eastAsia="fr-FR"/>
        </w:rPr>
        <w:t xml:space="preserve">respond to </w:t>
      </w:r>
      <w:r w:rsidR="003C5C20" w:rsidRPr="00B35AEB">
        <w:rPr>
          <w:rFonts w:asciiTheme="minorHAnsi" w:hAnsiTheme="minorHAnsi" w:cstheme="minorHAnsi"/>
          <w:szCs w:val="20"/>
          <w:lang w:eastAsia="fr-FR"/>
        </w:rPr>
        <w:t>the criteria</w:t>
      </w:r>
      <w:r w:rsidRPr="00B35AEB">
        <w:rPr>
          <w:rFonts w:asciiTheme="minorHAnsi" w:hAnsiTheme="minorHAnsi" w:cstheme="minorHAnsi"/>
          <w:szCs w:val="20"/>
          <w:lang w:eastAsia="fr-FR"/>
        </w:rPr>
        <w:t xml:space="preserve"> </w:t>
      </w:r>
      <w:r w:rsidR="003C5C20" w:rsidRPr="00B35AEB">
        <w:rPr>
          <w:rFonts w:asciiTheme="minorHAnsi" w:hAnsiTheme="minorHAnsi" w:cstheme="minorHAnsi"/>
          <w:szCs w:val="20"/>
          <w:lang w:eastAsia="fr-FR"/>
        </w:rPr>
        <w:t>by number</w:t>
      </w:r>
      <w:r w:rsidRPr="00B35AEB">
        <w:rPr>
          <w:rFonts w:asciiTheme="minorHAnsi" w:hAnsiTheme="minorHAnsi" w:cstheme="minorHAnsi"/>
          <w:szCs w:val="20"/>
          <w:lang w:eastAsia="fr-FR"/>
        </w:rPr>
        <w:t xml:space="preserve"> and in the order in which they are presented</w:t>
      </w:r>
      <w:r w:rsidR="00011FE3" w:rsidRPr="00B35AEB">
        <w:rPr>
          <w:rFonts w:asciiTheme="minorHAnsi" w:hAnsiTheme="minorHAnsi" w:cstheme="minorHAnsi"/>
          <w:szCs w:val="20"/>
          <w:lang w:eastAsia="fr-FR"/>
        </w:rPr>
        <w:t xml:space="preserve"> </w:t>
      </w:r>
      <w:r w:rsidR="003C5C20" w:rsidRPr="00B35AEB">
        <w:rPr>
          <w:rFonts w:asciiTheme="minorHAnsi" w:hAnsiTheme="minorHAnsi" w:cstheme="minorHAnsi"/>
          <w:szCs w:val="20"/>
          <w:lang w:eastAsia="fr-FR"/>
        </w:rPr>
        <w:t>below.</w:t>
      </w:r>
      <w:r w:rsidRPr="00B35AEB">
        <w:rPr>
          <w:rFonts w:asciiTheme="minorHAnsi" w:hAnsiTheme="minorHAnsi" w:cstheme="minorHAnsi"/>
          <w:szCs w:val="20"/>
          <w:lang w:eastAsia="fr-FR"/>
        </w:rPr>
        <w:t xml:space="preserve">  </w:t>
      </w:r>
    </w:p>
    <w:p w14:paraId="50A61FCB" w14:textId="77777777" w:rsidR="00011FE3" w:rsidRPr="00B35AEB" w:rsidRDefault="00011FE3" w:rsidP="003E5CC1">
      <w:pPr>
        <w:rPr>
          <w:rFonts w:asciiTheme="minorHAnsi" w:hAnsiTheme="minorHAnsi" w:cstheme="minorHAnsi"/>
          <w:szCs w:val="20"/>
          <w:lang w:eastAsia="fr-FR"/>
        </w:rPr>
      </w:pPr>
    </w:p>
    <w:p w14:paraId="469BB48B" w14:textId="1EA92A11" w:rsidR="003E5CC1" w:rsidRPr="00B35AEB" w:rsidRDefault="00011FE3" w:rsidP="003E5CC1">
      <w:pPr>
        <w:rPr>
          <w:rFonts w:asciiTheme="minorHAnsi" w:hAnsiTheme="minorHAnsi" w:cstheme="minorHAnsi"/>
          <w:szCs w:val="20"/>
          <w:lang w:eastAsia="fr-FR"/>
        </w:rPr>
      </w:pPr>
      <w:r w:rsidRPr="00B35AEB">
        <w:rPr>
          <w:rFonts w:asciiTheme="minorHAnsi" w:hAnsiTheme="minorHAnsi" w:cstheme="minorHAnsi"/>
          <w:szCs w:val="20"/>
          <w:lang w:eastAsia="fr-FR"/>
        </w:rPr>
        <w:t>F</w:t>
      </w:r>
      <w:r w:rsidR="003E5CC1" w:rsidRPr="00B35AEB">
        <w:rPr>
          <w:rFonts w:asciiTheme="minorHAnsi" w:hAnsiTheme="minorHAnsi" w:cstheme="minorHAnsi"/>
          <w:szCs w:val="20"/>
          <w:lang w:eastAsia="fr-FR"/>
        </w:rPr>
        <w:t xml:space="preserve">ailure to </w:t>
      </w:r>
      <w:r w:rsidRPr="00B35AEB">
        <w:rPr>
          <w:rFonts w:asciiTheme="minorHAnsi" w:hAnsiTheme="minorHAnsi" w:cstheme="minorHAnsi"/>
          <w:szCs w:val="20"/>
          <w:lang w:eastAsia="fr-FR"/>
        </w:rPr>
        <w:t xml:space="preserve">follow the given format may negatively </w:t>
      </w:r>
      <w:r w:rsidR="00DC71D0" w:rsidRPr="00B35AEB">
        <w:rPr>
          <w:rFonts w:asciiTheme="minorHAnsi" w:hAnsiTheme="minorHAnsi" w:cstheme="minorHAnsi"/>
          <w:szCs w:val="20"/>
          <w:lang w:eastAsia="fr-FR"/>
        </w:rPr>
        <w:t>impact your</w:t>
      </w:r>
      <w:r w:rsidR="003E5CC1" w:rsidRPr="00B35AEB">
        <w:rPr>
          <w:rFonts w:asciiTheme="minorHAnsi" w:hAnsiTheme="minorHAnsi" w:cstheme="minorHAnsi"/>
          <w:szCs w:val="20"/>
          <w:lang w:eastAsia="fr-FR"/>
        </w:rPr>
        <w:t xml:space="preserve"> submission.</w:t>
      </w:r>
    </w:p>
    <w:p w14:paraId="5E6A0B11" w14:textId="77777777" w:rsidR="003E5CC1" w:rsidRPr="00B35AEB" w:rsidRDefault="003E5CC1" w:rsidP="003E5CC1">
      <w:pPr>
        <w:rPr>
          <w:rFonts w:asciiTheme="minorHAnsi" w:hAnsiTheme="minorHAnsi" w:cstheme="minorHAnsi"/>
          <w:szCs w:val="20"/>
          <w:lang w:eastAsia="fr-FR"/>
        </w:rPr>
      </w:pPr>
    </w:p>
    <w:p w14:paraId="4BD7541C" w14:textId="77777777" w:rsidR="00011FE3" w:rsidRPr="00B35AEB" w:rsidRDefault="003E5CC1" w:rsidP="003E5CC1">
      <w:pPr>
        <w:rPr>
          <w:rFonts w:asciiTheme="minorHAnsi" w:hAnsiTheme="minorHAnsi" w:cstheme="minorHAnsi"/>
          <w:szCs w:val="20"/>
          <w:lang w:eastAsia="fr-FR"/>
        </w:rPr>
      </w:pPr>
      <w:r w:rsidRPr="00B35AEB">
        <w:rPr>
          <w:rFonts w:asciiTheme="minorHAnsi" w:hAnsiTheme="minorHAnsi" w:cstheme="minorHAnsi"/>
          <w:szCs w:val="20"/>
          <w:lang w:eastAsia="fr-FR"/>
        </w:rPr>
        <w:t xml:space="preserve">When completing your responses, </w:t>
      </w:r>
    </w:p>
    <w:p w14:paraId="093B2700" w14:textId="77777777" w:rsidR="00011FE3" w:rsidRPr="00B35AEB" w:rsidRDefault="003E5CC1" w:rsidP="00A8360C">
      <w:pPr>
        <w:pStyle w:val="ListParagraph"/>
        <w:numPr>
          <w:ilvl w:val="0"/>
          <w:numId w:val="14"/>
        </w:numPr>
        <w:rPr>
          <w:rFonts w:asciiTheme="minorHAnsi" w:hAnsiTheme="minorHAnsi" w:cstheme="minorHAnsi"/>
          <w:szCs w:val="20"/>
          <w:lang w:eastAsia="fr-FR"/>
        </w:rPr>
      </w:pPr>
      <w:r w:rsidRPr="00B35AEB">
        <w:rPr>
          <w:rFonts w:asciiTheme="minorHAnsi" w:hAnsiTheme="minorHAnsi" w:cstheme="minorHAnsi"/>
          <w:szCs w:val="20"/>
          <w:lang w:eastAsia="fr-FR"/>
        </w:rPr>
        <w:t xml:space="preserve">please refrain from sending generic or marketing materials. </w:t>
      </w:r>
    </w:p>
    <w:p w14:paraId="25376B76" w14:textId="03DF29A3" w:rsidR="003E5CC1" w:rsidRPr="00EF1887" w:rsidRDefault="003E5CC1" w:rsidP="00A8360C">
      <w:pPr>
        <w:pStyle w:val="ListParagraph"/>
        <w:numPr>
          <w:ilvl w:val="0"/>
          <w:numId w:val="14"/>
        </w:numPr>
        <w:rPr>
          <w:rFonts w:asciiTheme="minorHAnsi" w:hAnsiTheme="minorHAnsi" w:cstheme="minorHAnsi"/>
          <w:szCs w:val="20"/>
          <w:lang w:eastAsia="fr-FR"/>
        </w:rPr>
      </w:pPr>
      <w:r w:rsidRPr="00B35AEB">
        <w:rPr>
          <w:rFonts w:asciiTheme="minorHAnsi" w:hAnsiTheme="minorHAnsi" w:cstheme="minorHAnsi"/>
          <w:szCs w:val="20"/>
          <w:lang w:eastAsia="fr-FR"/>
        </w:rPr>
        <w:t xml:space="preserve">The University </w:t>
      </w:r>
      <w:r w:rsidR="00011FE3" w:rsidRPr="00B35AEB">
        <w:rPr>
          <w:rFonts w:asciiTheme="minorHAnsi" w:hAnsiTheme="minorHAnsi" w:cstheme="minorHAnsi"/>
          <w:szCs w:val="20"/>
          <w:lang w:eastAsia="fr-FR"/>
        </w:rPr>
        <w:t>requires clear,</w:t>
      </w:r>
      <w:r w:rsidRPr="00EF1887">
        <w:rPr>
          <w:rFonts w:asciiTheme="minorHAnsi" w:hAnsiTheme="minorHAnsi" w:cstheme="minorHAnsi"/>
          <w:szCs w:val="20"/>
          <w:lang w:eastAsia="fr-FR"/>
        </w:rPr>
        <w:t xml:space="preserve"> written response</w:t>
      </w:r>
      <w:r w:rsidR="00011FE3" w:rsidRPr="00B35AEB">
        <w:rPr>
          <w:rFonts w:asciiTheme="minorHAnsi" w:hAnsiTheme="minorHAnsi" w:cstheme="minorHAnsi"/>
          <w:szCs w:val="20"/>
          <w:lang w:eastAsia="fr-FR"/>
        </w:rPr>
        <w:t>s that</w:t>
      </w:r>
      <w:r w:rsidRPr="00EF1887">
        <w:rPr>
          <w:rFonts w:asciiTheme="minorHAnsi" w:hAnsiTheme="minorHAnsi" w:cstheme="minorHAnsi"/>
          <w:szCs w:val="20"/>
          <w:lang w:eastAsia="fr-FR"/>
        </w:rPr>
        <w:t xml:space="preserve"> directly</w:t>
      </w:r>
      <w:r w:rsidR="00011FE3" w:rsidRPr="00B35AEB">
        <w:rPr>
          <w:rFonts w:asciiTheme="minorHAnsi" w:hAnsiTheme="minorHAnsi" w:cstheme="minorHAnsi"/>
          <w:szCs w:val="20"/>
          <w:lang w:eastAsia="fr-FR"/>
        </w:rPr>
        <w:t xml:space="preserve"> address the specified evaluation criteria.</w:t>
      </w:r>
    </w:p>
    <w:p w14:paraId="5A225100" w14:textId="77777777" w:rsidR="003E5CC1" w:rsidRPr="00B35AEB" w:rsidRDefault="003E5CC1" w:rsidP="003E5CC1">
      <w:pPr>
        <w:rPr>
          <w:rFonts w:asciiTheme="minorHAnsi" w:hAnsiTheme="minorHAnsi" w:cstheme="minorHAnsi"/>
          <w:szCs w:val="20"/>
          <w:lang w:eastAsia="fr-FR"/>
        </w:rPr>
      </w:pPr>
    </w:p>
    <w:p w14:paraId="1C5060DE" w14:textId="73051B39" w:rsidR="00011FE3" w:rsidRPr="00B35AEB" w:rsidRDefault="003E5CC1" w:rsidP="003E5CC1">
      <w:pPr>
        <w:rPr>
          <w:rFonts w:asciiTheme="minorHAnsi" w:hAnsiTheme="minorHAnsi" w:cstheme="minorHAnsi"/>
          <w:szCs w:val="20"/>
          <w:lang w:eastAsia="fr-FR"/>
        </w:rPr>
      </w:pPr>
      <w:r w:rsidRPr="00B35AEB">
        <w:rPr>
          <w:rFonts w:asciiTheme="minorHAnsi" w:hAnsiTheme="minorHAnsi" w:cstheme="minorHAnsi"/>
          <w:szCs w:val="20"/>
          <w:lang w:eastAsia="fr-FR"/>
        </w:rPr>
        <w:t xml:space="preserve">Your responses should </w:t>
      </w:r>
      <w:r w:rsidR="00EF1887" w:rsidRPr="00B35AEB">
        <w:rPr>
          <w:rFonts w:asciiTheme="minorHAnsi" w:hAnsiTheme="minorHAnsi" w:cstheme="minorHAnsi"/>
          <w:szCs w:val="20"/>
          <w:lang w:eastAsia="fr-FR"/>
        </w:rPr>
        <w:t>also</w:t>
      </w:r>
      <w:r w:rsidRPr="00B35AEB">
        <w:rPr>
          <w:rFonts w:asciiTheme="minorHAnsi" w:hAnsiTheme="minorHAnsi" w:cstheme="minorHAnsi"/>
          <w:szCs w:val="20"/>
          <w:lang w:eastAsia="fr-FR"/>
        </w:rPr>
        <w:t xml:space="preserve"> </w:t>
      </w:r>
      <w:r w:rsidR="00EF1887" w:rsidRPr="00B35AEB">
        <w:rPr>
          <w:rFonts w:asciiTheme="minorHAnsi" w:hAnsiTheme="minorHAnsi" w:cstheme="minorHAnsi"/>
          <w:szCs w:val="20"/>
          <w:lang w:eastAsia="fr-FR"/>
        </w:rPr>
        <w:t>demonstrate any added</w:t>
      </w:r>
      <w:r w:rsidRPr="00B35AEB">
        <w:rPr>
          <w:rFonts w:asciiTheme="minorHAnsi" w:hAnsiTheme="minorHAnsi" w:cstheme="minorHAnsi"/>
          <w:szCs w:val="20"/>
          <w:lang w:eastAsia="fr-FR"/>
        </w:rPr>
        <w:t xml:space="preserve"> value or value for money</w:t>
      </w:r>
      <w:r w:rsidR="00011FE3" w:rsidRPr="00B35AEB">
        <w:rPr>
          <w:rFonts w:asciiTheme="minorHAnsi" w:hAnsiTheme="minorHAnsi" w:cstheme="minorHAnsi"/>
          <w:szCs w:val="20"/>
          <w:lang w:eastAsia="fr-FR"/>
        </w:rPr>
        <w:t xml:space="preserve"> your organi</w:t>
      </w:r>
      <w:r w:rsidR="00EF1887">
        <w:rPr>
          <w:rFonts w:asciiTheme="minorHAnsi" w:hAnsiTheme="minorHAnsi" w:cstheme="minorHAnsi"/>
          <w:szCs w:val="20"/>
          <w:lang w:eastAsia="fr-FR"/>
        </w:rPr>
        <w:t>s</w:t>
      </w:r>
      <w:r w:rsidR="00011FE3" w:rsidRPr="00B35AEB">
        <w:rPr>
          <w:rFonts w:asciiTheme="minorHAnsi" w:hAnsiTheme="minorHAnsi" w:cstheme="minorHAnsi"/>
          <w:szCs w:val="20"/>
          <w:lang w:eastAsia="fr-FR"/>
        </w:rPr>
        <w:t xml:space="preserve">ation can offer in relation to the scope of services to be delivered, if </w:t>
      </w:r>
      <w:r w:rsidR="00872A5F" w:rsidRPr="00B35AEB">
        <w:rPr>
          <w:rFonts w:asciiTheme="minorHAnsi" w:hAnsiTheme="minorHAnsi" w:cstheme="minorHAnsi"/>
          <w:szCs w:val="20"/>
          <w:lang w:eastAsia="fr-FR"/>
        </w:rPr>
        <w:t>successful</w:t>
      </w:r>
      <w:r w:rsidR="00872A5F">
        <w:rPr>
          <w:rFonts w:asciiTheme="minorHAnsi" w:hAnsiTheme="minorHAnsi" w:cstheme="minorHAnsi"/>
          <w:szCs w:val="20"/>
          <w:lang w:eastAsia="fr-FR"/>
        </w:rPr>
        <w:t>.</w:t>
      </w:r>
      <w:r w:rsidRPr="00B35AEB">
        <w:rPr>
          <w:rFonts w:asciiTheme="minorHAnsi" w:hAnsiTheme="minorHAnsi" w:cstheme="minorHAnsi"/>
          <w:szCs w:val="20"/>
          <w:lang w:eastAsia="fr-FR"/>
        </w:rPr>
        <w:t xml:space="preserve"> </w:t>
      </w:r>
    </w:p>
    <w:p w14:paraId="498F376D" w14:textId="77777777" w:rsidR="00011FE3" w:rsidRPr="00B35AEB" w:rsidRDefault="00011FE3" w:rsidP="003E5CC1">
      <w:pPr>
        <w:rPr>
          <w:rFonts w:asciiTheme="minorHAnsi" w:hAnsiTheme="minorHAnsi" w:cstheme="minorHAnsi"/>
          <w:szCs w:val="20"/>
          <w:lang w:eastAsia="fr-FR"/>
        </w:rPr>
      </w:pPr>
    </w:p>
    <w:p w14:paraId="62777F84" w14:textId="77777777" w:rsidR="00DC71D0" w:rsidRDefault="00DC71D0" w:rsidP="003E5CC1">
      <w:pPr>
        <w:rPr>
          <w:rFonts w:asciiTheme="minorHAnsi" w:hAnsiTheme="minorHAnsi" w:cstheme="minorHAnsi"/>
          <w:szCs w:val="20"/>
          <w:lang w:eastAsia="fr-FR"/>
        </w:rPr>
      </w:pPr>
    </w:p>
    <w:p w14:paraId="47FB1B67" w14:textId="67668133" w:rsidR="00011FE3" w:rsidRPr="00B35AEB" w:rsidRDefault="00011FE3" w:rsidP="00DC71D0">
      <w:pPr>
        <w:jc w:val="both"/>
        <w:rPr>
          <w:rFonts w:asciiTheme="minorHAnsi" w:hAnsiTheme="minorHAnsi" w:cstheme="minorHAnsi"/>
          <w:szCs w:val="20"/>
          <w:lang w:eastAsia="fr-FR"/>
        </w:rPr>
      </w:pPr>
      <w:r w:rsidRPr="00B35AEB">
        <w:rPr>
          <w:rFonts w:asciiTheme="minorHAnsi" w:hAnsiTheme="minorHAnsi" w:cstheme="minorHAnsi"/>
          <w:szCs w:val="20"/>
          <w:lang w:eastAsia="fr-FR"/>
        </w:rPr>
        <w:lastRenderedPageBreak/>
        <w:t>Each Pre-Qualification response will be evaluated on a Pass / Fail basis:</w:t>
      </w:r>
    </w:p>
    <w:p w14:paraId="3EA9CAA9" w14:textId="77777777" w:rsidR="00011FE3" w:rsidRPr="00B35AEB" w:rsidRDefault="00011FE3" w:rsidP="00DC71D0">
      <w:pPr>
        <w:jc w:val="both"/>
        <w:rPr>
          <w:rFonts w:asciiTheme="minorHAnsi" w:hAnsiTheme="minorHAnsi" w:cstheme="minorHAnsi"/>
          <w:szCs w:val="20"/>
          <w:lang w:eastAsia="fr-FR"/>
        </w:rPr>
      </w:pPr>
    </w:p>
    <w:p w14:paraId="4C5CDF9D" w14:textId="21FB78EE" w:rsidR="00DC71D0" w:rsidRPr="00B35AEB" w:rsidRDefault="003E5CC1" w:rsidP="00DC71D0">
      <w:pPr>
        <w:jc w:val="both"/>
        <w:rPr>
          <w:rFonts w:asciiTheme="minorHAnsi" w:hAnsiTheme="minorHAnsi" w:cstheme="minorHAnsi"/>
          <w:szCs w:val="20"/>
          <w:lang w:eastAsia="fr-FR"/>
        </w:rPr>
      </w:pPr>
      <w:r w:rsidRPr="00B35AEB">
        <w:rPr>
          <w:rFonts w:asciiTheme="minorHAnsi" w:hAnsiTheme="minorHAnsi" w:cstheme="minorHAnsi"/>
          <w:szCs w:val="20"/>
          <w:lang w:eastAsia="fr-FR"/>
        </w:rPr>
        <w:t>Information</w:t>
      </w:r>
      <w:r w:rsidR="00F85EAC" w:rsidRPr="00B35AEB">
        <w:rPr>
          <w:rFonts w:asciiTheme="minorHAnsi" w:hAnsiTheme="minorHAnsi" w:cstheme="minorHAnsi"/>
          <w:szCs w:val="20"/>
          <w:lang w:eastAsia="fr-FR"/>
        </w:rPr>
        <w:t xml:space="preserve"> provided will be assessed on a Pass</w:t>
      </w:r>
      <w:r w:rsidR="00B44485" w:rsidRPr="00B35AEB">
        <w:rPr>
          <w:rFonts w:asciiTheme="minorHAnsi" w:hAnsiTheme="minorHAnsi" w:cstheme="minorHAnsi"/>
          <w:szCs w:val="20"/>
          <w:lang w:eastAsia="fr-FR"/>
        </w:rPr>
        <w:t xml:space="preserve"> </w:t>
      </w:r>
      <w:r w:rsidR="00F85EAC" w:rsidRPr="00B35AEB">
        <w:rPr>
          <w:rFonts w:asciiTheme="minorHAnsi" w:hAnsiTheme="minorHAnsi" w:cstheme="minorHAnsi"/>
          <w:szCs w:val="20"/>
          <w:lang w:eastAsia="fr-FR"/>
        </w:rPr>
        <w:t>/</w:t>
      </w:r>
      <w:r w:rsidR="00B44485" w:rsidRPr="00B35AEB">
        <w:rPr>
          <w:rFonts w:asciiTheme="minorHAnsi" w:hAnsiTheme="minorHAnsi" w:cstheme="minorHAnsi"/>
          <w:szCs w:val="20"/>
          <w:lang w:eastAsia="fr-FR"/>
        </w:rPr>
        <w:t xml:space="preserve"> </w:t>
      </w:r>
      <w:r w:rsidR="00F85EAC" w:rsidRPr="00B35AEB">
        <w:rPr>
          <w:rFonts w:asciiTheme="minorHAnsi" w:hAnsiTheme="minorHAnsi" w:cstheme="minorHAnsi"/>
          <w:szCs w:val="20"/>
          <w:lang w:eastAsia="fr-FR"/>
        </w:rPr>
        <w:t>Fail basis, where:</w:t>
      </w:r>
    </w:p>
    <w:p w14:paraId="088430CD" w14:textId="70956932" w:rsidR="00F85EAC" w:rsidRPr="00B35AEB" w:rsidRDefault="00F85EAC" w:rsidP="00A8360C">
      <w:pPr>
        <w:pStyle w:val="ListParagraph"/>
        <w:numPr>
          <w:ilvl w:val="0"/>
          <w:numId w:val="15"/>
        </w:numPr>
        <w:jc w:val="both"/>
        <w:rPr>
          <w:rFonts w:asciiTheme="minorHAnsi" w:hAnsiTheme="minorHAnsi" w:cstheme="minorHAnsi"/>
          <w:szCs w:val="20"/>
          <w:lang w:eastAsia="fr-FR"/>
        </w:rPr>
      </w:pPr>
      <w:r w:rsidRPr="00B35AEB">
        <w:rPr>
          <w:rFonts w:asciiTheme="minorHAnsi" w:hAnsiTheme="minorHAnsi" w:cstheme="minorHAnsi"/>
          <w:szCs w:val="20"/>
          <w:lang w:eastAsia="fr-FR"/>
        </w:rPr>
        <w:t xml:space="preserve">Pass </w:t>
      </w:r>
      <w:r w:rsidR="003C5C20" w:rsidRPr="00B35AEB">
        <w:rPr>
          <w:rFonts w:asciiTheme="minorHAnsi" w:hAnsiTheme="minorHAnsi" w:cstheme="minorHAnsi"/>
          <w:szCs w:val="20"/>
          <w:lang w:eastAsia="fr-FR"/>
        </w:rPr>
        <w:t>= Meets</w:t>
      </w:r>
      <w:r w:rsidRPr="00B35AEB">
        <w:rPr>
          <w:rFonts w:asciiTheme="minorHAnsi" w:hAnsiTheme="minorHAnsi" w:cstheme="minorHAnsi"/>
          <w:szCs w:val="20"/>
          <w:lang w:eastAsia="fr-FR"/>
        </w:rPr>
        <w:t xml:space="preserve"> requirements as stated in</w:t>
      </w:r>
      <w:r w:rsidR="00C90B43" w:rsidRPr="00B35AEB">
        <w:rPr>
          <w:rFonts w:asciiTheme="minorHAnsi" w:hAnsiTheme="minorHAnsi" w:cstheme="minorHAnsi"/>
          <w:szCs w:val="20"/>
          <w:lang w:eastAsia="fr-FR"/>
        </w:rPr>
        <w:t xml:space="preserve"> this document </w:t>
      </w:r>
    </w:p>
    <w:p w14:paraId="5250EDA1" w14:textId="43F4C284" w:rsidR="00F85EAC" w:rsidRPr="00B35AEB" w:rsidRDefault="00F85EAC" w:rsidP="00A8360C">
      <w:pPr>
        <w:pStyle w:val="ListParagraph"/>
        <w:numPr>
          <w:ilvl w:val="0"/>
          <w:numId w:val="15"/>
        </w:numPr>
        <w:jc w:val="both"/>
        <w:rPr>
          <w:rFonts w:asciiTheme="minorHAnsi" w:hAnsiTheme="minorHAnsi" w:cstheme="minorBidi"/>
          <w:szCs w:val="20"/>
        </w:rPr>
      </w:pPr>
      <w:r w:rsidRPr="00B35AEB">
        <w:rPr>
          <w:rFonts w:asciiTheme="minorHAnsi" w:hAnsiTheme="minorHAnsi" w:cstheme="minorBidi"/>
          <w:szCs w:val="20"/>
          <w:lang w:eastAsia="fr-FR"/>
        </w:rPr>
        <w:t xml:space="preserve">Fail = </w:t>
      </w:r>
      <w:r w:rsidR="00B44485" w:rsidRPr="00B35AEB">
        <w:rPr>
          <w:rFonts w:asciiTheme="minorHAnsi" w:hAnsiTheme="minorHAnsi" w:cstheme="minorBidi"/>
          <w:szCs w:val="20"/>
          <w:lang w:eastAsia="fr-FR"/>
        </w:rPr>
        <w:t>D</w:t>
      </w:r>
      <w:r w:rsidRPr="00B35AEB">
        <w:rPr>
          <w:rFonts w:asciiTheme="minorHAnsi" w:hAnsiTheme="minorHAnsi" w:cstheme="minorBidi"/>
          <w:szCs w:val="20"/>
          <w:lang w:eastAsia="fr-FR"/>
        </w:rPr>
        <w:t>oes not meet requirements as stated</w:t>
      </w:r>
      <w:r w:rsidR="00C90B43" w:rsidRPr="00B35AEB">
        <w:rPr>
          <w:rFonts w:asciiTheme="minorHAnsi" w:hAnsiTheme="minorHAnsi" w:cstheme="minorBidi"/>
          <w:szCs w:val="20"/>
          <w:lang w:eastAsia="fr-FR"/>
        </w:rPr>
        <w:t xml:space="preserve"> in this document </w:t>
      </w:r>
      <w:r w:rsidRPr="00B35AEB">
        <w:rPr>
          <w:rFonts w:asciiTheme="minorHAnsi" w:hAnsiTheme="minorHAnsi" w:cstheme="minorBidi"/>
          <w:szCs w:val="20"/>
        </w:rPr>
        <w:t xml:space="preserve"> </w:t>
      </w:r>
    </w:p>
    <w:p w14:paraId="35829859" w14:textId="77777777" w:rsidR="00F85EAC" w:rsidRPr="00B35AEB" w:rsidRDefault="00F85EAC" w:rsidP="00DC71D0">
      <w:pPr>
        <w:jc w:val="both"/>
        <w:rPr>
          <w:rFonts w:asciiTheme="minorHAnsi" w:hAnsiTheme="minorHAnsi" w:cstheme="minorBidi"/>
          <w:szCs w:val="20"/>
        </w:rPr>
      </w:pPr>
    </w:p>
    <w:p w14:paraId="59BBEAFA" w14:textId="29B3EBEA" w:rsidR="00B35AEB" w:rsidRDefault="00B44485" w:rsidP="00DC71D0">
      <w:pPr>
        <w:jc w:val="both"/>
        <w:rPr>
          <w:rFonts w:asciiTheme="minorHAnsi" w:hAnsiTheme="minorHAnsi" w:cstheme="minorBidi"/>
          <w:szCs w:val="20"/>
        </w:rPr>
      </w:pPr>
      <w:r w:rsidRPr="00B35AEB">
        <w:rPr>
          <w:rFonts w:asciiTheme="minorHAnsi" w:hAnsiTheme="minorHAnsi" w:cstheme="minorBidi"/>
          <w:szCs w:val="20"/>
        </w:rPr>
        <w:t>The Fail criteria for each aspect is confirmed within the below table.</w:t>
      </w:r>
    </w:p>
    <w:p w14:paraId="044FF85A" w14:textId="77777777" w:rsidR="007329F3" w:rsidRDefault="007329F3" w:rsidP="00DC71D0">
      <w:pPr>
        <w:jc w:val="both"/>
        <w:rPr>
          <w:rFonts w:asciiTheme="minorHAnsi" w:hAnsiTheme="minorHAnsi" w:cstheme="minorBidi"/>
          <w:szCs w:val="20"/>
        </w:rPr>
      </w:pPr>
    </w:p>
    <w:p w14:paraId="24C550CB" w14:textId="6119CF15" w:rsidR="007329F3" w:rsidRDefault="007329F3" w:rsidP="00DC71D0">
      <w:pPr>
        <w:jc w:val="both"/>
        <w:rPr>
          <w:rFonts w:asciiTheme="minorHAnsi" w:hAnsiTheme="minorHAnsi" w:cstheme="minorBidi"/>
          <w:szCs w:val="20"/>
        </w:rPr>
      </w:pPr>
      <w:r>
        <w:rPr>
          <w:rFonts w:asciiTheme="minorHAnsi" w:hAnsiTheme="minorHAnsi" w:cstheme="minorBidi"/>
          <w:szCs w:val="20"/>
        </w:rPr>
        <w:t xml:space="preserve">If you wish to bid for both Lots 1 and 2, you must </w:t>
      </w:r>
      <w:r w:rsidR="00EE1D39">
        <w:rPr>
          <w:rFonts w:asciiTheme="minorHAnsi" w:hAnsiTheme="minorHAnsi" w:cstheme="minorBidi"/>
          <w:szCs w:val="20"/>
        </w:rPr>
        <w:t>provide</w:t>
      </w:r>
      <w:r>
        <w:rPr>
          <w:rFonts w:asciiTheme="minorHAnsi" w:hAnsiTheme="minorHAnsi" w:cstheme="minorBidi"/>
          <w:szCs w:val="20"/>
        </w:rPr>
        <w:t xml:space="preserve"> responses to both sets of Quality Questions</w:t>
      </w:r>
      <w:r w:rsidR="00872A5F">
        <w:rPr>
          <w:rFonts w:asciiTheme="minorHAnsi" w:hAnsiTheme="minorHAnsi" w:cstheme="minorBidi"/>
          <w:szCs w:val="20"/>
        </w:rPr>
        <w:t>, but you will only be required to provide the Pre-Qualification information once.</w:t>
      </w:r>
    </w:p>
    <w:p w14:paraId="362A3E15" w14:textId="0D9C8339" w:rsidR="00421E2E" w:rsidRDefault="00421E2E" w:rsidP="00DC71D0">
      <w:pPr>
        <w:jc w:val="both"/>
        <w:rPr>
          <w:rFonts w:asciiTheme="minorHAnsi" w:hAnsiTheme="minorHAnsi" w:cstheme="minorBidi"/>
          <w:szCs w:val="20"/>
        </w:rPr>
      </w:pPr>
    </w:p>
    <w:p w14:paraId="4862E225" w14:textId="77777777" w:rsidR="00421E2E" w:rsidRDefault="00421E2E" w:rsidP="00DC71D0">
      <w:pPr>
        <w:jc w:val="both"/>
        <w:rPr>
          <w:rFonts w:asciiTheme="minorHAnsi" w:hAnsiTheme="minorHAnsi" w:cstheme="minorBidi"/>
          <w:szCs w:val="20"/>
        </w:rPr>
      </w:pPr>
    </w:p>
    <w:p w14:paraId="788F6953" w14:textId="77777777" w:rsidR="00DC71D0" w:rsidRDefault="00DC71D0" w:rsidP="00DC71D0">
      <w:pPr>
        <w:jc w:val="both"/>
        <w:rPr>
          <w:rFonts w:asciiTheme="minorHAnsi" w:hAnsiTheme="minorHAnsi" w:cstheme="minorBidi"/>
          <w:szCs w:val="20"/>
        </w:rPr>
      </w:pPr>
    </w:p>
    <w:p w14:paraId="10771E38" w14:textId="696E1F2C" w:rsidR="00593CCF" w:rsidRDefault="00C90B43" w:rsidP="00DC71D0">
      <w:pPr>
        <w:pStyle w:val="Heading2"/>
        <w:jc w:val="both"/>
      </w:pPr>
      <w:bookmarkStart w:id="51" w:name="_Toc205559964"/>
      <w:r w:rsidRPr="00266EC0">
        <w:rPr>
          <w:rFonts w:eastAsia="Arial" w:cstheme="minorHAnsi"/>
          <w:szCs w:val="20"/>
        </w:rPr>
        <w:t>Capacity and Capability Assessment</w:t>
      </w:r>
      <w:r w:rsidR="008901F2">
        <w:t>, For Lot 1 Only</w:t>
      </w:r>
      <w:bookmarkEnd w:id="51"/>
      <w:r w:rsidR="008901F2">
        <w:t xml:space="preserve"> </w:t>
      </w:r>
    </w:p>
    <w:p w14:paraId="3C185C8E" w14:textId="77777777" w:rsidR="00E54EF7" w:rsidRDefault="00E54EF7" w:rsidP="00DC71D0">
      <w:pPr>
        <w:jc w:val="both"/>
      </w:pPr>
    </w:p>
    <w:p w14:paraId="6FFBB89E" w14:textId="066DAE89" w:rsidR="00B35AEB" w:rsidRDefault="00B35AEB" w:rsidP="00DC71D0">
      <w:pPr>
        <w:jc w:val="both"/>
        <w:rPr>
          <w:rFonts w:cstheme="minorHAnsi"/>
          <w:szCs w:val="20"/>
        </w:rPr>
      </w:pPr>
      <w:r w:rsidRPr="00B35AEB">
        <w:rPr>
          <w:rFonts w:cstheme="minorHAnsi"/>
          <w:szCs w:val="20"/>
        </w:rPr>
        <w:t xml:space="preserve">Completion of the Lot </w:t>
      </w:r>
      <w:r>
        <w:rPr>
          <w:rFonts w:cstheme="minorHAnsi"/>
          <w:szCs w:val="20"/>
        </w:rPr>
        <w:t>1</w:t>
      </w:r>
      <w:r w:rsidRPr="00B35AEB">
        <w:rPr>
          <w:rFonts w:cstheme="minorHAnsi"/>
          <w:szCs w:val="20"/>
        </w:rPr>
        <w:t xml:space="preserve"> Capacity and Capability Assessment is only required if you intend to bid for Lot </w:t>
      </w:r>
      <w:r>
        <w:rPr>
          <w:rFonts w:cstheme="minorHAnsi"/>
          <w:szCs w:val="20"/>
        </w:rPr>
        <w:t>1</w:t>
      </w:r>
      <w:r w:rsidRPr="00B35AEB">
        <w:rPr>
          <w:rFonts w:cstheme="minorHAnsi"/>
          <w:szCs w:val="20"/>
        </w:rPr>
        <w:t>.</w:t>
      </w:r>
    </w:p>
    <w:p w14:paraId="2AEF5C17" w14:textId="77777777" w:rsidR="00DC71D0" w:rsidRDefault="00DC71D0" w:rsidP="00DC71D0">
      <w:pPr>
        <w:jc w:val="both"/>
        <w:rPr>
          <w:szCs w:val="20"/>
        </w:rPr>
      </w:pPr>
    </w:p>
    <w:p w14:paraId="0DD5C815" w14:textId="364C5F43" w:rsidR="00B44485" w:rsidRDefault="00B44485" w:rsidP="00DC71D0">
      <w:pPr>
        <w:jc w:val="both"/>
        <w:rPr>
          <w:szCs w:val="20"/>
        </w:rPr>
      </w:pPr>
      <w:r w:rsidRPr="00B35AEB">
        <w:rPr>
          <w:szCs w:val="20"/>
        </w:rPr>
        <w:t>Please ensure your responses refer to the Lot-specific Scope of Requirements.</w:t>
      </w:r>
    </w:p>
    <w:p w14:paraId="3EBC21CF" w14:textId="77777777" w:rsidR="00DC71D0" w:rsidRDefault="00DC71D0" w:rsidP="00DC71D0">
      <w:pPr>
        <w:jc w:val="both"/>
        <w:rPr>
          <w:rFonts w:asciiTheme="minorHAnsi" w:hAnsiTheme="minorHAnsi" w:cstheme="minorBidi"/>
          <w:szCs w:val="20"/>
        </w:rPr>
      </w:pPr>
    </w:p>
    <w:p w14:paraId="5E73B5E0" w14:textId="69B42353" w:rsidR="00EE1D39" w:rsidRDefault="00EE1D39" w:rsidP="00DC71D0">
      <w:pPr>
        <w:jc w:val="both"/>
        <w:rPr>
          <w:rFonts w:asciiTheme="minorHAnsi" w:hAnsiTheme="minorHAnsi" w:cstheme="minorBidi"/>
          <w:szCs w:val="20"/>
        </w:rPr>
      </w:pPr>
      <w:r>
        <w:rPr>
          <w:rFonts w:asciiTheme="minorHAnsi" w:hAnsiTheme="minorHAnsi" w:cstheme="minorBidi"/>
          <w:szCs w:val="20"/>
        </w:rPr>
        <w:t xml:space="preserve">If you wish to bid for both Lots 1 and 2, you must provide responses to both sets of Quality Questions. </w:t>
      </w:r>
    </w:p>
    <w:p w14:paraId="4E8AE95F" w14:textId="77777777" w:rsidR="00DC71D0" w:rsidRDefault="00DC71D0" w:rsidP="00DC71D0">
      <w:pPr>
        <w:jc w:val="both"/>
        <w:rPr>
          <w:rFonts w:asciiTheme="minorHAnsi" w:hAnsiTheme="minorHAnsi" w:cstheme="minorBidi"/>
          <w:szCs w:val="20"/>
        </w:rPr>
      </w:pPr>
    </w:p>
    <w:p w14:paraId="0E7444B5" w14:textId="77777777" w:rsidR="00DC71D0" w:rsidRPr="000654EE" w:rsidRDefault="00DC71D0" w:rsidP="00DC71D0">
      <w:pPr>
        <w:jc w:val="both"/>
        <w:rPr>
          <w:rFonts w:cstheme="minorHAnsi"/>
          <w:szCs w:val="20"/>
        </w:rPr>
      </w:pPr>
      <w:r w:rsidRPr="000654EE">
        <w:rPr>
          <w:rFonts w:cstheme="minorHAnsi"/>
          <w:szCs w:val="20"/>
        </w:rPr>
        <w:t>Weightings for the quality of the submission will be applied in accordance with the table below:</w:t>
      </w:r>
    </w:p>
    <w:p w14:paraId="47DBEF82" w14:textId="77777777" w:rsidR="00525574" w:rsidRDefault="00525574" w:rsidP="007329F3"/>
    <w:p w14:paraId="0A122979" w14:textId="77777777" w:rsidR="00DC71D0" w:rsidRDefault="00DC71D0" w:rsidP="007329F3"/>
    <w:tbl>
      <w:tblPr>
        <w:tblStyle w:val="TableGrid"/>
        <w:tblW w:w="9356" w:type="dxa"/>
        <w:tblLook w:val="04A0" w:firstRow="1" w:lastRow="0" w:firstColumn="1" w:lastColumn="0" w:noHBand="0" w:noVBand="1"/>
      </w:tblPr>
      <w:tblGrid>
        <w:gridCol w:w="851"/>
        <w:gridCol w:w="7089"/>
        <w:gridCol w:w="1416"/>
      </w:tblGrid>
      <w:tr w:rsidR="003C5C20" w:rsidRPr="00266EC0" w14:paraId="2EE7E47F" w14:textId="77777777" w:rsidTr="004A69DA">
        <w:tc>
          <w:tcPr>
            <w:tcW w:w="7940" w:type="dxa"/>
            <w:gridSpan w:val="2"/>
            <w:shd w:val="clear" w:color="auto" w:fill="C6D9F1" w:themeFill="text2" w:themeFillTint="33"/>
            <w:vAlign w:val="center"/>
          </w:tcPr>
          <w:p w14:paraId="0D029868" w14:textId="1E06F429" w:rsidR="003C5C20" w:rsidRPr="00266EC0" w:rsidRDefault="003C5C20" w:rsidP="0051123E">
            <w:pPr>
              <w:rPr>
                <w:rFonts w:eastAsia="Arial" w:cstheme="minorHAnsi"/>
                <w:b/>
                <w:szCs w:val="20"/>
              </w:rPr>
            </w:pPr>
            <w:r w:rsidRPr="00527934">
              <w:rPr>
                <w:rFonts w:eastAsia="Arial" w:cstheme="minorHAnsi"/>
                <w:b/>
                <w:szCs w:val="20"/>
              </w:rPr>
              <w:t>Pre-Qualification</w:t>
            </w:r>
          </w:p>
        </w:tc>
        <w:tc>
          <w:tcPr>
            <w:tcW w:w="1416" w:type="dxa"/>
            <w:shd w:val="clear" w:color="auto" w:fill="C6D9F1" w:themeFill="text2" w:themeFillTint="33"/>
            <w:vAlign w:val="center"/>
          </w:tcPr>
          <w:p w14:paraId="379D76EB" w14:textId="77777777" w:rsidR="003C5C20" w:rsidRPr="00266EC0" w:rsidRDefault="003C5C20" w:rsidP="0051123E">
            <w:pPr>
              <w:rPr>
                <w:rFonts w:eastAsia="Arial" w:cstheme="minorHAnsi"/>
                <w:b/>
                <w:szCs w:val="20"/>
              </w:rPr>
            </w:pPr>
          </w:p>
        </w:tc>
      </w:tr>
      <w:tr w:rsidR="003B0044" w:rsidRPr="00266EC0" w14:paraId="31BD36FD" w14:textId="77777777" w:rsidTr="00421E2E">
        <w:trPr>
          <w:trHeight w:val="860"/>
        </w:trPr>
        <w:tc>
          <w:tcPr>
            <w:tcW w:w="851" w:type="dxa"/>
            <w:shd w:val="clear" w:color="auto" w:fill="FFFFFF" w:themeFill="background1"/>
            <w:vAlign w:val="center"/>
          </w:tcPr>
          <w:p w14:paraId="5054C0C3" w14:textId="486662B8" w:rsidR="003B0044" w:rsidRPr="00266EC0" w:rsidRDefault="003B0044" w:rsidP="00DC71D0">
            <w:pPr>
              <w:rPr>
                <w:rFonts w:eastAsia="Arial" w:cstheme="minorHAnsi"/>
                <w:b/>
                <w:szCs w:val="20"/>
              </w:rPr>
            </w:pPr>
          </w:p>
        </w:tc>
        <w:tc>
          <w:tcPr>
            <w:tcW w:w="7089" w:type="dxa"/>
            <w:tcBorders>
              <w:bottom w:val="single" w:sz="4" w:space="0" w:color="auto"/>
            </w:tcBorders>
            <w:shd w:val="clear" w:color="auto" w:fill="FFFFFF" w:themeFill="background1"/>
            <w:vAlign w:val="center"/>
          </w:tcPr>
          <w:p w14:paraId="2C72DFBC" w14:textId="6A399E4D" w:rsidR="00421E2E" w:rsidRDefault="003B0044" w:rsidP="00421E2E">
            <w:pPr>
              <w:rPr>
                <w:rFonts w:eastAsia="Arial" w:cstheme="minorHAnsi"/>
                <w:b/>
                <w:szCs w:val="20"/>
              </w:rPr>
            </w:pPr>
            <w:r>
              <w:rPr>
                <w:rFonts w:eastAsia="Arial" w:cstheme="minorHAnsi"/>
                <w:b/>
                <w:szCs w:val="20"/>
              </w:rPr>
              <w:t xml:space="preserve">Appendix A </w:t>
            </w:r>
            <w:r w:rsidR="00421E2E">
              <w:rPr>
                <w:rFonts w:eastAsia="Arial" w:cstheme="minorHAnsi"/>
                <w:b/>
                <w:szCs w:val="20"/>
              </w:rPr>
              <w:t>(Lot 1</w:t>
            </w:r>
            <w:proofErr w:type="gramStart"/>
            <w:r w:rsidR="00421E2E">
              <w:rPr>
                <w:rFonts w:eastAsia="Arial" w:cstheme="minorHAnsi"/>
                <w:b/>
                <w:szCs w:val="20"/>
              </w:rPr>
              <w:t xml:space="preserve">) </w:t>
            </w:r>
            <w:r w:rsidR="003136F9">
              <w:rPr>
                <w:rFonts w:eastAsia="Arial" w:cstheme="minorHAnsi"/>
                <w:b/>
                <w:szCs w:val="20"/>
              </w:rPr>
              <w:t xml:space="preserve"> Please</w:t>
            </w:r>
            <w:proofErr w:type="gramEnd"/>
            <w:r w:rsidR="003136F9">
              <w:rPr>
                <w:rFonts w:eastAsia="Arial" w:cstheme="minorHAnsi"/>
                <w:b/>
                <w:szCs w:val="20"/>
              </w:rPr>
              <w:t xml:space="preserve"> include with you submission </w:t>
            </w:r>
          </w:p>
          <w:p w14:paraId="288353EC" w14:textId="77777777" w:rsidR="00421E2E" w:rsidRDefault="00421E2E" w:rsidP="00421E2E">
            <w:pPr>
              <w:rPr>
                <w:rFonts w:eastAsia="Arial" w:cstheme="minorHAnsi"/>
                <w:b/>
                <w:szCs w:val="20"/>
              </w:rPr>
            </w:pPr>
          </w:p>
          <w:bookmarkStart w:id="52" w:name="_MON_1816430686"/>
          <w:bookmarkEnd w:id="52"/>
          <w:p w14:paraId="25E51310" w14:textId="6A7D8F0A" w:rsidR="00421E2E" w:rsidRDefault="003136F9" w:rsidP="00421E2E">
            <w:pPr>
              <w:rPr>
                <w:rFonts w:eastAsia="Arial" w:cstheme="minorHAnsi"/>
                <w:b/>
                <w:szCs w:val="20"/>
              </w:rPr>
            </w:pPr>
            <w:r>
              <w:rPr>
                <w:rFonts w:eastAsia="Arial" w:cstheme="minorHAnsi"/>
                <w:b/>
                <w:szCs w:val="20"/>
              </w:rPr>
              <w:object w:dxaOrig="1548" w:dyaOrig="993" w14:anchorId="6DE56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12" o:title=""/>
                </v:shape>
                <o:OLEObject Type="Embed" ProgID="Word.Document.12" ShapeID="_x0000_i1028" DrawAspect="Icon" ObjectID="_1816430778" r:id="rId13">
                  <o:FieldCodes>\s</o:FieldCodes>
                </o:OLEObject>
              </w:object>
            </w:r>
          </w:p>
          <w:p w14:paraId="597586C2" w14:textId="503AD2B9" w:rsidR="003B0044" w:rsidRPr="00266EC0" w:rsidRDefault="003B0044" w:rsidP="00421E2E">
            <w:pPr>
              <w:rPr>
                <w:rFonts w:eastAsia="Arial" w:cstheme="minorHAnsi"/>
                <w:b/>
                <w:szCs w:val="20"/>
              </w:rPr>
            </w:pPr>
          </w:p>
        </w:tc>
        <w:tc>
          <w:tcPr>
            <w:tcW w:w="1416" w:type="dxa"/>
            <w:shd w:val="clear" w:color="auto" w:fill="FFFFFF" w:themeFill="background1"/>
            <w:vAlign w:val="center"/>
          </w:tcPr>
          <w:p w14:paraId="0CBFB631" w14:textId="6D207A5C" w:rsidR="003B0044" w:rsidRPr="00266EC0" w:rsidRDefault="003B0044" w:rsidP="0051123E">
            <w:pPr>
              <w:rPr>
                <w:rFonts w:eastAsia="Arial" w:cstheme="minorHAnsi"/>
                <w:b/>
                <w:szCs w:val="20"/>
              </w:rPr>
            </w:pPr>
            <w:r>
              <w:rPr>
                <w:rFonts w:eastAsia="Arial" w:cstheme="minorHAnsi"/>
                <w:b/>
                <w:szCs w:val="20"/>
              </w:rPr>
              <w:t xml:space="preserve">Pass </w:t>
            </w:r>
            <w:r w:rsidR="00421E2E">
              <w:rPr>
                <w:rFonts w:eastAsia="Arial" w:cstheme="minorHAnsi"/>
                <w:b/>
                <w:szCs w:val="20"/>
              </w:rPr>
              <w:t>/</w:t>
            </w:r>
            <w:r>
              <w:rPr>
                <w:rFonts w:eastAsia="Arial" w:cstheme="minorHAnsi"/>
                <w:b/>
                <w:szCs w:val="20"/>
              </w:rPr>
              <w:t xml:space="preserve"> Fail</w:t>
            </w:r>
          </w:p>
        </w:tc>
      </w:tr>
      <w:tr w:rsidR="00BA378F" w:rsidRPr="00266EC0" w14:paraId="3D3922B7" w14:textId="77777777" w:rsidTr="004A69DA">
        <w:tc>
          <w:tcPr>
            <w:tcW w:w="7940" w:type="dxa"/>
            <w:gridSpan w:val="2"/>
            <w:shd w:val="clear" w:color="auto" w:fill="D9D9D9" w:themeFill="background1" w:themeFillShade="D9"/>
            <w:vAlign w:val="center"/>
            <w:hideMark/>
          </w:tcPr>
          <w:p w14:paraId="7CF51534" w14:textId="06A2F137" w:rsidR="00BA378F" w:rsidRPr="00266EC0" w:rsidRDefault="00BA378F" w:rsidP="00BA378F">
            <w:pPr>
              <w:rPr>
                <w:rFonts w:eastAsia="Arial" w:cstheme="minorHAnsi"/>
                <w:b/>
                <w:szCs w:val="20"/>
              </w:rPr>
            </w:pPr>
            <w:bookmarkStart w:id="53" w:name="_Hlk191383817"/>
            <w:r w:rsidRPr="00266EC0">
              <w:rPr>
                <w:rFonts w:eastAsia="Arial" w:cstheme="minorHAnsi"/>
                <w:b/>
                <w:szCs w:val="20"/>
              </w:rPr>
              <w:t>Capacity and Capability Assessment</w:t>
            </w:r>
            <w:r>
              <w:rPr>
                <w:rFonts w:eastAsia="Arial" w:cstheme="minorHAnsi"/>
                <w:b/>
                <w:szCs w:val="20"/>
              </w:rPr>
              <w:t xml:space="preserve">, Lot 1 </w:t>
            </w:r>
          </w:p>
        </w:tc>
        <w:tc>
          <w:tcPr>
            <w:tcW w:w="1416" w:type="dxa"/>
            <w:shd w:val="clear" w:color="auto" w:fill="D9D9D9" w:themeFill="background1" w:themeFillShade="D9"/>
            <w:vAlign w:val="center"/>
            <w:hideMark/>
          </w:tcPr>
          <w:p w14:paraId="613B5BAF" w14:textId="77777777" w:rsidR="00BA378F" w:rsidRPr="00266EC0" w:rsidRDefault="00BA378F" w:rsidP="00BA378F">
            <w:pPr>
              <w:rPr>
                <w:rFonts w:eastAsia="Arial" w:cstheme="minorHAnsi"/>
                <w:b/>
                <w:szCs w:val="20"/>
              </w:rPr>
            </w:pPr>
            <w:r w:rsidRPr="00266EC0">
              <w:rPr>
                <w:rFonts w:eastAsia="Arial" w:cstheme="minorHAnsi"/>
                <w:b/>
                <w:szCs w:val="20"/>
              </w:rPr>
              <w:t>Weighting %</w:t>
            </w:r>
          </w:p>
        </w:tc>
      </w:tr>
      <w:tr w:rsidR="00BA378F" w:rsidRPr="00266EC0" w14:paraId="52535026" w14:textId="77777777" w:rsidTr="004A69DA">
        <w:trPr>
          <w:trHeight w:val="3430"/>
        </w:trPr>
        <w:tc>
          <w:tcPr>
            <w:tcW w:w="851" w:type="dxa"/>
            <w:vAlign w:val="center"/>
          </w:tcPr>
          <w:p w14:paraId="53F58DA9" w14:textId="5AD4004C" w:rsidR="00BA378F" w:rsidRPr="00266EC0" w:rsidRDefault="00BA378F" w:rsidP="004A69DA">
            <w:pPr>
              <w:rPr>
                <w:rFonts w:eastAsia="Arial" w:cstheme="minorHAnsi"/>
                <w:b/>
                <w:szCs w:val="20"/>
              </w:rPr>
            </w:pPr>
            <w:r>
              <w:rPr>
                <w:rFonts w:eastAsia="Arial" w:cstheme="minorHAnsi"/>
                <w:b/>
                <w:szCs w:val="20"/>
              </w:rPr>
              <w:t>Lot 1, Q1</w:t>
            </w:r>
          </w:p>
        </w:tc>
        <w:tc>
          <w:tcPr>
            <w:tcW w:w="7089" w:type="dxa"/>
          </w:tcPr>
          <w:p w14:paraId="554FCC3C" w14:textId="77777777" w:rsidR="00BA378F" w:rsidRDefault="00BA378F" w:rsidP="00BA378F">
            <w:pPr>
              <w:pStyle w:val="paragraph"/>
              <w:spacing w:before="0" w:beforeAutospacing="0" w:after="0" w:afterAutospacing="0"/>
              <w:jc w:val="both"/>
              <w:textAlignment w:val="baseline"/>
              <w:rPr>
                <w:rFonts w:asciiTheme="minorHAnsi" w:eastAsia="Times New Roman" w:hAnsiTheme="minorHAnsi" w:cstheme="minorHAnsi"/>
                <w:b/>
                <w:bCs/>
                <w:lang w:eastAsia="en-GB"/>
              </w:rPr>
            </w:pPr>
            <w:r w:rsidRPr="007329F3">
              <w:rPr>
                <w:rFonts w:asciiTheme="minorHAnsi" w:eastAsia="Times New Roman" w:hAnsiTheme="minorHAnsi" w:cstheme="minorHAnsi"/>
                <w:b/>
                <w:bCs/>
                <w:lang w:eastAsia="en-GB"/>
              </w:rPr>
              <w:t>Personnel Experience</w:t>
            </w:r>
          </w:p>
          <w:p w14:paraId="443B21C9" w14:textId="77777777" w:rsidR="004A69DA" w:rsidRPr="007329F3" w:rsidRDefault="004A69DA" w:rsidP="00BA378F">
            <w:pPr>
              <w:pStyle w:val="paragraph"/>
              <w:spacing w:before="0" w:beforeAutospacing="0" w:after="0" w:afterAutospacing="0"/>
              <w:jc w:val="both"/>
              <w:textAlignment w:val="baseline"/>
              <w:rPr>
                <w:rFonts w:asciiTheme="minorHAnsi" w:eastAsia="Times New Roman" w:hAnsiTheme="minorHAnsi" w:cstheme="minorHAnsi"/>
                <w:b/>
                <w:bCs/>
                <w:lang w:eastAsia="en-GB"/>
              </w:rPr>
            </w:pPr>
          </w:p>
          <w:p w14:paraId="7C5D504D" w14:textId="3120E076" w:rsidR="00BA378F" w:rsidRPr="00450CF8" w:rsidRDefault="00BA378F" w:rsidP="00BA378F">
            <w:pPr>
              <w:jc w:val="both"/>
              <w:rPr>
                <w:rFonts w:asciiTheme="minorHAnsi" w:eastAsia="Times New Roman" w:hAnsiTheme="minorHAnsi" w:cstheme="minorHAnsi"/>
                <w:szCs w:val="20"/>
                <w:lang w:eastAsia="en-GB"/>
              </w:rPr>
            </w:pPr>
            <w:r w:rsidRPr="00450CF8">
              <w:rPr>
                <w:rFonts w:asciiTheme="minorHAnsi" w:eastAsia="Times New Roman" w:hAnsiTheme="minorHAnsi" w:cstheme="minorHAnsi"/>
                <w:szCs w:val="20"/>
                <w:lang w:eastAsia="en-GB"/>
              </w:rPr>
              <w:t>Tenderers are asked to demonstrate the experience of their staff by providing:</w:t>
            </w:r>
          </w:p>
          <w:p w14:paraId="22DE91A3" w14:textId="77777777" w:rsidR="00BA378F" w:rsidRPr="00450CF8" w:rsidRDefault="00BA378F" w:rsidP="00A8360C">
            <w:pPr>
              <w:numPr>
                <w:ilvl w:val="0"/>
                <w:numId w:val="8"/>
              </w:numPr>
              <w:spacing w:after="100" w:afterAutospacing="1"/>
              <w:jc w:val="both"/>
              <w:rPr>
                <w:rFonts w:asciiTheme="minorHAnsi" w:eastAsia="Times New Roman" w:hAnsiTheme="minorHAnsi" w:cstheme="minorHAnsi"/>
                <w:szCs w:val="20"/>
                <w:lang w:eastAsia="en-GB"/>
              </w:rPr>
            </w:pPr>
            <w:r w:rsidRPr="00450CF8">
              <w:rPr>
                <w:rFonts w:asciiTheme="minorHAnsi" w:eastAsia="Times New Roman" w:hAnsiTheme="minorHAnsi" w:cstheme="minorHAnsi"/>
                <w:szCs w:val="20"/>
                <w:lang w:eastAsia="en-GB"/>
              </w:rPr>
              <w:t>An example of a successfully delivered project</w:t>
            </w:r>
          </w:p>
          <w:p w14:paraId="4F85D0D6" w14:textId="77777777" w:rsidR="00BA378F" w:rsidRPr="00450CF8" w:rsidRDefault="00BA378F" w:rsidP="00A8360C">
            <w:pPr>
              <w:numPr>
                <w:ilvl w:val="0"/>
                <w:numId w:val="8"/>
              </w:numPr>
              <w:spacing w:before="100" w:beforeAutospacing="1" w:after="100" w:afterAutospacing="1"/>
              <w:jc w:val="both"/>
              <w:rPr>
                <w:rFonts w:asciiTheme="minorHAnsi" w:eastAsia="Times New Roman" w:hAnsiTheme="minorHAnsi" w:cstheme="minorHAnsi"/>
                <w:szCs w:val="20"/>
                <w:lang w:eastAsia="en-GB"/>
              </w:rPr>
            </w:pPr>
            <w:r w:rsidRPr="00450CF8">
              <w:rPr>
                <w:rFonts w:asciiTheme="minorHAnsi" w:eastAsia="Times New Roman" w:hAnsiTheme="minorHAnsi" w:cstheme="minorHAnsi"/>
                <w:szCs w:val="20"/>
                <w:lang w:eastAsia="en-GB"/>
              </w:rPr>
              <w:t>An example of an unsuccessfully delivered project, including a summary of lessons learned</w:t>
            </w:r>
          </w:p>
          <w:p w14:paraId="5BA98B8A" w14:textId="77777777" w:rsidR="00BA378F" w:rsidRPr="00450CF8" w:rsidRDefault="00BA378F" w:rsidP="00BA378F">
            <w:pPr>
              <w:spacing w:before="100" w:beforeAutospacing="1"/>
              <w:jc w:val="both"/>
              <w:rPr>
                <w:rFonts w:asciiTheme="minorHAnsi" w:eastAsia="Times New Roman" w:hAnsiTheme="minorHAnsi" w:cstheme="minorHAnsi"/>
                <w:szCs w:val="20"/>
                <w:lang w:eastAsia="en-GB"/>
              </w:rPr>
            </w:pPr>
            <w:r w:rsidRPr="00450CF8">
              <w:rPr>
                <w:rFonts w:asciiTheme="minorHAnsi" w:eastAsia="Times New Roman" w:hAnsiTheme="minorHAnsi" w:cstheme="minorHAnsi"/>
                <w:szCs w:val="20"/>
                <w:lang w:eastAsia="en-GB"/>
              </w:rPr>
              <w:t>This should relate to projects involving:</w:t>
            </w:r>
          </w:p>
          <w:p w14:paraId="125B1942" w14:textId="77777777" w:rsidR="00BA378F" w:rsidRPr="00450CF8" w:rsidRDefault="00BA378F" w:rsidP="00A8360C">
            <w:pPr>
              <w:numPr>
                <w:ilvl w:val="0"/>
                <w:numId w:val="9"/>
              </w:numPr>
              <w:spacing w:after="100" w:afterAutospacing="1"/>
              <w:jc w:val="both"/>
              <w:rPr>
                <w:rFonts w:asciiTheme="minorHAnsi" w:eastAsia="Times New Roman" w:hAnsiTheme="minorHAnsi" w:cstheme="minorHAnsi"/>
                <w:szCs w:val="20"/>
                <w:lang w:eastAsia="en-GB"/>
              </w:rPr>
            </w:pPr>
            <w:r w:rsidRPr="00450CF8">
              <w:rPr>
                <w:rFonts w:asciiTheme="minorHAnsi" w:eastAsia="Times New Roman" w:hAnsiTheme="minorHAnsi" w:cstheme="minorHAnsi"/>
                <w:szCs w:val="20"/>
                <w:lang w:eastAsia="en-GB"/>
              </w:rPr>
              <w:t>Design and specification development</w:t>
            </w:r>
          </w:p>
          <w:p w14:paraId="4BE4B093" w14:textId="77777777" w:rsidR="00BA378F" w:rsidRPr="00450CF8" w:rsidRDefault="00BA378F" w:rsidP="00A8360C">
            <w:pPr>
              <w:numPr>
                <w:ilvl w:val="0"/>
                <w:numId w:val="9"/>
              </w:numPr>
              <w:spacing w:before="100" w:beforeAutospacing="1" w:after="100" w:afterAutospacing="1"/>
              <w:jc w:val="both"/>
              <w:rPr>
                <w:rFonts w:asciiTheme="minorHAnsi" w:eastAsia="Times New Roman" w:hAnsiTheme="minorHAnsi" w:cstheme="minorHAnsi"/>
                <w:szCs w:val="20"/>
                <w:lang w:eastAsia="en-GB"/>
              </w:rPr>
            </w:pPr>
            <w:r w:rsidRPr="00450CF8">
              <w:rPr>
                <w:rFonts w:asciiTheme="minorHAnsi" w:eastAsia="Times New Roman" w:hAnsiTheme="minorHAnsi" w:cstheme="minorHAnsi"/>
                <w:szCs w:val="20"/>
                <w:lang w:eastAsia="en-GB"/>
              </w:rPr>
              <w:t>Contractor/consultant management and administration</w:t>
            </w:r>
          </w:p>
          <w:p w14:paraId="2CD1A0F7" w14:textId="628021A6" w:rsidR="00BA378F" w:rsidRDefault="00BA378F" w:rsidP="00BA378F">
            <w:pPr>
              <w:jc w:val="both"/>
              <w:rPr>
                <w:rFonts w:asciiTheme="minorHAnsi" w:eastAsia="Times New Roman" w:hAnsiTheme="minorHAnsi" w:cstheme="minorHAnsi"/>
                <w:szCs w:val="20"/>
                <w:lang w:eastAsia="en-GB"/>
              </w:rPr>
            </w:pPr>
            <w:r w:rsidRPr="00450CF8">
              <w:rPr>
                <w:rFonts w:asciiTheme="minorHAnsi" w:eastAsia="Times New Roman" w:hAnsiTheme="minorHAnsi" w:cstheme="minorHAnsi"/>
                <w:szCs w:val="20"/>
                <w:lang w:eastAsia="en-GB"/>
              </w:rPr>
              <w:t>When describing success or failure, consider factors such as budget, timelines, and performance.</w:t>
            </w:r>
            <w:r>
              <w:rPr>
                <w:rFonts w:asciiTheme="minorHAnsi" w:eastAsia="Times New Roman" w:hAnsiTheme="minorHAnsi" w:cstheme="minorHAnsi"/>
                <w:szCs w:val="20"/>
                <w:lang w:eastAsia="en-GB"/>
              </w:rPr>
              <w:t xml:space="preserve"> </w:t>
            </w:r>
            <w:r w:rsidRPr="00450CF8">
              <w:rPr>
                <w:rFonts w:asciiTheme="minorHAnsi" w:eastAsia="Times New Roman" w:hAnsiTheme="minorHAnsi" w:cstheme="minorHAnsi"/>
                <w:szCs w:val="20"/>
                <w:lang w:eastAsia="en-GB"/>
              </w:rPr>
              <w:t>Examples can be drawn from the education sector or the wider public sector.</w:t>
            </w:r>
          </w:p>
          <w:p w14:paraId="57C28537" w14:textId="70853AD8" w:rsidR="00BA378F" w:rsidRPr="00B35AEB" w:rsidRDefault="00BA378F" w:rsidP="00BA378F">
            <w:pPr>
              <w:spacing w:after="100" w:afterAutospacing="1"/>
              <w:jc w:val="both"/>
              <w:rPr>
                <w:rFonts w:asciiTheme="minorHAnsi" w:eastAsia="Times New Roman" w:hAnsiTheme="minorHAnsi" w:cstheme="minorHAnsi"/>
                <w:szCs w:val="20"/>
                <w:lang w:eastAsia="en-GB"/>
              </w:rPr>
            </w:pPr>
          </w:p>
        </w:tc>
        <w:tc>
          <w:tcPr>
            <w:tcW w:w="1416" w:type="dxa"/>
            <w:vAlign w:val="center"/>
          </w:tcPr>
          <w:p w14:paraId="5C7D69DE" w14:textId="1FF9E9C7" w:rsidR="00BA378F" w:rsidRPr="00266EC0" w:rsidRDefault="0001260C" w:rsidP="00BA378F">
            <w:pPr>
              <w:jc w:val="center"/>
              <w:rPr>
                <w:rFonts w:eastAsia="Arial" w:cstheme="minorHAnsi"/>
                <w:b/>
                <w:szCs w:val="20"/>
              </w:rPr>
            </w:pPr>
            <w:r>
              <w:rPr>
                <w:rFonts w:eastAsia="Arial" w:cstheme="minorHAnsi"/>
                <w:b/>
                <w:szCs w:val="20"/>
              </w:rPr>
              <w:t>3</w:t>
            </w:r>
            <w:r w:rsidR="00BA378F">
              <w:rPr>
                <w:rFonts w:eastAsia="Arial" w:cstheme="minorHAnsi"/>
                <w:b/>
                <w:szCs w:val="20"/>
              </w:rPr>
              <w:t>0%</w:t>
            </w:r>
          </w:p>
        </w:tc>
      </w:tr>
      <w:tr w:rsidR="00BA378F" w:rsidRPr="00266EC0" w14:paraId="242261DF" w14:textId="77777777" w:rsidTr="004A69DA">
        <w:tc>
          <w:tcPr>
            <w:tcW w:w="851" w:type="dxa"/>
            <w:vAlign w:val="center"/>
          </w:tcPr>
          <w:p w14:paraId="6136AE39" w14:textId="1C24F83C" w:rsidR="00BA378F" w:rsidRPr="00266EC0" w:rsidRDefault="00BA378F" w:rsidP="004A69DA">
            <w:pPr>
              <w:rPr>
                <w:rFonts w:eastAsia="Arial" w:cstheme="minorHAnsi"/>
                <w:b/>
                <w:szCs w:val="20"/>
              </w:rPr>
            </w:pPr>
            <w:r>
              <w:rPr>
                <w:rFonts w:eastAsia="Arial" w:cstheme="minorHAnsi"/>
                <w:b/>
                <w:szCs w:val="20"/>
              </w:rPr>
              <w:t>Lot 1, Q2</w:t>
            </w:r>
          </w:p>
        </w:tc>
        <w:tc>
          <w:tcPr>
            <w:tcW w:w="7089" w:type="dxa"/>
          </w:tcPr>
          <w:p w14:paraId="0ECA1ECD" w14:textId="505A5E3B" w:rsidR="00BA378F" w:rsidRDefault="00BA378F" w:rsidP="00BA378F">
            <w:pPr>
              <w:pStyle w:val="paragraph"/>
              <w:spacing w:before="0" w:beforeAutospacing="0" w:after="0" w:afterAutospacing="0"/>
              <w:jc w:val="both"/>
              <w:textAlignment w:val="baseline"/>
              <w:rPr>
                <w:rFonts w:asciiTheme="minorHAnsi" w:eastAsia="Times New Roman" w:hAnsiTheme="minorHAnsi" w:cstheme="minorHAnsi"/>
                <w:b/>
                <w:bCs/>
                <w:lang w:eastAsia="en-GB"/>
              </w:rPr>
            </w:pPr>
            <w:r>
              <w:rPr>
                <w:rFonts w:asciiTheme="minorHAnsi" w:eastAsia="Times New Roman" w:hAnsiTheme="minorHAnsi" w:cstheme="minorHAnsi"/>
                <w:b/>
                <w:bCs/>
                <w:lang w:eastAsia="en-GB"/>
              </w:rPr>
              <w:t>R</w:t>
            </w:r>
            <w:r w:rsidRPr="00450CF8">
              <w:rPr>
                <w:rFonts w:asciiTheme="minorHAnsi" w:eastAsia="Times New Roman" w:hAnsiTheme="minorHAnsi" w:cstheme="minorHAnsi"/>
                <w:b/>
                <w:bCs/>
                <w:lang w:eastAsia="en-GB"/>
              </w:rPr>
              <w:t xml:space="preserve">eporting and </w:t>
            </w:r>
            <w:r>
              <w:rPr>
                <w:rFonts w:asciiTheme="minorHAnsi" w:eastAsia="Times New Roman" w:hAnsiTheme="minorHAnsi" w:cstheme="minorHAnsi"/>
                <w:b/>
                <w:bCs/>
                <w:lang w:eastAsia="en-GB"/>
              </w:rPr>
              <w:t>P</w:t>
            </w:r>
            <w:r w:rsidRPr="00450CF8">
              <w:rPr>
                <w:rFonts w:asciiTheme="minorHAnsi" w:eastAsia="Times New Roman" w:hAnsiTheme="minorHAnsi" w:cstheme="minorHAnsi"/>
                <w:b/>
                <w:bCs/>
                <w:lang w:eastAsia="en-GB"/>
              </w:rPr>
              <w:t xml:space="preserve">roject </w:t>
            </w:r>
            <w:r>
              <w:rPr>
                <w:rFonts w:asciiTheme="minorHAnsi" w:eastAsia="Times New Roman" w:hAnsiTheme="minorHAnsi" w:cstheme="minorHAnsi"/>
                <w:b/>
                <w:bCs/>
                <w:lang w:eastAsia="en-GB"/>
              </w:rPr>
              <w:t>M</w:t>
            </w:r>
            <w:r w:rsidRPr="00450CF8">
              <w:rPr>
                <w:rFonts w:asciiTheme="minorHAnsi" w:eastAsia="Times New Roman" w:hAnsiTheme="minorHAnsi" w:cstheme="minorHAnsi"/>
                <w:b/>
                <w:bCs/>
                <w:lang w:eastAsia="en-GB"/>
              </w:rPr>
              <w:t>anagement</w:t>
            </w:r>
          </w:p>
          <w:p w14:paraId="306A0CDE" w14:textId="77777777" w:rsidR="004A69DA" w:rsidRPr="00450CF8" w:rsidRDefault="004A69DA" w:rsidP="00BA378F">
            <w:pPr>
              <w:pStyle w:val="paragraph"/>
              <w:spacing w:before="0" w:beforeAutospacing="0" w:after="0" w:afterAutospacing="0"/>
              <w:jc w:val="both"/>
              <w:textAlignment w:val="baseline"/>
              <w:rPr>
                <w:rFonts w:asciiTheme="minorHAnsi" w:eastAsia="Arial" w:hAnsiTheme="minorHAnsi" w:cstheme="minorHAnsi"/>
                <w:b/>
                <w:bCs/>
                <w:lang w:eastAsia="en-US"/>
              </w:rPr>
            </w:pPr>
          </w:p>
          <w:p w14:paraId="7B0F2691" w14:textId="77777777" w:rsidR="00BA378F" w:rsidRDefault="00BA378F" w:rsidP="00BA378F">
            <w:pPr>
              <w:spacing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Please outline your approach to reporting and project management for call-off contracts of varying sizes, demonstrating how your methods scale according to project size.</w:t>
            </w:r>
          </w:p>
          <w:p w14:paraId="3198D257" w14:textId="77777777" w:rsidR="00BA378F" w:rsidRPr="00966BBE" w:rsidRDefault="00BA378F" w:rsidP="00BA378F">
            <w:pPr>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Please include a sample report from a recent project to illustrate your approach.</w:t>
            </w:r>
          </w:p>
          <w:p w14:paraId="0F4787AF" w14:textId="77777777" w:rsidR="00BA378F" w:rsidRPr="00966BBE" w:rsidRDefault="00BA378F" w:rsidP="00BA378F">
            <w:pPr>
              <w:spacing w:before="100" w:before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This should cover projects involving:</w:t>
            </w:r>
          </w:p>
          <w:p w14:paraId="462CF38E" w14:textId="77777777" w:rsidR="00BA378F" w:rsidRPr="00966BBE" w:rsidRDefault="00BA378F" w:rsidP="00A8360C">
            <w:pPr>
              <w:numPr>
                <w:ilvl w:val="0"/>
                <w:numId w:val="10"/>
              </w:numPr>
              <w:spacing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lastRenderedPageBreak/>
              <w:t>Design and specification development</w:t>
            </w:r>
          </w:p>
          <w:p w14:paraId="45886427" w14:textId="77777777" w:rsidR="00BA378F" w:rsidRPr="00966BBE" w:rsidRDefault="00BA378F" w:rsidP="00A8360C">
            <w:pPr>
              <w:numPr>
                <w:ilvl w:val="0"/>
                <w:numId w:val="10"/>
              </w:numPr>
              <w:spacing w:before="100" w:beforeAutospacing="1"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Contractor/consultant management and administration</w:t>
            </w:r>
          </w:p>
          <w:p w14:paraId="1C7716A5" w14:textId="77777777" w:rsidR="00BA378F" w:rsidRPr="00966BBE" w:rsidRDefault="00BA378F" w:rsidP="00BA378F">
            <w:pPr>
              <w:spacing w:before="100" w:before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Your response should include, but not be limited to:</w:t>
            </w:r>
          </w:p>
          <w:p w14:paraId="1FAC6FB1" w14:textId="77777777" w:rsidR="00BA378F" w:rsidRPr="00966BBE" w:rsidRDefault="00BA378F" w:rsidP="00A8360C">
            <w:pPr>
              <w:numPr>
                <w:ilvl w:val="0"/>
                <w:numId w:val="11"/>
              </w:numPr>
              <w:spacing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Communication methods and frequency</w:t>
            </w:r>
          </w:p>
          <w:p w14:paraId="3545922C" w14:textId="77777777" w:rsidR="00BA378F" w:rsidRPr="00966BBE" w:rsidRDefault="00BA378F" w:rsidP="00A8360C">
            <w:pPr>
              <w:numPr>
                <w:ilvl w:val="0"/>
                <w:numId w:val="11"/>
              </w:numPr>
              <w:spacing w:before="100" w:beforeAutospacing="1"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Reporting tools and systems used</w:t>
            </w:r>
          </w:p>
          <w:p w14:paraId="490576A7" w14:textId="77777777" w:rsidR="00BA378F" w:rsidRPr="00966BBE" w:rsidRDefault="00BA378F" w:rsidP="00A8360C">
            <w:pPr>
              <w:numPr>
                <w:ilvl w:val="0"/>
                <w:numId w:val="11"/>
              </w:numPr>
              <w:spacing w:before="100" w:beforeAutospacing="1"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Project management practices to keep work on schedule, including milestone tracking</w:t>
            </w:r>
          </w:p>
          <w:p w14:paraId="71A5C83F" w14:textId="77777777" w:rsidR="00BA378F" w:rsidRPr="00966BBE" w:rsidRDefault="00BA378F" w:rsidP="00A8360C">
            <w:pPr>
              <w:numPr>
                <w:ilvl w:val="0"/>
                <w:numId w:val="11"/>
              </w:numPr>
              <w:spacing w:before="100" w:beforeAutospacing="1"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Handover procedures at project completion, including how snagging is managed</w:t>
            </w:r>
          </w:p>
          <w:p w14:paraId="00000217" w14:textId="77777777" w:rsidR="00BA378F" w:rsidRPr="00966BBE" w:rsidRDefault="00BA378F" w:rsidP="00A8360C">
            <w:pPr>
              <w:numPr>
                <w:ilvl w:val="0"/>
                <w:numId w:val="11"/>
              </w:numPr>
              <w:spacing w:before="100" w:beforeAutospacing="1"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Key considerations you prioritise in your reporting approach</w:t>
            </w:r>
          </w:p>
          <w:p w14:paraId="1B5CE0BC" w14:textId="77777777" w:rsidR="00BA378F" w:rsidRPr="00966BBE" w:rsidRDefault="00BA378F" w:rsidP="00A8360C">
            <w:pPr>
              <w:numPr>
                <w:ilvl w:val="0"/>
                <w:numId w:val="11"/>
              </w:numPr>
              <w:spacing w:before="100" w:beforeAutospacing="1" w:after="100" w:after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Reporting areas covered, such as health and safety, welfare, and subcontractor/consultant performance</w:t>
            </w:r>
          </w:p>
          <w:p w14:paraId="6CF2066E" w14:textId="1690CBF3" w:rsidR="00BA378F" w:rsidRDefault="00BA378F" w:rsidP="00A8360C">
            <w:pPr>
              <w:numPr>
                <w:ilvl w:val="0"/>
                <w:numId w:val="11"/>
              </w:numPr>
              <w:spacing w:before="100" w:beforeAutospacing="1"/>
              <w:jc w:val="both"/>
              <w:rPr>
                <w:rFonts w:asciiTheme="minorHAnsi" w:eastAsia="Times New Roman" w:hAnsiTheme="minorHAnsi" w:cstheme="minorHAnsi"/>
                <w:szCs w:val="20"/>
                <w:lang w:eastAsia="en-GB"/>
              </w:rPr>
            </w:pPr>
            <w:r w:rsidRPr="00966BBE">
              <w:rPr>
                <w:rFonts w:asciiTheme="minorHAnsi" w:eastAsia="Times New Roman" w:hAnsiTheme="minorHAnsi" w:cstheme="minorHAnsi"/>
                <w:szCs w:val="20"/>
                <w:lang w:eastAsia="en-GB"/>
              </w:rPr>
              <w:t>Participation in site meetings, including the provision of formal minutes or updates</w:t>
            </w:r>
            <w:r>
              <w:rPr>
                <w:rFonts w:asciiTheme="minorHAnsi" w:eastAsia="Times New Roman" w:hAnsiTheme="minorHAnsi" w:cstheme="minorHAnsi"/>
                <w:szCs w:val="20"/>
                <w:lang w:eastAsia="en-GB"/>
              </w:rPr>
              <w:t>.</w:t>
            </w:r>
          </w:p>
          <w:p w14:paraId="496E098E" w14:textId="77777777" w:rsidR="00BA378F" w:rsidRPr="00450CF8" w:rsidRDefault="00BA378F" w:rsidP="00BA378F">
            <w:pPr>
              <w:jc w:val="both"/>
              <w:rPr>
                <w:rFonts w:asciiTheme="minorHAnsi" w:eastAsia="Arial" w:hAnsiTheme="minorHAnsi" w:cstheme="minorHAnsi"/>
                <w:szCs w:val="20"/>
              </w:rPr>
            </w:pPr>
          </w:p>
        </w:tc>
        <w:tc>
          <w:tcPr>
            <w:tcW w:w="0" w:type="auto"/>
            <w:vAlign w:val="center"/>
          </w:tcPr>
          <w:p w14:paraId="1D7171AB" w14:textId="3F0BA330" w:rsidR="00BA378F" w:rsidRPr="00266EC0" w:rsidRDefault="00BA378F" w:rsidP="00BA378F">
            <w:pPr>
              <w:jc w:val="center"/>
              <w:rPr>
                <w:rFonts w:eastAsia="Arial" w:cstheme="minorHAnsi"/>
                <w:b/>
                <w:szCs w:val="20"/>
              </w:rPr>
            </w:pPr>
            <w:r>
              <w:rPr>
                <w:rFonts w:eastAsia="Arial" w:cstheme="minorHAnsi"/>
                <w:b/>
                <w:szCs w:val="20"/>
              </w:rPr>
              <w:lastRenderedPageBreak/>
              <w:t>50%</w:t>
            </w:r>
          </w:p>
        </w:tc>
      </w:tr>
      <w:tr w:rsidR="00BA378F" w:rsidRPr="00266EC0" w14:paraId="57CEF3B4" w14:textId="77777777" w:rsidTr="004A69DA">
        <w:tc>
          <w:tcPr>
            <w:tcW w:w="851" w:type="dxa"/>
            <w:vAlign w:val="center"/>
            <w:hideMark/>
          </w:tcPr>
          <w:p w14:paraId="56117D0E" w14:textId="75ACAE6A" w:rsidR="00BA378F" w:rsidRPr="00266EC0" w:rsidRDefault="00BA378F" w:rsidP="004A69DA">
            <w:pPr>
              <w:rPr>
                <w:rFonts w:eastAsia="Arial" w:cstheme="minorHAnsi"/>
                <w:b/>
                <w:szCs w:val="20"/>
              </w:rPr>
            </w:pPr>
            <w:r>
              <w:rPr>
                <w:rFonts w:eastAsia="Arial" w:cstheme="minorHAnsi"/>
                <w:b/>
                <w:szCs w:val="20"/>
              </w:rPr>
              <w:t>Lot 1, Q3</w:t>
            </w:r>
          </w:p>
        </w:tc>
        <w:tc>
          <w:tcPr>
            <w:tcW w:w="7089" w:type="dxa"/>
          </w:tcPr>
          <w:p w14:paraId="77F76224" w14:textId="77777777" w:rsidR="00BA378F" w:rsidRPr="007329F3" w:rsidRDefault="00BA378F" w:rsidP="00BA378F">
            <w:pPr>
              <w:pStyle w:val="paragraph"/>
              <w:spacing w:before="0" w:beforeAutospacing="0" w:after="0" w:afterAutospacing="0"/>
              <w:textAlignment w:val="baseline"/>
              <w:rPr>
                <w:rFonts w:asciiTheme="minorHAnsi" w:eastAsia="Times New Roman" w:hAnsiTheme="minorHAnsi" w:cstheme="minorHAnsi"/>
                <w:b/>
                <w:bCs/>
                <w:lang w:eastAsia="en-GB"/>
              </w:rPr>
            </w:pPr>
            <w:r w:rsidRPr="007329F3">
              <w:rPr>
                <w:rFonts w:asciiTheme="minorHAnsi" w:eastAsia="Times New Roman" w:hAnsiTheme="minorHAnsi" w:cstheme="minorHAnsi"/>
                <w:b/>
                <w:bCs/>
                <w:lang w:eastAsia="en-GB"/>
              </w:rPr>
              <w:t>Added Value</w:t>
            </w:r>
          </w:p>
          <w:p w14:paraId="687CFA09" w14:textId="77777777" w:rsidR="00BA378F" w:rsidRPr="00266EC0" w:rsidRDefault="00BA378F" w:rsidP="00BA378F">
            <w:pPr>
              <w:jc w:val="both"/>
              <w:rPr>
                <w:rFonts w:cstheme="minorHAnsi"/>
                <w:szCs w:val="20"/>
              </w:rPr>
            </w:pPr>
            <w:r w:rsidRPr="00266EC0">
              <w:rPr>
                <w:rFonts w:cstheme="minorHAnsi"/>
                <w:szCs w:val="20"/>
              </w:rPr>
              <w:t>Can you please provide details of any other goods / services / benefits your organisation could offer</w:t>
            </w:r>
            <w:r>
              <w:rPr>
                <w:rFonts w:cstheme="minorHAnsi"/>
                <w:szCs w:val="20"/>
              </w:rPr>
              <w:t>, over and above the core requirements of this brief, that will add value to your proposal.</w:t>
            </w:r>
          </w:p>
          <w:p w14:paraId="1D9107F5" w14:textId="77777777" w:rsidR="00BA378F" w:rsidRPr="00266EC0" w:rsidRDefault="00BA378F" w:rsidP="00BA378F">
            <w:pPr>
              <w:jc w:val="both"/>
              <w:rPr>
                <w:rFonts w:cstheme="minorHAnsi"/>
                <w:szCs w:val="20"/>
              </w:rPr>
            </w:pPr>
          </w:p>
        </w:tc>
        <w:tc>
          <w:tcPr>
            <w:tcW w:w="0" w:type="auto"/>
            <w:vAlign w:val="center"/>
            <w:hideMark/>
          </w:tcPr>
          <w:p w14:paraId="5FEB0FED" w14:textId="3DE76156" w:rsidR="00BA378F" w:rsidRPr="00266EC0" w:rsidRDefault="0001260C" w:rsidP="00BA378F">
            <w:pPr>
              <w:jc w:val="center"/>
              <w:rPr>
                <w:rFonts w:eastAsia="Arial" w:cstheme="minorHAnsi"/>
                <w:b/>
                <w:szCs w:val="20"/>
              </w:rPr>
            </w:pPr>
            <w:r>
              <w:rPr>
                <w:rFonts w:eastAsia="Arial" w:cstheme="minorHAnsi"/>
                <w:b/>
                <w:szCs w:val="20"/>
              </w:rPr>
              <w:t>10%</w:t>
            </w:r>
          </w:p>
        </w:tc>
      </w:tr>
      <w:tr w:rsidR="00BA378F" w:rsidRPr="00266EC0" w14:paraId="4EEDDC64" w14:textId="77777777" w:rsidTr="004A69DA">
        <w:tc>
          <w:tcPr>
            <w:tcW w:w="851" w:type="dxa"/>
            <w:vAlign w:val="center"/>
          </w:tcPr>
          <w:p w14:paraId="121BC33F" w14:textId="77D31C3C" w:rsidR="00BA378F" w:rsidRDefault="00BA378F" w:rsidP="004A69DA">
            <w:pPr>
              <w:rPr>
                <w:rFonts w:eastAsia="Arial" w:cstheme="minorHAnsi"/>
                <w:b/>
                <w:szCs w:val="20"/>
              </w:rPr>
            </w:pPr>
            <w:r>
              <w:rPr>
                <w:rFonts w:eastAsia="Arial" w:cstheme="minorHAnsi"/>
                <w:b/>
                <w:szCs w:val="20"/>
              </w:rPr>
              <w:t>Lot 1, Q4</w:t>
            </w:r>
          </w:p>
        </w:tc>
        <w:tc>
          <w:tcPr>
            <w:tcW w:w="7089" w:type="dxa"/>
          </w:tcPr>
          <w:p w14:paraId="122C618F" w14:textId="693A826D" w:rsidR="00BA378F" w:rsidRPr="007329F3" w:rsidRDefault="00BA378F" w:rsidP="00BA378F">
            <w:pPr>
              <w:pStyle w:val="paragraph"/>
              <w:spacing w:before="0" w:beforeAutospacing="0" w:after="0" w:afterAutospacing="0"/>
              <w:textAlignment w:val="baseline"/>
              <w:rPr>
                <w:rFonts w:asciiTheme="minorHAnsi" w:eastAsia="Times New Roman" w:hAnsiTheme="minorHAnsi" w:cstheme="minorHAnsi"/>
                <w:b/>
                <w:bCs/>
                <w:lang w:eastAsia="en-GB"/>
              </w:rPr>
            </w:pPr>
            <w:r w:rsidRPr="007329F3">
              <w:rPr>
                <w:rFonts w:asciiTheme="minorHAnsi" w:eastAsia="Times New Roman" w:hAnsiTheme="minorHAnsi" w:cstheme="minorHAnsi"/>
                <w:b/>
                <w:bCs/>
                <w:lang w:eastAsia="en-GB"/>
              </w:rPr>
              <w:t>Community Benefits</w:t>
            </w:r>
          </w:p>
          <w:p w14:paraId="162CB907" w14:textId="43A453B7" w:rsidR="00BA378F" w:rsidRPr="007329F3" w:rsidRDefault="00BA378F" w:rsidP="00BA378F">
            <w:pPr>
              <w:jc w:val="both"/>
              <w:rPr>
                <w:rFonts w:cstheme="minorHAnsi"/>
                <w:szCs w:val="20"/>
              </w:rPr>
            </w:pPr>
            <w:r w:rsidRPr="007329F3">
              <w:rPr>
                <w:rFonts w:cstheme="minorHAnsi"/>
                <w:szCs w:val="20"/>
              </w:rPr>
              <w:t>Please provide a short plan outlining how your organisation will contribute to the local and university community through this contract. Suggestions include student engagement, support for local suppliers, or staff development opportunities.</w:t>
            </w:r>
          </w:p>
          <w:p w14:paraId="4E1DF42B" w14:textId="77777777" w:rsidR="00BA378F" w:rsidRPr="000654EE" w:rsidRDefault="00BA378F" w:rsidP="00BA378F">
            <w:pPr>
              <w:jc w:val="both"/>
              <w:rPr>
                <w:rFonts w:cstheme="minorHAnsi"/>
                <w:b/>
                <w:szCs w:val="20"/>
              </w:rPr>
            </w:pPr>
          </w:p>
        </w:tc>
        <w:tc>
          <w:tcPr>
            <w:tcW w:w="0" w:type="auto"/>
            <w:vAlign w:val="center"/>
          </w:tcPr>
          <w:p w14:paraId="6E2CFCDF" w14:textId="13BF7249" w:rsidR="00BA378F" w:rsidRDefault="00BA378F" w:rsidP="00BA378F">
            <w:pPr>
              <w:jc w:val="center"/>
              <w:rPr>
                <w:rFonts w:eastAsia="Arial" w:cstheme="minorHAnsi"/>
                <w:b/>
                <w:szCs w:val="20"/>
              </w:rPr>
            </w:pPr>
            <w:r>
              <w:rPr>
                <w:rFonts w:eastAsia="Arial" w:cstheme="minorHAnsi"/>
                <w:b/>
                <w:szCs w:val="20"/>
              </w:rPr>
              <w:t>1</w:t>
            </w:r>
            <w:r w:rsidR="0001260C">
              <w:rPr>
                <w:rFonts w:eastAsia="Arial" w:cstheme="minorHAnsi"/>
                <w:b/>
                <w:szCs w:val="20"/>
              </w:rPr>
              <w:t>0</w:t>
            </w:r>
            <w:r>
              <w:rPr>
                <w:rFonts w:eastAsia="Arial" w:cstheme="minorHAnsi"/>
                <w:b/>
                <w:szCs w:val="20"/>
              </w:rPr>
              <w:t>%</w:t>
            </w:r>
          </w:p>
        </w:tc>
      </w:tr>
      <w:bookmarkEnd w:id="53"/>
    </w:tbl>
    <w:p w14:paraId="601B3F53" w14:textId="6226E43E" w:rsidR="00527934" w:rsidRDefault="00527934" w:rsidP="00872A5F"/>
    <w:p w14:paraId="5D57EFBF" w14:textId="6FB3CF0E" w:rsidR="008901F2" w:rsidRDefault="00450CF8" w:rsidP="004A69DA">
      <w:pPr>
        <w:pStyle w:val="Heading2"/>
        <w:jc w:val="both"/>
      </w:pPr>
      <w:bookmarkStart w:id="54" w:name="_Toc205559965"/>
      <w:r w:rsidRPr="00266EC0">
        <w:rPr>
          <w:rFonts w:eastAsia="Arial" w:cstheme="minorHAnsi"/>
          <w:szCs w:val="20"/>
        </w:rPr>
        <w:t xml:space="preserve">Capacity and Capability </w:t>
      </w:r>
      <w:r w:rsidR="00966BBE" w:rsidRPr="00266EC0">
        <w:rPr>
          <w:rFonts w:eastAsia="Arial" w:cstheme="minorHAnsi"/>
          <w:szCs w:val="20"/>
        </w:rPr>
        <w:t>Assessment</w:t>
      </w:r>
      <w:r w:rsidR="00966BBE">
        <w:rPr>
          <w:rFonts w:eastAsia="Arial" w:cstheme="minorHAnsi"/>
          <w:szCs w:val="20"/>
        </w:rPr>
        <w:t>,</w:t>
      </w:r>
      <w:r w:rsidR="008901F2">
        <w:t xml:space="preserve"> For Lot </w:t>
      </w:r>
      <w:r w:rsidR="00F3402B">
        <w:t>2</w:t>
      </w:r>
      <w:bookmarkEnd w:id="54"/>
      <w:r w:rsidR="008901F2">
        <w:t xml:space="preserve"> </w:t>
      </w:r>
    </w:p>
    <w:p w14:paraId="0D5E5892" w14:textId="77777777" w:rsidR="00B35AEB" w:rsidRDefault="00B35AEB" w:rsidP="004A69DA">
      <w:pPr>
        <w:jc w:val="both"/>
        <w:rPr>
          <w:rFonts w:cstheme="minorHAnsi"/>
          <w:szCs w:val="20"/>
        </w:rPr>
      </w:pPr>
    </w:p>
    <w:p w14:paraId="57A71B0D" w14:textId="77777777" w:rsidR="004A69DA" w:rsidRDefault="00B35AEB" w:rsidP="004A69DA">
      <w:pPr>
        <w:jc w:val="both"/>
        <w:rPr>
          <w:rFonts w:cstheme="minorHAnsi"/>
          <w:szCs w:val="20"/>
        </w:rPr>
      </w:pPr>
      <w:r w:rsidRPr="00B35AEB">
        <w:rPr>
          <w:rFonts w:cstheme="minorHAnsi"/>
          <w:szCs w:val="20"/>
        </w:rPr>
        <w:t xml:space="preserve">Completion of the Lot 2 Capacity and Capability Assessment is only required if you intend to bid for Lot </w:t>
      </w:r>
      <w:r w:rsidR="0001260C" w:rsidRPr="00B35AEB">
        <w:rPr>
          <w:rFonts w:cstheme="minorHAnsi"/>
          <w:szCs w:val="20"/>
        </w:rPr>
        <w:t>2.</w:t>
      </w:r>
      <w:r w:rsidR="0001260C" w:rsidRPr="000654EE">
        <w:rPr>
          <w:rFonts w:cstheme="minorHAnsi"/>
          <w:szCs w:val="20"/>
        </w:rPr>
        <w:t xml:space="preserve"> </w:t>
      </w:r>
    </w:p>
    <w:p w14:paraId="06580C31" w14:textId="77777777" w:rsidR="004A69DA" w:rsidRDefault="004A69DA" w:rsidP="004A69DA">
      <w:pPr>
        <w:jc w:val="both"/>
        <w:rPr>
          <w:szCs w:val="20"/>
        </w:rPr>
      </w:pPr>
    </w:p>
    <w:p w14:paraId="36A3B206" w14:textId="40F15BB5" w:rsidR="004A69DA" w:rsidRDefault="004A69DA" w:rsidP="004A69DA">
      <w:pPr>
        <w:jc w:val="both"/>
        <w:rPr>
          <w:szCs w:val="20"/>
        </w:rPr>
      </w:pPr>
      <w:r w:rsidRPr="00B35AEB">
        <w:rPr>
          <w:szCs w:val="20"/>
        </w:rPr>
        <w:t>Please ensure your responses refer to the Lot-specific Scope of Requirements.</w:t>
      </w:r>
    </w:p>
    <w:p w14:paraId="10333061" w14:textId="77777777" w:rsidR="004A69DA" w:rsidRDefault="004A69DA" w:rsidP="004A69DA">
      <w:pPr>
        <w:jc w:val="both"/>
        <w:rPr>
          <w:szCs w:val="20"/>
        </w:rPr>
      </w:pPr>
    </w:p>
    <w:p w14:paraId="690ABDBD" w14:textId="3F519245" w:rsidR="004A69DA" w:rsidRDefault="004A69DA" w:rsidP="004A69DA">
      <w:pPr>
        <w:jc w:val="both"/>
        <w:rPr>
          <w:rFonts w:asciiTheme="minorHAnsi" w:hAnsiTheme="minorHAnsi" w:cstheme="minorBidi"/>
          <w:szCs w:val="20"/>
        </w:rPr>
      </w:pPr>
      <w:r>
        <w:rPr>
          <w:rFonts w:asciiTheme="minorHAnsi" w:hAnsiTheme="minorHAnsi" w:cstheme="minorBidi"/>
          <w:szCs w:val="20"/>
        </w:rPr>
        <w:t xml:space="preserve">If you wish to bid for both Lots 1 and 2, you must provide responses to both sets of Quality Questions. </w:t>
      </w:r>
    </w:p>
    <w:p w14:paraId="76D9C166" w14:textId="77777777" w:rsidR="004A69DA" w:rsidRDefault="004A69DA" w:rsidP="004A69DA">
      <w:pPr>
        <w:jc w:val="both"/>
        <w:rPr>
          <w:rFonts w:cstheme="minorHAnsi"/>
          <w:szCs w:val="20"/>
        </w:rPr>
      </w:pPr>
    </w:p>
    <w:p w14:paraId="121F8C6E" w14:textId="40C5945E" w:rsidR="007329F3" w:rsidRPr="000654EE" w:rsidRDefault="0001260C" w:rsidP="004A69DA">
      <w:pPr>
        <w:jc w:val="both"/>
        <w:rPr>
          <w:rFonts w:cstheme="minorHAnsi"/>
          <w:szCs w:val="20"/>
        </w:rPr>
      </w:pPr>
      <w:r w:rsidRPr="000654EE">
        <w:rPr>
          <w:rFonts w:cstheme="minorHAnsi"/>
          <w:szCs w:val="20"/>
        </w:rPr>
        <w:t>Weightings</w:t>
      </w:r>
      <w:r w:rsidR="007329F3" w:rsidRPr="000654EE">
        <w:rPr>
          <w:rFonts w:cstheme="minorHAnsi"/>
          <w:szCs w:val="20"/>
        </w:rPr>
        <w:t xml:space="preserve"> for the quality of the submission will be applied in accordance with the table below:</w:t>
      </w:r>
    </w:p>
    <w:p w14:paraId="6FA8810D" w14:textId="2B286DD8" w:rsidR="00E54EF7" w:rsidRPr="004A69DA" w:rsidRDefault="00E54EF7" w:rsidP="00F3402B">
      <w:pPr>
        <w:rPr>
          <w:szCs w:val="20"/>
        </w:rPr>
      </w:pPr>
    </w:p>
    <w:tbl>
      <w:tblPr>
        <w:tblStyle w:val="TableGrid"/>
        <w:tblW w:w="9356" w:type="dxa"/>
        <w:tblLook w:val="04A0" w:firstRow="1" w:lastRow="0" w:firstColumn="1" w:lastColumn="0" w:noHBand="0" w:noVBand="1"/>
      </w:tblPr>
      <w:tblGrid>
        <w:gridCol w:w="851"/>
        <w:gridCol w:w="7089"/>
        <w:gridCol w:w="1416"/>
      </w:tblGrid>
      <w:tr w:rsidR="00527934" w:rsidRPr="00266EC0" w14:paraId="239C911E" w14:textId="77777777" w:rsidTr="004A69DA">
        <w:tc>
          <w:tcPr>
            <w:tcW w:w="7940" w:type="dxa"/>
            <w:gridSpan w:val="2"/>
            <w:shd w:val="clear" w:color="auto" w:fill="C6D9F1" w:themeFill="text2" w:themeFillTint="33"/>
            <w:vAlign w:val="center"/>
          </w:tcPr>
          <w:p w14:paraId="473F5935" w14:textId="78AFEAC3" w:rsidR="00527934" w:rsidRPr="00266EC0" w:rsidRDefault="00527934" w:rsidP="00527934">
            <w:pPr>
              <w:rPr>
                <w:rFonts w:eastAsia="Arial" w:cstheme="minorHAnsi"/>
                <w:b/>
                <w:szCs w:val="20"/>
              </w:rPr>
            </w:pPr>
            <w:bookmarkStart w:id="55" w:name="_Hlk205810285"/>
            <w:r w:rsidRPr="00527934">
              <w:rPr>
                <w:rFonts w:eastAsia="Arial" w:cstheme="minorHAnsi"/>
                <w:b/>
                <w:szCs w:val="20"/>
              </w:rPr>
              <w:t>Pre-Qualification</w:t>
            </w:r>
          </w:p>
        </w:tc>
        <w:tc>
          <w:tcPr>
            <w:tcW w:w="1416" w:type="dxa"/>
            <w:shd w:val="clear" w:color="auto" w:fill="C6D9F1" w:themeFill="text2" w:themeFillTint="33"/>
            <w:vAlign w:val="center"/>
          </w:tcPr>
          <w:p w14:paraId="644E1C32" w14:textId="77777777" w:rsidR="00527934" w:rsidRPr="00266EC0" w:rsidRDefault="00527934" w:rsidP="00527934">
            <w:pPr>
              <w:rPr>
                <w:rFonts w:eastAsia="Arial" w:cstheme="minorHAnsi"/>
                <w:b/>
                <w:szCs w:val="20"/>
              </w:rPr>
            </w:pPr>
          </w:p>
        </w:tc>
      </w:tr>
      <w:tr w:rsidR="00421E2E" w:rsidRPr="00266EC0" w14:paraId="75D86252" w14:textId="77777777" w:rsidTr="00421E2E">
        <w:trPr>
          <w:trHeight w:val="722"/>
        </w:trPr>
        <w:tc>
          <w:tcPr>
            <w:tcW w:w="851" w:type="dxa"/>
            <w:shd w:val="clear" w:color="auto" w:fill="FFFFFF" w:themeFill="background1"/>
            <w:vAlign w:val="center"/>
          </w:tcPr>
          <w:p w14:paraId="58BA5A27" w14:textId="3C1B7080" w:rsidR="00421E2E" w:rsidRPr="00266EC0" w:rsidRDefault="00421E2E" w:rsidP="00421E2E">
            <w:pPr>
              <w:rPr>
                <w:rFonts w:eastAsia="Arial" w:cstheme="minorHAnsi"/>
                <w:b/>
                <w:szCs w:val="20"/>
              </w:rPr>
            </w:pPr>
          </w:p>
        </w:tc>
        <w:tc>
          <w:tcPr>
            <w:tcW w:w="7089" w:type="dxa"/>
            <w:shd w:val="clear" w:color="auto" w:fill="FFFFFF" w:themeFill="background1"/>
            <w:vAlign w:val="center"/>
          </w:tcPr>
          <w:p w14:paraId="45AAB2DD" w14:textId="21996AC5" w:rsidR="00421E2E" w:rsidRDefault="00421E2E" w:rsidP="00421E2E">
            <w:pPr>
              <w:rPr>
                <w:rFonts w:eastAsia="Arial" w:cstheme="minorHAnsi"/>
                <w:b/>
                <w:szCs w:val="20"/>
              </w:rPr>
            </w:pPr>
            <w:r>
              <w:rPr>
                <w:rFonts w:eastAsia="Arial" w:cstheme="minorHAnsi"/>
                <w:b/>
                <w:szCs w:val="20"/>
              </w:rPr>
              <w:t>Appendix A (Lot 2)</w:t>
            </w:r>
            <w:r w:rsidR="003136F9">
              <w:rPr>
                <w:rFonts w:eastAsia="Arial" w:cstheme="minorHAnsi"/>
                <w:b/>
                <w:szCs w:val="20"/>
              </w:rPr>
              <w:t xml:space="preserve"> </w:t>
            </w:r>
            <w:r w:rsidR="003136F9">
              <w:rPr>
                <w:rFonts w:eastAsia="Arial" w:cstheme="minorHAnsi"/>
                <w:b/>
                <w:szCs w:val="20"/>
              </w:rPr>
              <w:t>Please include with you submission</w:t>
            </w:r>
          </w:p>
          <w:p w14:paraId="51AE9232" w14:textId="77777777" w:rsidR="00421E2E" w:rsidRDefault="00421E2E" w:rsidP="00421E2E">
            <w:pPr>
              <w:rPr>
                <w:rFonts w:eastAsia="Arial" w:cstheme="minorHAnsi"/>
                <w:b/>
                <w:szCs w:val="20"/>
              </w:rPr>
            </w:pPr>
          </w:p>
          <w:bookmarkStart w:id="56" w:name="_MON_1816430719"/>
          <w:bookmarkEnd w:id="56"/>
          <w:p w14:paraId="26B4FF96" w14:textId="4AB952E6" w:rsidR="00421E2E" w:rsidRPr="00266EC0" w:rsidRDefault="003136F9" w:rsidP="00421E2E">
            <w:pPr>
              <w:rPr>
                <w:rFonts w:eastAsia="Arial" w:cstheme="minorHAnsi"/>
                <w:b/>
                <w:szCs w:val="20"/>
              </w:rPr>
            </w:pPr>
            <w:r>
              <w:rPr>
                <w:rFonts w:eastAsia="Arial" w:cstheme="minorHAnsi"/>
                <w:b/>
                <w:szCs w:val="20"/>
              </w:rPr>
              <w:object w:dxaOrig="1548" w:dyaOrig="993" w14:anchorId="42AE1B2B">
                <v:shape id="_x0000_i1030" type="#_x0000_t75" style="width:77.25pt;height:49.5pt" o:ole="">
                  <v:imagedata r:id="rId14" o:title=""/>
                </v:shape>
                <o:OLEObject Type="Embed" ProgID="Word.Document.12" ShapeID="_x0000_i1030" DrawAspect="Icon" ObjectID="_1816430779" r:id="rId15">
                  <o:FieldCodes>\s</o:FieldCodes>
                </o:OLEObject>
              </w:object>
            </w:r>
          </w:p>
        </w:tc>
        <w:tc>
          <w:tcPr>
            <w:tcW w:w="1416" w:type="dxa"/>
            <w:shd w:val="clear" w:color="auto" w:fill="FFFFFF" w:themeFill="background1"/>
            <w:vAlign w:val="center"/>
          </w:tcPr>
          <w:p w14:paraId="08BDD671" w14:textId="249C62E1" w:rsidR="00421E2E" w:rsidRPr="00266EC0" w:rsidRDefault="00421E2E" w:rsidP="00421E2E">
            <w:pPr>
              <w:rPr>
                <w:rFonts w:eastAsia="Arial" w:cstheme="minorHAnsi"/>
                <w:b/>
                <w:szCs w:val="20"/>
              </w:rPr>
            </w:pPr>
            <w:r>
              <w:rPr>
                <w:rFonts w:eastAsia="Arial" w:cstheme="minorHAnsi"/>
                <w:b/>
                <w:szCs w:val="20"/>
              </w:rPr>
              <w:t>Pass / Fail</w:t>
            </w:r>
          </w:p>
        </w:tc>
      </w:tr>
      <w:tr w:rsidR="00527934" w:rsidRPr="00266EC0" w14:paraId="2A832C0B" w14:textId="77777777" w:rsidTr="004A69DA">
        <w:tc>
          <w:tcPr>
            <w:tcW w:w="7940" w:type="dxa"/>
            <w:gridSpan w:val="2"/>
            <w:shd w:val="clear" w:color="auto" w:fill="D9D9D9" w:themeFill="background1" w:themeFillShade="D9"/>
            <w:vAlign w:val="center"/>
            <w:hideMark/>
          </w:tcPr>
          <w:p w14:paraId="10EA97A5" w14:textId="02BB2DAD" w:rsidR="00527934" w:rsidRPr="00266EC0" w:rsidRDefault="00527934" w:rsidP="004A69DA">
            <w:pPr>
              <w:rPr>
                <w:rFonts w:eastAsia="Arial" w:cstheme="minorHAnsi"/>
                <w:b/>
                <w:szCs w:val="20"/>
              </w:rPr>
            </w:pPr>
            <w:r w:rsidRPr="00266EC0">
              <w:rPr>
                <w:rFonts w:eastAsia="Arial" w:cstheme="minorHAnsi"/>
                <w:b/>
                <w:szCs w:val="20"/>
              </w:rPr>
              <w:t>Capacity and Capability Assessment</w:t>
            </w:r>
            <w:r>
              <w:rPr>
                <w:rFonts w:eastAsia="Arial" w:cstheme="minorHAnsi"/>
                <w:b/>
                <w:szCs w:val="20"/>
              </w:rPr>
              <w:t xml:space="preserve">, Lot 2 </w:t>
            </w:r>
          </w:p>
        </w:tc>
        <w:tc>
          <w:tcPr>
            <w:tcW w:w="1416" w:type="dxa"/>
            <w:shd w:val="clear" w:color="auto" w:fill="D9D9D9" w:themeFill="background1" w:themeFillShade="D9"/>
            <w:vAlign w:val="center"/>
            <w:hideMark/>
          </w:tcPr>
          <w:p w14:paraId="12C85575" w14:textId="77777777" w:rsidR="00527934" w:rsidRPr="00266EC0" w:rsidRDefault="00527934" w:rsidP="00527934">
            <w:pPr>
              <w:rPr>
                <w:rFonts w:eastAsia="Arial" w:cstheme="minorHAnsi"/>
                <w:b/>
                <w:szCs w:val="20"/>
              </w:rPr>
            </w:pPr>
            <w:r w:rsidRPr="00266EC0">
              <w:rPr>
                <w:rFonts w:eastAsia="Arial" w:cstheme="minorHAnsi"/>
                <w:b/>
                <w:szCs w:val="20"/>
              </w:rPr>
              <w:t>Weighting %</w:t>
            </w:r>
          </w:p>
        </w:tc>
      </w:tr>
      <w:tr w:rsidR="00527934" w:rsidRPr="00266EC0" w14:paraId="3F69F16C" w14:textId="77777777" w:rsidTr="004A69DA">
        <w:tc>
          <w:tcPr>
            <w:tcW w:w="851" w:type="dxa"/>
            <w:vAlign w:val="center"/>
          </w:tcPr>
          <w:p w14:paraId="053D60DD" w14:textId="6923783F" w:rsidR="00527934" w:rsidRPr="00266EC0" w:rsidRDefault="00527934" w:rsidP="004A69DA">
            <w:pPr>
              <w:rPr>
                <w:rFonts w:eastAsia="Arial" w:cstheme="minorHAnsi"/>
                <w:b/>
                <w:szCs w:val="20"/>
              </w:rPr>
            </w:pPr>
            <w:r>
              <w:rPr>
                <w:rFonts w:eastAsia="Arial" w:cstheme="minorHAnsi"/>
                <w:b/>
                <w:szCs w:val="20"/>
              </w:rPr>
              <w:t>Lot 2, Q1</w:t>
            </w:r>
          </w:p>
        </w:tc>
        <w:tc>
          <w:tcPr>
            <w:tcW w:w="7089" w:type="dxa"/>
          </w:tcPr>
          <w:p w14:paraId="13D2476B" w14:textId="415EABAC" w:rsidR="00872A5F" w:rsidRDefault="00872A5F" w:rsidP="00527934">
            <w:pPr>
              <w:rPr>
                <w:rFonts w:eastAsia="Arial" w:cstheme="minorHAnsi"/>
                <w:b/>
                <w:bCs/>
                <w:szCs w:val="20"/>
              </w:rPr>
            </w:pPr>
            <w:r w:rsidRPr="00872A5F">
              <w:rPr>
                <w:rFonts w:eastAsia="Arial" w:cstheme="minorHAnsi"/>
                <w:b/>
                <w:bCs/>
                <w:szCs w:val="20"/>
              </w:rPr>
              <w:t>Personnel</w:t>
            </w:r>
          </w:p>
          <w:p w14:paraId="7DE21E45" w14:textId="77777777" w:rsidR="004A69DA" w:rsidRPr="00872A5F" w:rsidRDefault="004A69DA" w:rsidP="00527934">
            <w:pPr>
              <w:rPr>
                <w:rFonts w:eastAsia="Arial" w:cstheme="minorHAnsi"/>
                <w:b/>
                <w:bCs/>
                <w:szCs w:val="20"/>
              </w:rPr>
            </w:pPr>
          </w:p>
          <w:p w14:paraId="25D7766D" w14:textId="41B33A59" w:rsidR="00527934" w:rsidRDefault="00527934" w:rsidP="00527934">
            <w:pPr>
              <w:rPr>
                <w:rFonts w:eastAsia="Arial" w:cstheme="minorHAnsi"/>
                <w:szCs w:val="20"/>
              </w:rPr>
            </w:pPr>
            <w:r w:rsidRPr="00F3402B">
              <w:rPr>
                <w:rFonts w:eastAsia="Arial" w:cstheme="minorHAnsi"/>
                <w:szCs w:val="20"/>
              </w:rPr>
              <w:t xml:space="preserve">Please fully detail your company’s personnel skills and capability to demonstrate how your company can meet the requirements of the University and its’ Academic Partners and the varied nature of their Estates as set out in the documentation, relevant to Lot 2. </w:t>
            </w:r>
          </w:p>
          <w:p w14:paraId="61870747" w14:textId="77777777" w:rsidR="00872A5F" w:rsidRPr="00F3402B" w:rsidRDefault="00872A5F" w:rsidP="00527934">
            <w:pPr>
              <w:rPr>
                <w:rFonts w:eastAsia="Arial" w:cstheme="minorHAnsi"/>
                <w:szCs w:val="20"/>
              </w:rPr>
            </w:pPr>
          </w:p>
          <w:p w14:paraId="55E6F1CA" w14:textId="77777777" w:rsidR="00527934" w:rsidRPr="00F3402B" w:rsidRDefault="00527934" w:rsidP="00527934">
            <w:pPr>
              <w:rPr>
                <w:rFonts w:eastAsia="Arial" w:cstheme="minorHAnsi"/>
                <w:szCs w:val="20"/>
              </w:rPr>
            </w:pPr>
            <w:r w:rsidRPr="00F3402B">
              <w:rPr>
                <w:rFonts w:eastAsia="Arial" w:cstheme="minorHAnsi"/>
                <w:szCs w:val="20"/>
              </w:rPr>
              <w:t>Responses should include but not be limited to:</w:t>
            </w:r>
          </w:p>
          <w:p w14:paraId="17D6A315" w14:textId="77777777" w:rsidR="00527934" w:rsidRPr="00F3402B" w:rsidRDefault="00527934" w:rsidP="00527934">
            <w:pPr>
              <w:pStyle w:val="ListParagraph"/>
              <w:numPr>
                <w:ilvl w:val="0"/>
                <w:numId w:val="3"/>
              </w:numPr>
              <w:spacing w:after="160" w:line="259" w:lineRule="auto"/>
              <w:contextualSpacing/>
              <w:rPr>
                <w:rFonts w:eastAsia="Arial" w:cstheme="minorHAnsi"/>
                <w:szCs w:val="20"/>
              </w:rPr>
            </w:pPr>
            <w:r w:rsidRPr="00F3402B">
              <w:rPr>
                <w:rFonts w:eastAsia="Arial" w:cstheme="minorHAnsi"/>
                <w:szCs w:val="20"/>
              </w:rPr>
              <w:t>Any relevant qualifications and accreditation held</w:t>
            </w:r>
          </w:p>
          <w:p w14:paraId="203B2829" w14:textId="77777777" w:rsidR="00527934" w:rsidRPr="00F3402B" w:rsidRDefault="00527934" w:rsidP="00527934">
            <w:pPr>
              <w:pStyle w:val="ListParagraph"/>
              <w:numPr>
                <w:ilvl w:val="0"/>
                <w:numId w:val="3"/>
              </w:numPr>
              <w:spacing w:after="160" w:line="259" w:lineRule="auto"/>
              <w:contextualSpacing/>
              <w:rPr>
                <w:rFonts w:eastAsia="Arial" w:cstheme="minorHAnsi"/>
                <w:szCs w:val="20"/>
              </w:rPr>
            </w:pPr>
            <w:r w:rsidRPr="00F3402B">
              <w:rPr>
                <w:rFonts w:eastAsia="Arial" w:cstheme="minorHAnsi"/>
                <w:szCs w:val="20"/>
              </w:rPr>
              <w:t>Areas of specialism or specialist knowledge in relation to:</w:t>
            </w:r>
          </w:p>
          <w:p w14:paraId="188063F8" w14:textId="77777777" w:rsidR="00527934" w:rsidRPr="00F3402B" w:rsidRDefault="00527934" w:rsidP="00527934">
            <w:pPr>
              <w:pStyle w:val="ListParagraph"/>
              <w:numPr>
                <w:ilvl w:val="0"/>
                <w:numId w:val="3"/>
              </w:numPr>
              <w:spacing w:after="160" w:line="259" w:lineRule="auto"/>
              <w:contextualSpacing/>
              <w:rPr>
                <w:rFonts w:eastAsia="Arial" w:cstheme="minorHAnsi"/>
                <w:szCs w:val="20"/>
              </w:rPr>
            </w:pPr>
            <w:r w:rsidRPr="00F3402B">
              <w:rPr>
                <w:rFonts w:eastAsia="Arial" w:cstheme="minorHAnsi"/>
                <w:szCs w:val="20"/>
              </w:rPr>
              <w:t>Estate management</w:t>
            </w:r>
          </w:p>
          <w:p w14:paraId="1087E7FB" w14:textId="77777777" w:rsidR="00527934" w:rsidRPr="00F3402B" w:rsidRDefault="00527934" w:rsidP="00527934">
            <w:pPr>
              <w:pStyle w:val="ListParagraph"/>
              <w:numPr>
                <w:ilvl w:val="0"/>
                <w:numId w:val="3"/>
              </w:numPr>
              <w:spacing w:after="160" w:line="259" w:lineRule="auto"/>
              <w:contextualSpacing/>
              <w:rPr>
                <w:rFonts w:eastAsia="Arial" w:cstheme="minorHAnsi"/>
                <w:szCs w:val="20"/>
              </w:rPr>
            </w:pPr>
            <w:r w:rsidRPr="00F3402B">
              <w:rPr>
                <w:rFonts w:eastAsia="Arial" w:cstheme="minorHAnsi"/>
                <w:szCs w:val="20"/>
              </w:rPr>
              <w:t>Sales and acquisitions</w:t>
            </w:r>
          </w:p>
          <w:p w14:paraId="48DB3537" w14:textId="77777777" w:rsidR="00527934" w:rsidRPr="00F3402B" w:rsidRDefault="00527934" w:rsidP="00527934">
            <w:pPr>
              <w:pStyle w:val="ListParagraph"/>
              <w:numPr>
                <w:ilvl w:val="0"/>
                <w:numId w:val="3"/>
              </w:numPr>
              <w:spacing w:after="160" w:line="259" w:lineRule="auto"/>
              <w:contextualSpacing/>
              <w:rPr>
                <w:rFonts w:eastAsia="Arial" w:cstheme="minorHAnsi"/>
                <w:szCs w:val="20"/>
              </w:rPr>
            </w:pPr>
            <w:r w:rsidRPr="00F3402B">
              <w:rPr>
                <w:rFonts w:eastAsia="Arial" w:cstheme="minorHAnsi"/>
                <w:szCs w:val="20"/>
              </w:rPr>
              <w:lastRenderedPageBreak/>
              <w:t>Professional advice regarding title deeds and boundary disputes</w:t>
            </w:r>
          </w:p>
          <w:p w14:paraId="1C955F31" w14:textId="77777777" w:rsidR="00527934" w:rsidRPr="00F3402B" w:rsidRDefault="00527934" w:rsidP="00527934">
            <w:pPr>
              <w:pStyle w:val="ListParagraph"/>
              <w:numPr>
                <w:ilvl w:val="0"/>
                <w:numId w:val="3"/>
              </w:numPr>
              <w:spacing w:after="160" w:line="259" w:lineRule="auto"/>
              <w:contextualSpacing/>
              <w:rPr>
                <w:rFonts w:eastAsia="Arial" w:cstheme="minorHAnsi"/>
                <w:szCs w:val="20"/>
              </w:rPr>
            </w:pPr>
            <w:r w:rsidRPr="00F3402B">
              <w:rPr>
                <w:rFonts w:eastAsia="Arial" w:cstheme="minorHAnsi"/>
                <w:szCs w:val="20"/>
              </w:rPr>
              <w:t>Rent reviews, lease enquiries and negotiations (with UHI acting as either the landlord or tenant)</w:t>
            </w:r>
          </w:p>
          <w:p w14:paraId="3B3EAF22" w14:textId="77777777" w:rsidR="00527934" w:rsidRDefault="00527934" w:rsidP="004A69DA">
            <w:pPr>
              <w:pStyle w:val="ListParagraph"/>
              <w:numPr>
                <w:ilvl w:val="0"/>
                <w:numId w:val="3"/>
              </w:numPr>
              <w:spacing w:line="259" w:lineRule="auto"/>
              <w:contextualSpacing/>
              <w:rPr>
                <w:rFonts w:eastAsia="Arial" w:cstheme="minorHAnsi"/>
                <w:szCs w:val="20"/>
              </w:rPr>
            </w:pPr>
            <w:r w:rsidRPr="00F3402B">
              <w:rPr>
                <w:rFonts w:eastAsia="Arial" w:cstheme="minorHAnsi"/>
                <w:szCs w:val="20"/>
              </w:rPr>
              <w:t>Valuation surveys, including market and insurance valuations</w:t>
            </w:r>
          </w:p>
          <w:p w14:paraId="30E90843" w14:textId="4139C450" w:rsidR="004A69DA" w:rsidRPr="004A69DA" w:rsidRDefault="004A69DA" w:rsidP="004A69DA">
            <w:pPr>
              <w:spacing w:after="160" w:line="259" w:lineRule="auto"/>
              <w:contextualSpacing/>
              <w:rPr>
                <w:rFonts w:eastAsia="Arial" w:cstheme="minorHAnsi"/>
                <w:szCs w:val="20"/>
              </w:rPr>
            </w:pPr>
          </w:p>
        </w:tc>
        <w:tc>
          <w:tcPr>
            <w:tcW w:w="1416" w:type="dxa"/>
            <w:vAlign w:val="center"/>
          </w:tcPr>
          <w:p w14:paraId="76EEBA31" w14:textId="749D91C0" w:rsidR="00527934" w:rsidRPr="00266EC0" w:rsidRDefault="00527934" w:rsidP="00527934">
            <w:pPr>
              <w:jc w:val="center"/>
              <w:rPr>
                <w:rFonts w:eastAsia="Arial" w:cstheme="minorHAnsi"/>
                <w:b/>
                <w:szCs w:val="20"/>
              </w:rPr>
            </w:pPr>
            <w:r>
              <w:rPr>
                <w:rFonts w:eastAsia="Arial" w:cstheme="minorHAnsi"/>
                <w:b/>
                <w:szCs w:val="20"/>
              </w:rPr>
              <w:lastRenderedPageBreak/>
              <w:t>5</w:t>
            </w:r>
            <w:r w:rsidR="00872A5F">
              <w:rPr>
                <w:rFonts w:eastAsia="Arial" w:cstheme="minorHAnsi"/>
                <w:b/>
                <w:szCs w:val="20"/>
              </w:rPr>
              <w:t>0</w:t>
            </w:r>
            <w:r>
              <w:rPr>
                <w:rFonts w:eastAsia="Arial" w:cstheme="minorHAnsi"/>
                <w:b/>
                <w:szCs w:val="20"/>
              </w:rPr>
              <w:t>%</w:t>
            </w:r>
          </w:p>
        </w:tc>
      </w:tr>
      <w:tr w:rsidR="00527934" w:rsidRPr="00266EC0" w14:paraId="5C9FFAA2" w14:textId="77777777" w:rsidTr="004A69DA">
        <w:tc>
          <w:tcPr>
            <w:tcW w:w="851" w:type="dxa"/>
            <w:vAlign w:val="center"/>
          </w:tcPr>
          <w:p w14:paraId="5E5F8D61" w14:textId="51801DCB" w:rsidR="00527934" w:rsidRPr="00266EC0" w:rsidRDefault="00527934" w:rsidP="004A69DA">
            <w:pPr>
              <w:rPr>
                <w:rFonts w:eastAsia="Arial" w:cstheme="minorHAnsi"/>
                <w:b/>
                <w:szCs w:val="20"/>
              </w:rPr>
            </w:pPr>
            <w:r>
              <w:rPr>
                <w:rFonts w:eastAsia="Arial" w:cstheme="minorHAnsi"/>
                <w:b/>
                <w:szCs w:val="20"/>
              </w:rPr>
              <w:t>Lot 2, Q2</w:t>
            </w:r>
          </w:p>
        </w:tc>
        <w:tc>
          <w:tcPr>
            <w:tcW w:w="7089" w:type="dxa"/>
          </w:tcPr>
          <w:p w14:paraId="12BFB794" w14:textId="77777777" w:rsidR="00527934" w:rsidRDefault="00527934" w:rsidP="00527934">
            <w:pPr>
              <w:jc w:val="both"/>
              <w:rPr>
                <w:rFonts w:eastAsia="Arial" w:cstheme="minorHAnsi"/>
                <w:b/>
                <w:szCs w:val="20"/>
              </w:rPr>
            </w:pPr>
            <w:r w:rsidRPr="000654EE">
              <w:rPr>
                <w:rFonts w:eastAsia="Arial" w:cstheme="minorHAnsi"/>
                <w:b/>
                <w:szCs w:val="20"/>
              </w:rPr>
              <w:t>Methodology</w:t>
            </w:r>
          </w:p>
          <w:p w14:paraId="354EB5BC" w14:textId="77777777" w:rsidR="004A69DA" w:rsidRPr="000654EE" w:rsidRDefault="004A69DA" w:rsidP="00527934">
            <w:pPr>
              <w:jc w:val="both"/>
              <w:rPr>
                <w:rFonts w:eastAsia="Arial" w:cstheme="minorHAnsi"/>
                <w:b/>
                <w:szCs w:val="20"/>
              </w:rPr>
            </w:pPr>
          </w:p>
          <w:p w14:paraId="30B2CABE" w14:textId="77777777" w:rsidR="00527934" w:rsidRDefault="00527934" w:rsidP="00527934">
            <w:pPr>
              <w:rPr>
                <w:rFonts w:cstheme="minorHAnsi"/>
                <w:kern w:val="2"/>
                <w:szCs w:val="20"/>
                <w14:ligatures w14:val="standardContextual"/>
              </w:rPr>
            </w:pPr>
            <w:r w:rsidRPr="00966BBE">
              <w:rPr>
                <w:rFonts w:cstheme="minorHAnsi"/>
                <w:kern w:val="2"/>
                <w:szCs w:val="20"/>
                <w14:ligatures w14:val="standardContextual"/>
              </w:rPr>
              <w:t>Please provide information on staffing levels and capacity to meet the needs of the University and its’ Academic Partners. Please note that details of staff specific to disciplines within the scope of Lot 2 should be referred to:</w:t>
            </w:r>
          </w:p>
          <w:p w14:paraId="6C55EA0B" w14:textId="77777777" w:rsidR="00BA378F" w:rsidRPr="00966BBE" w:rsidRDefault="00BA378F" w:rsidP="00527934">
            <w:pPr>
              <w:rPr>
                <w:rFonts w:cstheme="minorHAnsi"/>
                <w:kern w:val="2"/>
                <w:szCs w:val="20"/>
                <w14:ligatures w14:val="standardContextual"/>
              </w:rPr>
            </w:pPr>
          </w:p>
          <w:p w14:paraId="5618B90F" w14:textId="77777777" w:rsidR="00527934" w:rsidRPr="00BA378F" w:rsidRDefault="00527934" w:rsidP="00BA378F">
            <w:pPr>
              <w:pStyle w:val="ListParagraph"/>
              <w:numPr>
                <w:ilvl w:val="0"/>
                <w:numId w:val="3"/>
              </w:numPr>
              <w:spacing w:after="160" w:line="259" w:lineRule="auto"/>
              <w:contextualSpacing/>
              <w:rPr>
                <w:rFonts w:eastAsia="Arial" w:cstheme="minorHAnsi"/>
                <w:szCs w:val="20"/>
              </w:rPr>
            </w:pPr>
            <w:r w:rsidRPr="00BA378F">
              <w:rPr>
                <w:rFonts w:eastAsia="Arial" w:cstheme="minorHAnsi"/>
                <w:szCs w:val="20"/>
              </w:rPr>
              <w:t>Estate management</w:t>
            </w:r>
          </w:p>
          <w:p w14:paraId="0D804CB8" w14:textId="77777777" w:rsidR="00527934" w:rsidRPr="00BA378F" w:rsidRDefault="00527934" w:rsidP="00BA378F">
            <w:pPr>
              <w:pStyle w:val="ListParagraph"/>
              <w:numPr>
                <w:ilvl w:val="0"/>
                <w:numId w:val="3"/>
              </w:numPr>
              <w:spacing w:after="160" w:line="259" w:lineRule="auto"/>
              <w:contextualSpacing/>
              <w:rPr>
                <w:rFonts w:eastAsia="Arial" w:cstheme="minorHAnsi"/>
                <w:szCs w:val="20"/>
              </w:rPr>
            </w:pPr>
            <w:r w:rsidRPr="00BA378F">
              <w:rPr>
                <w:rFonts w:eastAsia="Arial" w:cstheme="minorHAnsi"/>
                <w:szCs w:val="20"/>
              </w:rPr>
              <w:t>Sales and acquisitions</w:t>
            </w:r>
          </w:p>
          <w:p w14:paraId="0E0BE146" w14:textId="77777777" w:rsidR="00527934" w:rsidRPr="00BA378F" w:rsidRDefault="00527934" w:rsidP="00BA378F">
            <w:pPr>
              <w:pStyle w:val="ListParagraph"/>
              <w:numPr>
                <w:ilvl w:val="0"/>
                <w:numId w:val="3"/>
              </w:numPr>
              <w:spacing w:after="160" w:line="259" w:lineRule="auto"/>
              <w:contextualSpacing/>
              <w:rPr>
                <w:rFonts w:eastAsia="Arial" w:cstheme="minorHAnsi"/>
                <w:szCs w:val="20"/>
              </w:rPr>
            </w:pPr>
            <w:r w:rsidRPr="00BA378F">
              <w:rPr>
                <w:rFonts w:eastAsia="Arial" w:cstheme="minorHAnsi"/>
                <w:szCs w:val="20"/>
              </w:rPr>
              <w:t>Professional advice regarding title deeds and boundary disputes</w:t>
            </w:r>
          </w:p>
          <w:p w14:paraId="78CDF745" w14:textId="77777777" w:rsidR="00527934" w:rsidRPr="00BA378F" w:rsidRDefault="00527934" w:rsidP="00BA378F">
            <w:pPr>
              <w:pStyle w:val="ListParagraph"/>
              <w:numPr>
                <w:ilvl w:val="0"/>
                <w:numId w:val="3"/>
              </w:numPr>
              <w:spacing w:after="160" w:line="259" w:lineRule="auto"/>
              <w:contextualSpacing/>
              <w:rPr>
                <w:rFonts w:eastAsia="Arial" w:cstheme="minorHAnsi"/>
                <w:szCs w:val="20"/>
              </w:rPr>
            </w:pPr>
            <w:r w:rsidRPr="00BA378F">
              <w:rPr>
                <w:rFonts w:eastAsia="Arial" w:cstheme="minorHAnsi"/>
                <w:szCs w:val="20"/>
              </w:rPr>
              <w:t>Rent reviews, lease enquiries and negotiations (with UHI acting as either the landlord or tenant)</w:t>
            </w:r>
          </w:p>
          <w:p w14:paraId="1093FECA" w14:textId="77777777" w:rsidR="00527934" w:rsidRPr="00BA378F" w:rsidRDefault="00527934" w:rsidP="00BA378F">
            <w:pPr>
              <w:pStyle w:val="ListParagraph"/>
              <w:numPr>
                <w:ilvl w:val="0"/>
                <w:numId w:val="3"/>
              </w:numPr>
              <w:spacing w:after="160" w:line="259" w:lineRule="auto"/>
              <w:contextualSpacing/>
              <w:rPr>
                <w:rFonts w:eastAsia="Arial" w:cstheme="minorHAnsi"/>
                <w:szCs w:val="20"/>
              </w:rPr>
            </w:pPr>
            <w:r w:rsidRPr="00BA378F">
              <w:rPr>
                <w:rFonts w:eastAsia="Arial" w:cstheme="minorHAnsi"/>
                <w:szCs w:val="20"/>
              </w:rPr>
              <w:t>Valuation surveys, including market and insurance valuations</w:t>
            </w:r>
          </w:p>
          <w:p w14:paraId="18A25471" w14:textId="77777777" w:rsidR="00527934" w:rsidRPr="00966BBE" w:rsidRDefault="00527934" w:rsidP="00527934">
            <w:pPr>
              <w:pStyle w:val="ListParagraph"/>
              <w:ind w:left="1800"/>
              <w:rPr>
                <w:rFonts w:eastAsia="Times New Roman"/>
                <w:szCs w:val="20"/>
              </w:rPr>
            </w:pPr>
          </w:p>
          <w:p w14:paraId="268E2A5A" w14:textId="77777777" w:rsidR="00527934" w:rsidRPr="00966BBE" w:rsidRDefault="00527934" w:rsidP="00527934">
            <w:pPr>
              <w:rPr>
                <w:rFonts w:cstheme="minorHAnsi"/>
                <w:kern w:val="2"/>
                <w:szCs w:val="20"/>
                <w14:ligatures w14:val="standardContextual"/>
              </w:rPr>
            </w:pPr>
            <w:r w:rsidRPr="00966BBE">
              <w:rPr>
                <w:rFonts w:cstheme="minorHAnsi"/>
                <w:kern w:val="2"/>
                <w:szCs w:val="20"/>
                <w14:ligatures w14:val="standardContextual"/>
              </w:rPr>
              <w:t>You are specifically requested to bear in mind competing Institutional demands may need to be met simultaneously.</w:t>
            </w:r>
          </w:p>
          <w:p w14:paraId="7D5E9BF8" w14:textId="77777777" w:rsidR="00527934" w:rsidRPr="00266EC0" w:rsidRDefault="00527934" w:rsidP="00527934">
            <w:pPr>
              <w:pStyle w:val="paragraph"/>
              <w:spacing w:before="0" w:beforeAutospacing="0" w:after="0" w:afterAutospacing="0"/>
              <w:textAlignment w:val="baseline"/>
              <w:rPr>
                <w:rFonts w:eastAsia="Arial" w:cstheme="minorHAnsi"/>
                <w:szCs w:val="20"/>
              </w:rPr>
            </w:pPr>
          </w:p>
        </w:tc>
        <w:tc>
          <w:tcPr>
            <w:tcW w:w="0" w:type="auto"/>
            <w:vAlign w:val="center"/>
          </w:tcPr>
          <w:p w14:paraId="3192825D" w14:textId="76E3BB86" w:rsidR="00527934" w:rsidRPr="00266EC0" w:rsidRDefault="00AE0FBE" w:rsidP="00527934">
            <w:pPr>
              <w:jc w:val="center"/>
              <w:rPr>
                <w:rFonts w:eastAsia="Arial" w:cstheme="minorHAnsi"/>
                <w:b/>
                <w:szCs w:val="20"/>
              </w:rPr>
            </w:pPr>
            <w:r>
              <w:rPr>
                <w:rFonts w:eastAsia="Arial" w:cstheme="minorHAnsi"/>
                <w:b/>
                <w:szCs w:val="20"/>
              </w:rPr>
              <w:t>3</w:t>
            </w:r>
            <w:r w:rsidR="00527934">
              <w:rPr>
                <w:rFonts w:eastAsia="Arial" w:cstheme="minorHAnsi"/>
                <w:b/>
                <w:szCs w:val="20"/>
              </w:rPr>
              <w:t>0%</w:t>
            </w:r>
          </w:p>
        </w:tc>
      </w:tr>
      <w:tr w:rsidR="00527934" w:rsidRPr="00266EC0" w14:paraId="1F9ABB58" w14:textId="77777777" w:rsidTr="004A69DA">
        <w:tc>
          <w:tcPr>
            <w:tcW w:w="851" w:type="dxa"/>
            <w:vAlign w:val="center"/>
            <w:hideMark/>
          </w:tcPr>
          <w:p w14:paraId="005EF252" w14:textId="29FFE4C5" w:rsidR="00527934" w:rsidRPr="00266EC0" w:rsidRDefault="00527934" w:rsidP="004A69DA">
            <w:pPr>
              <w:rPr>
                <w:rFonts w:eastAsia="Arial" w:cstheme="minorHAnsi"/>
                <w:b/>
                <w:szCs w:val="20"/>
              </w:rPr>
            </w:pPr>
            <w:r>
              <w:rPr>
                <w:rFonts w:eastAsia="Arial" w:cstheme="minorHAnsi"/>
                <w:b/>
                <w:szCs w:val="20"/>
              </w:rPr>
              <w:t>Lot 2, Q3</w:t>
            </w:r>
          </w:p>
        </w:tc>
        <w:tc>
          <w:tcPr>
            <w:tcW w:w="7089" w:type="dxa"/>
          </w:tcPr>
          <w:p w14:paraId="5582E29E" w14:textId="77777777" w:rsidR="00527934" w:rsidRDefault="00527934" w:rsidP="00527934">
            <w:pPr>
              <w:jc w:val="both"/>
              <w:rPr>
                <w:rFonts w:cstheme="minorHAnsi"/>
                <w:b/>
                <w:szCs w:val="20"/>
              </w:rPr>
            </w:pPr>
            <w:r w:rsidRPr="000654EE">
              <w:rPr>
                <w:rFonts w:cstheme="minorHAnsi"/>
                <w:b/>
                <w:szCs w:val="20"/>
              </w:rPr>
              <w:t>Added Value</w:t>
            </w:r>
          </w:p>
          <w:p w14:paraId="0E116082" w14:textId="77777777" w:rsidR="004A69DA" w:rsidRPr="000654EE" w:rsidRDefault="004A69DA" w:rsidP="00527934">
            <w:pPr>
              <w:jc w:val="both"/>
              <w:rPr>
                <w:rFonts w:cstheme="minorHAnsi"/>
                <w:b/>
                <w:szCs w:val="20"/>
              </w:rPr>
            </w:pPr>
          </w:p>
          <w:p w14:paraId="193CB566" w14:textId="77777777" w:rsidR="00527934" w:rsidRPr="00266EC0" w:rsidRDefault="00527934" w:rsidP="00527934">
            <w:pPr>
              <w:jc w:val="both"/>
              <w:rPr>
                <w:rFonts w:cstheme="minorHAnsi"/>
                <w:szCs w:val="20"/>
              </w:rPr>
            </w:pPr>
            <w:r w:rsidRPr="00266EC0">
              <w:rPr>
                <w:rFonts w:cstheme="minorHAnsi"/>
                <w:szCs w:val="20"/>
              </w:rPr>
              <w:t>Can you please provide details of any other goods / services / benefits your organisation could offer</w:t>
            </w:r>
            <w:r>
              <w:rPr>
                <w:rFonts w:cstheme="minorHAnsi"/>
                <w:szCs w:val="20"/>
              </w:rPr>
              <w:t>, over and above the core requirements of this brief, that will add value to your proposal.</w:t>
            </w:r>
          </w:p>
          <w:p w14:paraId="4907BE6E" w14:textId="77777777" w:rsidR="00527934" w:rsidRPr="00266EC0" w:rsidRDefault="00527934" w:rsidP="00527934">
            <w:pPr>
              <w:jc w:val="both"/>
              <w:rPr>
                <w:rFonts w:cstheme="minorHAnsi"/>
                <w:szCs w:val="20"/>
              </w:rPr>
            </w:pPr>
          </w:p>
        </w:tc>
        <w:tc>
          <w:tcPr>
            <w:tcW w:w="0" w:type="auto"/>
            <w:vAlign w:val="center"/>
            <w:hideMark/>
          </w:tcPr>
          <w:p w14:paraId="49215A87" w14:textId="5D4CEF54" w:rsidR="00527934" w:rsidRPr="00266EC0" w:rsidRDefault="00527934" w:rsidP="00527934">
            <w:pPr>
              <w:jc w:val="center"/>
              <w:rPr>
                <w:rFonts w:eastAsia="Arial" w:cstheme="minorHAnsi"/>
                <w:b/>
                <w:szCs w:val="20"/>
              </w:rPr>
            </w:pPr>
            <w:r>
              <w:rPr>
                <w:rFonts w:eastAsia="Arial" w:cstheme="minorHAnsi"/>
                <w:b/>
                <w:szCs w:val="20"/>
              </w:rPr>
              <w:t>1</w:t>
            </w:r>
            <w:r w:rsidR="00AE0FBE">
              <w:rPr>
                <w:rFonts w:eastAsia="Arial" w:cstheme="minorHAnsi"/>
                <w:b/>
                <w:szCs w:val="20"/>
              </w:rPr>
              <w:t>0</w:t>
            </w:r>
            <w:r>
              <w:rPr>
                <w:rFonts w:eastAsia="Arial" w:cstheme="minorHAnsi"/>
                <w:b/>
                <w:szCs w:val="20"/>
              </w:rPr>
              <w:t>%</w:t>
            </w:r>
          </w:p>
        </w:tc>
      </w:tr>
      <w:tr w:rsidR="00872A5F" w:rsidRPr="00266EC0" w14:paraId="647DB776" w14:textId="77777777" w:rsidTr="004A69DA">
        <w:tc>
          <w:tcPr>
            <w:tcW w:w="851" w:type="dxa"/>
            <w:vAlign w:val="center"/>
          </w:tcPr>
          <w:p w14:paraId="74115ACD" w14:textId="17A99452" w:rsidR="00872A5F" w:rsidRDefault="00872A5F" w:rsidP="004A69DA">
            <w:pPr>
              <w:rPr>
                <w:rFonts w:eastAsia="Arial" w:cstheme="minorHAnsi"/>
                <w:b/>
                <w:szCs w:val="20"/>
              </w:rPr>
            </w:pPr>
            <w:r>
              <w:rPr>
                <w:rFonts w:eastAsia="Arial" w:cstheme="minorHAnsi"/>
                <w:b/>
                <w:szCs w:val="20"/>
              </w:rPr>
              <w:t>Lot 2, Q4</w:t>
            </w:r>
          </w:p>
        </w:tc>
        <w:tc>
          <w:tcPr>
            <w:tcW w:w="7089" w:type="dxa"/>
          </w:tcPr>
          <w:p w14:paraId="03B0CBC1" w14:textId="77777777" w:rsidR="00872A5F" w:rsidRDefault="00872A5F" w:rsidP="00872A5F">
            <w:pPr>
              <w:pStyle w:val="paragraph"/>
              <w:spacing w:before="0" w:beforeAutospacing="0" w:after="0" w:afterAutospacing="0"/>
              <w:textAlignment w:val="baseline"/>
              <w:rPr>
                <w:rFonts w:asciiTheme="minorHAnsi" w:eastAsia="Times New Roman" w:hAnsiTheme="minorHAnsi" w:cstheme="minorHAnsi"/>
                <w:b/>
                <w:bCs/>
                <w:lang w:eastAsia="en-GB"/>
              </w:rPr>
            </w:pPr>
            <w:r w:rsidRPr="007329F3">
              <w:rPr>
                <w:rFonts w:asciiTheme="minorHAnsi" w:eastAsia="Times New Roman" w:hAnsiTheme="minorHAnsi" w:cstheme="minorHAnsi"/>
                <w:b/>
                <w:bCs/>
                <w:lang w:eastAsia="en-GB"/>
              </w:rPr>
              <w:t>Community Benefits</w:t>
            </w:r>
          </w:p>
          <w:p w14:paraId="3B258D17" w14:textId="77777777" w:rsidR="004A69DA" w:rsidRPr="007329F3" w:rsidRDefault="004A69DA" w:rsidP="00872A5F">
            <w:pPr>
              <w:pStyle w:val="paragraph"/>
              <w:spacing w:before="0" w:beforeAutospacing="0" w:after="0" w:afterAutospacing="0"/>
              <w:textAlignment w:val="baseline"/>
              <w:rPr>
                <w:rFonts w:asciiTheme="minorHAnsi" w:eastAsia="Times New Roman" w:hAnsiTheme="minorHAnsi" w:cstheme="minorHAnsi"/>
                <w:b/>
                <w:bCs/>
                <w:lang w:eastAsia="en-GB"/>
              </w:rPr>
            </w:pPr>
          </w:p>
          <w:p w14:paraId="30856961" w14:textId="77777777" w:rsidR="00872A5F" w:rsidRPr="007329F3" w:rsidRDefault="00872A5F" w:rsidP="00872A5F">
            <w:pPr>
              <w:jc w:val="both"/>
              <w:rPr>
                <w:rFonts w:cstheme="minorHAnsi"/>
                <w:szCs w:val="20"/>
              </w:rPr>
            </w:pPr>
            <w:r w:rsidRPr="007329F3">
              <w:rPr>
                <w:rFonts w:cstheme="minorHAnsi"/>
                <w:szCs w:val="20"/>
              </w:rPr>
              <w:t>Please provide a short plan outlining how your organisation will contribute to the local and university community through this contract. Suggestions include student engagement, support for local suppliers, or staff development opportunities.</w:t>
            </w:r>
          </w:p>
          <w:p w14:paraId="58D55BC3" w14:textId="77777777" w:rsidR="00872A5F" w:rsidRPr="000654EE" w:rsidRDefault="00872A5F" w:rsidP="00527934">
            <w:pPr>
              <w:jc w:val="both"/>
              <w:rPr>
                <w:rFonts w:cstheme="minorHAnsi"/>
                <w:b/>
                <w:szCs w:val="20"/>
              </w:rPr>
            </w:pPr>
          </w:p>
        </w:tc>
        <w:tc>
          <w:tcPr>
            <w:tcW w:w="0" w:type="auto"/>
            <w:vAlign w:val="center"/>
          </w:tcPr>
          <w:p w14:paraId="0C2E3A42" w14:textId="1ABE559E" w:rsidR="00872A5F" w:rsidRDefault="00872A5F" w:rsidP="00527934">
            <w:pPr>
              <w:jc w:val="center"/>
              <w:rPr>
                <w:rFonts w:eastAsia="Arial" w:cstheme="minorHAnsi"/>
                <w:b/>
                <w:szCs w:val="20"/>
              </w:rPr>
            </w:pPr>
            <w:r>
              <w:rPr>
                <w:rFonts w:eastAsia="Arial" w:cstheme="minorHAnsi"/>
                <w:b/>
                <w:szCs w:val="20"/>
              </w:rPr>
              <w:t>1</w:t>
            </w:r>
            <w:r w:rsidR="00AE0FBE">
              <w:rPr>
                <w:rFonts w:eastAsia="Arial" w:cstheme="minorHAnsi"/>
                <w:b/>
                <w:szCs w:val="20"/>
              </w:rPr>
              <w:t>0</w:t>
            </w:r>
            <w:r>
              <w:rPr>
                <w:rFonts w:eastAsia="Arial" w:cstheme="minorHAnsi"/>
                <w:b/>
                <w:szCs w:val="20"/>
              </w:rPr>
              <w:t>%</w:t>
            </w:r>
          </w:p>
        </w:tc>
      </w:tr>
      <w:bookmarkEnd w:id="55"/>
    </w:tbl>
    <w:p w14:paraId="0F22DDE0" w14:textId="77777777" w:rsidR="008901F2" w:rsidRPr="008901F2" w:rsidRDefault="008901F2" w:rsidP="008901F2"/>
    <w:p w14:paraId="624D4F46" w14:textId="6A82EEBE" w:rsidR="00593CCF" w:rsidRPr="00E43213" w:rsidRDefault="00E54EF7" w:rsidP="00872A5F">
      <w:r w:rsidRPr="00E43213">
        <w:rPr>
          <w:lang w:eastAsia="fr-FR"/>
        </w:rPr>
        <w:t>If bidder is bidding for lot 1 and lot 2, please provide responses to both sets of quality questions</w:t>
      </w:r>
      <w:r w:rsidRPr="00E43213">
        <w:t xml:space="preserve">. </w:t>
      </w:r>
    </w:p>
    <w:p w14:paraId="20A95AE4" w14:textId="6A27B694" w:rsidR="00593CCF" w:rsidRDefault="00593CCF" w:rsidP="00525574">
      <w:pPr>
        <w:rPr>
          <w:rFonts w:asciiTheme="minorHAnsi" w:hAnsiTheme="minorHAnsi" w:cstheme="minorHAnsi"/>
        </w:rPr>
      </w:pPr>
      <w:r>
        <w:rPr>
          <w:rFonts w:asciiTheme="minorHAnsi" w:hAnsiTheme="minorHAnsi" w:cstheme="minorHAnsi"/>
        </w:rPr>
        <w:tab/>
      </w:r>
    </w:p>
    <w:p w14:paraId="75838514" w14:textId="3ED270A5" w:rsidR="00872A5F" w:rsidRDefault="00872A5F" w:rsidP="00872A5F"/>
    <w:p w14:paraId="2A38402F" w14:textId="77777777" w:rsidR="00872A5F" w:rsidRDefault="00872A5F">
      <w:pPr>
        <w:rPr>
          <w:b/>
          <w:bCs/>
          <w:szCs w:val="40"/>
        </w:rPr>
      </w:pPr>
      <w:r>
        <w:br w:type="page"/>
      </w:r>
    </w:p>
    <w:p w14:paraId="5584C3D5" w14:textId="438E4DD1" w:rsidR="00557FEA" w:rsidRDefault="00557FEA" w:rsidP="00573301">
      <w:pPr>
        <w:pStyle w:val="Heading1"/>
      </w:pPr>
      <w:bookmarkStart w:id="57" w:name="_Toc205559966"/>
      <w:r w:rsidRPr="00557FEA">
        <w:lastRenderedPageBreak/>
        <w:t>Appendix</w:t>
      </w:r>
      <w:r w:rsidR="003E5CC1">
        <w:t xml:space="preserve"> </w:t>
      </w:r>
      <w:r w:rsidR="00872A5F">
        <w:t xml:space="preserve">B </w:t>
      </w:r>
      <w:r w:rsidR="00872A5F" w:rsidRPr="00557FEA">
        <w:t>–</w:t>
      </w:r>
      <w:r w:rsidRPr="00557FEA">
        <w:t xml:space="preserve"> Pricing Schedule</w:t>
      </w:r>
      <w:bookmarkEnd w:id="57"/>
    </w:p>
    <w:p w14:paraId="15682727" w14:textId="77777777"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b/>
          <w:bCs/>
          <w:szCs w:val="20"/>
        </w:rPr>
        <w:t>Please read this section carefully and complete all parts in full.</w:t>
      </w:r>
    </w:p>
    <w:p w14:paraId="57B2B418" w14:textId="77777777"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szCs w:val="20"/>
        </w:rPr>
        <w:t>Bidders must clearly outline the range of activities and time required to deliver each work package, along with a full breakdown of associated costs.</w:t>
      </w:r>
    </w:p>
    <w:p w14:paraId="7DB3EE02" w14:textId="77777777"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szCs w:val="20"/>
        </w:rPr>
        <w:t>All costs must be inclusive of any charges to the University, including but not limited to consumables, travel, printing, and other related expenses.</w:t>
      </w:r>
    </w:p>
    <w:p w14:paraId="7ABEB524" w14:textId="3D2A0195"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szCs w:val="20"/>
        </w:rPr>
        <w:t xml:space="preserve">A Working Day is defined as a minimum of </w:t>
      </w:r>
      <w:r w:rsidR="006F38CC">
        <w:rPr>
          <w:rFonts w:asciiTheme="minorHAnsi" w:eastAsia="Times New Roman" w:hAnsiTheme="minorHAnsi" w:cstheme="minorHAnsi"/>
          <w:szCs w:val="20"/>
        </w:rPr>
        <w:t xml:space="preserve">8 hrs. </w:t>
      </w:r>
    </w:p>
    <w:p w14:paraId="01380E02" w14:textId="77777777"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szCs w:val="20"/>
        </w:rPr>
        <w:t>If you are bidding for both lots, you must submit a completed pricing schedule for each lot.</w:t>
      </w:r>
    </w:p>
    <w:p w14:paraId="5E7E13CE" w14:textId="77777777"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szCs w:val="20"/>
        </w:rPr>
        <w:t>Bidders must return the form in the format provided, using the spaces to give detailed information on the works to be undertaken.</w:t>
      </w:r>
    </w:p>
    <w:p w14:paraId="25CA9EB4" w14:textId="77777777"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szCs w:val="20"/>
        </w:rPr>
        <w:t>The lowest total price (i.e. the sum of all cost elements) will receive full marks, with other bids scored on a pro-rata basis.</w:t>
      </w:r>
    </w:p>
    <w:p w14:paraId="69372EAA" w14:textId="77777777" w:rsidR="003E5CC1" w:rsidRPr="003E5CC1" w:rsidRDefault="003E5CC1" w:rsidP="004A69DA">
      <w:pPr>
        <w:widowControl/>
        <w:autoSpaceDE/>
        <w:autoSpaceDN/>
        <w:spacing w:before="100" w:beforeAutospacing="1" w:after="100" w:afterAutospacing="1"/>
        <w:jc w:val="both"/>
        <w:rPr>
          <w:rFonts w:asciiTheme="minorHAnsi" w:eastAsia="Times New Roman" w:hAnsiTheme="minorHAnsi" w:cstheme="minorHAnsi"/>
          <w:szCs w:val="20"/>
        </w:rPr>
      </w:pPr>
      <w:r w:rsidRPr="003E5CC1">
        <w:rPr>
          <w:rFonts w:asciiTheme="minorHAnsi" w:eastAsia="Times New Roman" w:hAnsiTheme="minorHAnsi" w:cstheme="minorHAnsi"/>
          <w:szCs w:val="20"/>
        </w:rPr>
        <w:t>Where no cost information is provided, the average cost from other qualifying tenders for that item will be used.</w:t>
      </w:r>
    </w:p>
    <w:p w14:paraId="007064B8" w14:textId="77777777" w:rsidR="003E5CC1" w:rsidRPr="00836856" w:rsidRDefault="003E5CC1" w:rsidP="004A69DA">
      <w:pPr>
        <w:jc w:val="both"/>
        <w:rPr>
          <w:b/>
          <w:bCs/>
        </w:rPr>
      </w:pPr>
      <w:r w:rsidRPr="00836856">
        <w:rPr>
          <w:b/>
          <w:bCs/>
        </w:rPr>
        <w:t>All prices to be excluding VAT.</w:t>
      </w:r>
    </w:p>
    <w:p w14:paraId="6D549F12" w14:textId="10FC7E19" w:rsidR="000617FC" w:rsidRDefault="000617FC" w:rsidP="000617FC">
      <w:pPr>
        <w:rPr>
          <w:rFonts w:cstheme="minorHAnsi"/>
          <w:szCs w:val="20"/>
        </w:rPr>
      </w:pPr>
    </w:p>
    <w:tbl>
      <w:tblPr>
        <w:tblStyle w:val="TableGrid"/>
        <w:tblW w:w="0" w:type="auto"/>
        <w:tblLook w:val="04A0" w:firstRow="1" w:lastRow="0" w:firstColumn="1" w:lastColumn="0" w:noHBand="0" w:noVBand="1"/>
      </w:tblPr>
      <w:tblGrid>
        <w:gridCol w:w="6091"/>
        <w:gridCol w:w="2539"/>
      </w:tblGrid>
      <w:tr w:rsidR="003E5CC1" w:rsidRPr="0084052A" w14:paraId="1BEDDA01" w14:textId="77777777" w:rsidTr="000054AA">
        <w:trPr>
          <w:trHeight w:val="942"/>
        </w:trPr>
        <w:tc>
          <w:tcPr>
            <w:tcW w:w="6091" w:type="dxa"/>
          </w:tcPr>
          <w:p w14:paraId="196C4F86" w14:textId="65928BB4" w:rsidR="003E5CC1" w:rsidRPr="00681CCB" w:rsidRDefault="003E5CC1" w:rsidP="000054AA">
            <w:pPr>
              <w:rPr>
                <w:b/>
                <w:bCs/>
                <w:szCs w:val="20"/>
              </w:rPr>
            </w:pPr>
            <w:r w:rsidRPr="00681CCB">
              <w:rPr>
                <w:b/>
                <w:bCs/>
              </w:rPr>
              <w:t>UWTSD25</w:t>
            </w:r>
            <w:r>
              <w:rPr>
                <w:b/>
                <w:bCs/>
              </w:rPr>
              <w:t>26</w:t>
            </w:r>
            <w:r w:rsidRPr="00681CCB">
              <w:rPr>
                <w:b/>
                <w:bCs/>
              </w:rPr>
              <w:t>/</w:t>
            </w:r>
            <w:r>
              <w:rPr>
                <w:b/>
                <w:bCs/>
              </w:rPr>
              <w:t>2</w:t>
            </w:r>
            <w:r w:rsidR="00872A5F">
              <w:rPr>
                <w:b/>
                <w:bCs/>
              </w:rPr>
              <w:t>31</w:t>
            </w:r>
            <w:r w:rsidRPr="00681CCB">
              <w:rPr>
                <w:b/>
                <w:bCs/>
              </w:rPr>
              <w:t xml:space="preserve">.   Appendix B - </w:t>
            </w:r>
            <w:r w:rsidRPr="00681CCB">
              <w:rPr>
                <w:b/>
                <w:bCs/>
                <w:szCs w:val="20"/>
              </w:rPr>
              <w:t>Pricing Schedule</w:t>
            </w:r>
          </w:p>
          <w:p w14:paraId="6B3389D7" w14:textId="77777777" w:rsidR="003E5CC1" w:rsidRPr="0019005F" w:rsidRDefault="003E5CC1" w:rsidP="000054AA"/>
        </w:tc>
        <w:tc>
          <w:tcPr>
            <w:tcW w:w="2539" w:type="dxa"/>
            <w:vAlign w:val="center"/>
          </w:tcPr>
          <w:p w14:paraId="333BE5DB" w14:textId="77777777" w:rsidR="003E5CC1" w:rsidRPr="0084052A" w:rsidRDefault="003E5CC1" w:rsidP="000054AA">
            <w:r w:rsidRPr="00681CCB">
              <w:rPr>
                <w:color w:val="FF0000"/>
              </w:rPr>
              <w:t>Available via Sell2Wales as a separate file, for ease of access.</w:t>
            </w:r>
          </w:p>
        </w:tc>
      </w:tr>
    </w:tbl>
    <w:p w14:paraId="417E484B" w14:textId="24A847F7" w:rsidR="003E5CC1" w:rsidRDefault="003E5CC1" w:rsidP="000617FC">
      <w:pPr>
        <w:rPr>
          <w:rFonts w:cstheme="minorHAnsi"/>
          <w:szCs w:val="20"/>
        </w:rPr>
      </w:pPr>
    </w:p>
    <w:p w14:paraId="416A437B" w14:textId="48D666A5" w:rsidR="00E54EF7" w:rsidRDefault="004A69DA" w:rsidP="00E54EF7">
      <w:pPr>
        <w:ind w:left="851" w:hanging="851"/>
        <w:rPr>
          <w:rFonts w:cstheme="minorHAnsi"/>
          <w:szCs w:val="20"/>
        </w:rPr>
      </w:pPr>
      <w:r>
        <w:rPr>
          <w:rFonts w:cstheme="minorHAnsi"/>
          <w:szCs w:val="20"/>
        </w:rPr>
        <w:t>T</w:t>
      </w:r>
      <w:r w:rsidR="00E54EF7" w:rsidRPr="00D72347">
        <w:rPr>
          <w:rFonts w:cstheme="minorHAnsi"/>
          <w:szCs w:val="20"/>
        </w:rPr>
        <w:t xml:space="preserve">hat </w:t>
      </w:r>
      <w:r>
        <w:rPr>
          <w:rFonts w:cstheme="minorHAnsi"/>
          <w:szCs w:val="20"/>
        </w:rPr>
        <w:t>L</w:t>
      </w:r>
      <w:r w:rsidR="00E54EF7" w:rsidRPr="00D72347">
        <w:rPr>
          <w:rFonts w:cstheme="minorHAnsi"/>
          <w:szCs w:val="20"/>
        </w:rPr>
        <w:t xml:space="preserve">ot will be entered and used in the commercial evaluation.  </w:t>
      </w:r>
    </w:p>
    <w:p w14:paraId="211BD240" w14:textId="77777777" w:rsidR="004A69DA" w:rsidRDefault="004A69DA" w:rsidP="00E54EF7">
      <w:pPr>
        <w:ind w:left="851" w:hanging="851"/>
        <w:rPr>
          <w:rFonts w:cstheme="minorHAnsi"/>
          <w:szCs w:val="20"/>
        </w:rPr>
      </w:pPr>
    </w:p>
    <w:p w14:paraId="68B50070" w14:textId="77777777" w:rsidR="004A69DA" w:rsidRPr="004A69DA" w:rsidRDefault="004A69DA" w:rsidP="004A69DA">
      <w:pPr>
        <w:ind w:left="851" w:hanging="851"/>
        <w:rPr>
          <w:rFonts w:cstheme="minorHAnsi"/>
          <w:szCs w:val="20"/>
        </w:rPr>
      </w:pPr>
      <w:r w:rsidRPr="004A69DA">
        <w:rPr>
          <w:rFonts w:cstheme="minorHAnsi"/>
          <w:szCs w:val="20"/>
        </w:rPr>
        <w:t>For example, if three responses are received and:</w:t>
      </w:r>
    </w:p>
    <w:p w14:paraId="02DEA993" w14:textId="77777777" w:rsidR="004A69DA" w:rsidRPr="004A69DA" w:rsidRDefault="004A69DA" w:rsidP="004A69DA">
      <w:pPr>
        <w:ind w:left="851" w:hanging="851"/>
        <w:rPr>
          <w:rFonts w:cstheme="minorHAnsi"/>
          <w:szCs w:val="20"/>
        </w:rPr>
      </w:pPr>
    </w:p>
    <w:p w14:paraId="331C1A8F" w14:textId="77777777" w:rsidR="004A69DA" w:rsidRPr="004A69DA" w:rsidRDefault="004A69DA" w:rsidP="00A8360C">
      <w:pPr>
        <w:pStyle w:val="ListParagraph"/>
        <w:numPr>
          <w:ilvl w:val="0"/>
          <w:numId w:val="17"/>
        </w:numPr>
        <w:rPr>
          <w:rFonts w:cstheme="minorHAnsi"/>
          <w:szCs w:val="20"/>
        </w:rPr>
      </w:pPr>
      <w:r w:rsidRPr="004A69DA">
        <w:rPr>
          <w:rFonts w:cstheme="minorHAnsi"/>
          <w:szCs w:val="20"/>
        </w:rPr>
        <w:t>Bidder A quotes £75,000</w:t>
      </w:r>
    </w:p>
    <w:p w14:paraId="52CA6A4D" w14:textId="77777777" w:rsidR="004A69DA" w:rsidRPr="004A69DA" w:rsidRDefault="004A69DA" w:rsidP="00A8360C">
      <w:pPr>
        <w:pStyle w:val="ListParagraph"/>
        <w:numPr>
          <w:ilvl w:val="0"/>
          <w:numId w:val="17"/>
        </w:numPr>
        <w:rPr>
          <w:rFonts w:cstheme="minorHAnsi"/>
          <w:szCs w:val="20"/>
        </w:rPr>
      </w:pPr>
      <w:r w:rsidRPr="004A69DA">
        <w:rPr>
          <w:rFonts w:cstheme="minorHAnsi"/>
          <w:szCs w:val="20"/>
        </w:rPr>
        <w:t>Bidder B quotes £80,000</w:t>
      </w:r>
    </w:p>
    <w:p w14:paraId="17931DA0" w14:textId="77777777" w:rsidR="004A69DA" w:rsidRPr="004A69DA" w:rsidRDefault="004A69DA" w:rsidP="00A8360C">
      <w:pPr>
        <w:pStyle w:val="ListParagraph"/>
        <w:numPr>
          <w:ilvl w:val="0"/>
          <w:numId w:val="17"/>
        </w:numPr>
        <w:rPr>
          <w:rFonts w:cstheme="minorHAnsi"/>
          <w:szCs w:val="20"/>
        </w:rPr>
      </w:pPr>
      <w:r w:rsidRPr="004A69DA">
        <w:rPr>
          <w:rFonts w:cstheme="minorHAnsi"/>
          <w:szCs w:val="20"/>
        </w:rPr>
        <w:t>Bidder C quotes £90,000</w:t>
      </w:r>
    </w:p>
    <w:p w14:paraId="01E45434" w14:textId="77777777" w:rsidR="004A69DA" w:rsidRPr="004A69DA" w:rsidRDefault="004A69DA" w:rsidP="004A69DA">
      <w:pPr>
        <w:ind w:left="851" w:hanging="851"/>
        <w:rPr>
          <w:rFonts w:cstheme="minorHAnsi"/>
          <w:szCs w:val="20"/>
        </w:rPr>
      </w:pPr>
    </w:p>
    <w:p w14:paraId="2F7EF089" w14:textId="77777777" w:rsidR="004A69DA" w:rsidRPr="004A69DA" w:rsidRDefault="004A69DA" w:rsidP="004A69DA">
      <w:pPr>
        <w:ind w:left="851" w:hanging="851"/>
        <w:rPr>
          <w:rFonts w:cstheme="minorHAnsi"/>
          <w:szCs w:val="20"/>
        </w:rPr>
      </w:pPr>
      <w:r w:rsidRPr="004A69DA">
        <w:rPr>
          <w:rFonts w:cstheme="minorHAnsi"/>
          <w:szCs w:val="20"/>
        </w:rPr>
        <w:t>Then, assuming the commercial weighting is 20%, the scores will be calculated as follows:</w:t>
      </w:r>
    </w:p>
    <w:p w14:paraId="33DE809A" w14:textId="77777777" w:rsidR="004A69DA" w:rsidRPr="004A69DA" w:rsidRDefault="004A69DA" w:rsidP="004A69DA">
      <w:pPr>
        <w:ind w:left="851" w:hanging="851"/>
        <w:rPr>
          <w:rFonts w:cstheme="minorHAnsi"/>
          <w:szCs w:val="20"/>
        </w:rPr>
      </w:pPr>
    </w:p>
    <w:p w14:paraId="79F873B3" w14:textId="77777777" w:rsidR="004A69DA" w:rsidRPr="004A69DA" w:rsidRDefault="004A69DA" w:rsidP="00A8360C">
      <w:pPr>
        <w:pStyle w:val="ListParagraph"/>
        <w:numPr>
          <w:ilvl w:val="0"/>
          <w:numId w:val="18"/>
        </w:numPr>
        <w:rPr>
          <w:rFonts w:cstheme="minorHAnsi"/>
          <w:szCs w:val="20"/>
        </w:rPr>
      </w:pPr>
      <w:r w:rsidRPr="004A69DA">
        <w:rPr>
          <w:rFonts w:cstheme="minorHAnsi"/>
          <w:szCs w:val="20"/>
        </w:rPr>
        <w:t>Bidder A Score = (£75,000 / £75,000) × 20 = 20.00%</w:t>
      </w:r>
    </w:p>
    <w:p w14:paraId="60A1D220" w14:textId="77777777" w:rsidR="004A69DA" w:rsidRPr="004A69DA" w:rsidRDefault="004A69DA" w:rsidP="00A8360C">
      <w:pPr>
        <w:pStyle w:val="ListParagraph"/>
        <w:numPr>
          <w:ilvl w:val="0"/>
          <w:numId w:val="18"/>
        </w:numPr>
        <w:rPr>
          <w:rFonts w:cstheme="minorHAnsi"/>
          <w:szCs w:val="20"/>
        </w:rPr>
      </w:pPr>
      <w:r w:rsidRPr="004A69DA">
        <w:rPr>
          <w:rFonts w:cstheme="minorHAnsi"/>
          <w:szCs w:val="20"/>
        </w:rPr>
        <w:t>Bidder B Score = (£75,000 / £80,000) × 20 = 18.75%</w:t>
      </w:r>
    </w:p>
    <w:p w14:paraId="39705B61" w14:textId="59D8BD20" w:rsidR="00E54EF7" w:rsidRPr="004A69DA" w:rsidRDefault="004A69DA" w:rsidP="00A8360C">
      <w:pPr>
        <w:pStyle w:val="ListParagraph"/>
        <w:numPr>
          <w:ilvl w:val="0"/>
          <w:numId w:val="18"/>
        </w:numPr>
        <w:rPr>
          <w:rFonts w:cstheme="minorHAnsi"/>
          <w:szCs w:val="20"/>
        </w:rPr>
      </w:pPr>
      <w:r w:rsidRPr="004A69DA">
        <w:rPr>
          <w:rFonts w:cstheme="minorHAnsi"/>
          <w:szCs w:val="20"/>
        </w:rPr>
        <w:t>Bidder C Score = (£75,000 / £90,000) × 20 = 16.67%</w:t>
      </w:r>
    </w:p>
    <w:p w14:paraId="397CEE40" w14:textId="4B4BEC09" w:rsidR="00606100" w:rsidRDefault="00606100" w:rsidP="000654EE">
      <w:pPr>
        <w:tabs>
          <w:tab w:val="left" w:pos="840"/>
        </w:tabs>
        <w:spacing w:before="42" w:line="273" w:lineRule="auto"/>
        <w:ind w:right="822"/>
      </w:pPr>
    </w:p>
    <w:sectPr w:rsidR="00606100" w:rsidSect="004A69DA">
      <w:footerReference w:type="default" r:id="rId16"/>
      <w:pgSz w:w="11910" w:h="16840"/>
      <w:pgMar w:top="1276" w:right="1320" w:bottom="280" w:left="132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442F" w14:textId="77777777" w:rsidR="00080025" w:rsidRDefault="00080025" w:rsidP="00316F1E">
      <w:r>
        <w:separator/>
      </w:r>
    </w:p>
  </w:endnote>
  <w:endnote w:type="continuationSeparator" w:id="0">
    <w:p w14:paraId="5B9ED946" w14:textId="77777777" w:rsidR="00080025" w:rsidRDefault="00080025" w:rsidP="00316F1E">
      <w:r>
        <w:continuationSeparator/>
      </w:r>
    </w:p>
  </w:endnote>
  <w:endnote w:type="continuationNotice" w:id="1">
    <w:p w14:paraId="065225C7" w14:textId="77777777" w:rsidR="00080025" w:rsidRDefault="00080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F76C" w14:textId="7BCE8351" w:rsidR="0001260C" w:rsidRPr="002920F3" w:rsidRDefault="0001260C">
    <w:pPr>
      <w:pStyle w:val="Footer"/>
      <w:rPr>
        <w:sz w:val="18"/>
      </w:rPr>
    </w:pPr>
    <w:r w:rsidRPr="002920F3">
      <w:rPr>
        <w:sz w:val="18"/>
      </w:rPr>
      <w:t>UWTSD</w:t>
    </w:r>
    <w:r>
      <w:rPr>
        <w:sz w:val="18"/>
      </w:rPr>
      <w:t xml:space="preserve">2526/231. </w:t>
    </w:r>
    <w:r w:rsidRPr="002920F3">
      <w:rPr>
        <w:sz w:val="18"/>
      </w:rPr>
      <w:t>Document 2 – Tender Specification</w:t>
    </w:r>
  </w:p>
  <w:p w14:paraId="2ECD3948" w14:textId="0ECABAAD" w:rsidR="0001260C" w:rsidRPr="002920F3" w:rsidRDefault="0001260C" w:rsidP="002920F3">
    <w:pPr>
      <w:pStyle w:val="Footer"/>
      <w:jc w:val="right"/>
      <w:rPr>
        <w:sz w:val="18"/>
      </w:rPr>
    </w:pPr>
    <w:r w:rsidRPr="002920F3">
      <w:rPr>
        <w:sz w:val="18"/>
      </w:rPr>
      <w:t xml:space="preserve">Page </w:t>
    </w:r>
    <w:r w:rsidRPr="002920F3">
      <w:rPr>
        <w:sz w:val="18"/>
      </w:rPr>
      <w:fldChar w:fldCharType="begin"/>
    </w:r>
    <w:r w:rsidRPr="002920F3">
      <w:rPr>
        <w:sz w:val="18"/>
      </w:rPr>
      <w:instrText xml:space="preserve"> PAGE   \* MERGEFORMAT </w:instrText>
    </w:r>
    <w:r w:rsidRPr="002920F3">
      <w:rPr>
        <w:sz w:val="18"/>
      </w:rPr>
      <w:fldChar w:fldCharType="separate"/>
    </w:r>
    <w:r w:rsidRPr="002920F3">
      <w:rPr>
        <w:noProof/>
        <w:sz w:val="18"/>
      </w:rPr>
      <w:t>1</w:t>
    </w:r>
    <w:r w:rsidRPr="002920F3">
      <w:rPr>
        <w:noProof/>
        <w:sz w:val="18"/>
      </w:rPr>
      <w:fldChar w:fldCharType="end"/>
    </w:r>
    <w:r w:rsidRPr="002920F3">
      <w:rPr>
        <w:noProof/>
        <w:sz w:val="18"/>
      </w:rPr>
      <w:t xml:space="preserve"> of </w:t>
    </w:r>
    <w:r w:rsidR="004A69DA">
      <w:rPr>
        <w:noProof/>
        <w:sz w:val="18"/>
      </w:rPr>
      <w:t>1</w:t>
    </w:r>
    <w:r w:rsidRPr="002920F3">
      <w:rPr>
        <w:noProof/>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E827" w14:textId="77777777" w:rsidR="00080025" w:rsidRDefault="00080025" w:rsidP="00316F1E">
      <w:r>
        <w:separator/>
      </w:r>
    </w:p>
  </w:footnote>
  <w:footnote w:type="continuationSeparator" w:id="0">
    <w:p w14:paraId="0022ACD4" w14:textId="77777777" w:rsidR="00080025" w:rsidRDefault="00080025" w:rsidP="00316F1E">
      <w:r>
        <w:continuationSeparator/>
      </w:r>
    </w:p>
  </w:footnote>
  <w:footnote w:type="continuationNotice" w:id="1">
    <w:p w14:paraId="1CE79077" w14:textId="77777777" w:rsidR="00080025" w:rsidRDefault="000800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42B4"/>
    <w:multiLevelType w:val="hybridMultilevel"/>
    <w:tmpl w:val="9160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0557"/>
    <w:multiLevelType w:val="multilevel"/>
    <w:tmpl w:val="F6604EEC"/>
    <w:lvl w:ilvl="0">
      <w:start w:val="1"/>
      <w:numFmt w:val="decimal"/>
      <w:pStyle w:val="Heading1"/>
      <w:lvlText w:val="%1"/>
      <w:lvlJc w:val="left"/>
      <w:pPr>
        <w:ind w:left="999" w:hanging="432"/>
      </w:pPr>
      <w:rPr>
        <w:b/>
      </w:rPr>
    </w:lvl>
    <w:lvl w:ilvl="1">
      <w:start w:val="1"/>
      <w:numFmt w:val="decimal"/>
      <w:pStyle w:val="Heading2"/>
      <w:lvlText w:val="%1.%2"/>
      <w:lvlJc w:val="left"/>
      <w:pPr>
        <w:ind w:left="1569" w:hanging="576"/>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41320B"/>
    <w:multiLevelType w:val="multilevel"/>
    <w:tmpl w:val="2134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D08B1"/>
    <w:multiLevelType w:val="hybridMultilevel"/>
    <w:tmpl w:val="29B8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F1F4A"/>
    <w:multiLevelType w:val="hybridMultilevel"/>
    <w:tmpl w:val="28BC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704B2"/>
    <w:multiLevelType w:val="hybridMultilevel"/>
    <w:tmpl w:val="7B22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F213C"/>
    <w:multiLevelType w:val="multilevel"/>
    <w:tmpl w:val="49C8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516E0"/>
    <w:multiLevelType w:val="multilevel"/>
    <w:tmpl w:val="BC28FB0E"/>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Wingdings" w:eastAsia="Times New Roman" w:hAnsi="Wingdings"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05E6D"/>
    <w:multiLevelType w:val="hybridMultilevel"/>
    <w:tmpl w:val="8B18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22135"/>
    <w:multiLevelType w:val="hybridMultilevel"/>
    <w:tmpl w:val="E724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82EEA"/>
    <w:multiLevelType w:val="hybridMultilevel"/>
    <w:tmpl w:val="ED86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37DE3"/>
    <w:multiLevelType w:val="hybridMultilevel"/>
    <w:tmpl w:val="194A98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9E216A"/>
    <w:multiLevelType w:val="multilevel"/>
    <w:tmpl w:val="421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B54E6"/>
    <w:multiLevelType w:val="hybridMultilevel"/>
    <w:tmpl w:val="6E1E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075A4"/>
    <w:multiLevelType w:val="multilevel"/>
    <w:tmpl w:val="DB5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C5C15"/>
    <w:multiLevelType w:val="multilevel"/>
    <w:tmpl w:val="AAB2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B7129D"/>
    <w:multiLevelType w:val="multilevel"/>
    <w:tmpl w:val="A466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1750A"/>
    <w:multiLevelType w:val="hybridMultilevel"/>
    <w:tmpl w:val="AB2C5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5B15058"/>
    <w:multiLevelType w:val="multilevel"/>
    <w:tmpl w:val="F750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092757">
    <w:abstractNumId w:val="1"/>
  </w:num>
  <w:num w:numId="2" w16cid:durableId="374232532">
    <w:abstractNumId w:val="11"/>
  </w:num>
  <w:num w:numId="3" w16cid:durableId="2117943337">
    <w:abstractNumId w:val="5"/>
  </w:num>
  <w:num w:numId="4" w16cid:durableId="313802572">
    <w:abstractNumId w:val="17"/>
  </w:num>
  <w:num w:numId="5" w16cid:durableId="2026589182">
    <w:abstractNumId w:val="7"/>
  </w:num>
  <w:num w:numId="6" w16cid:durableId="1507400761">
    <w:abstractNumId w:val="15"/>
  </w:num>
  <w:num w:numId="7" w16cid:durableId="501547607">
    <w:abstractNumId w:val="16"/>
  </w:num>
  <w:num w:numId="8" w16cid:durableId="2107186697">
    <w:abstractNumId w:val="6"/>
  </w:num>
  <w:num w:numId="9" w16cid:durableId="2121142491">
    <w:abstractNumId w:val="14"/>
  </w:num>
  <w:num w:numId="10" w16cid:durableId="1844199105">
    <w:abstractNumId w:val="12"/>
  </w:num>
  <w:num w:numId="11" w16cid:durableId="194270886">
    <w:abstractNumId w:val="2"/>
  </w:num>
  <w:num w:numId="12" w16cid:durableId="1715275770">
    <w:abstractNumId w:val="8"/>
  </w:num>
  <w:num w:numId="13" w16cid:durableId="1702439319">
    <w:abstractNumId w:val="10"/>
  </w:num>
  <w:num w:numId="14" w16cid:durableId="1487092813">
    <w:abstractNumId w:val="3"/>
  </w:num>
  <w:num w:numId="15" w16cid:durableId="1307735364">
    <w:abstractNumId w:val="0"/>
  </w:num>
  <w:num w:numId="16" w16cid:durableId="371804952">
    <w:abstractNumId w:val="9"/>
  </w:num>
  <w:num w:numId="17" w16cid:durableId="193004481">
    <w:abstractNumId w:val="4"/>
  </w:num>
  <w:num w:numId="18" w16cid:durableId="2020154509">
    <w:abstractNumId w:val="13"/>
  </w:num>
  <w:num w:numId="19" w16cid:durableId="71161299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00"/>
    <w:rsid w:val="000054AA"/>
    <w:rsid w:val="00011FE3"/>
    <w:rsid w:val="0001260C"/>
    <w:rsid w:val="0005231C"/>
    <w:rsid w:val="000617FC"/>
    <w:rsid w:val="000654EE"/>
    <w:rsid w:val="00080025"/>
    <w:rsid w:val="00083295"/>
    <w:rsid w:val="00096A8E"/>
    <w:rsid w:val="000A0832"/>
    <w:rsid w:val="000A1770"/>
    <w:rsid w:val="000B41D8"/>
    <w:rsid w:val="000C078F"/>
    <w:rsid w:val="000C4785"/>
    <w:rsid w:val="000C7588"/>
    <w:rsid w:val="0010409D"/>
    <w:rsid w:val="00120606"/>
    <w:rsid w:val="00166CD3"/>
    <w:rsid w:val="001841DA"/>
    <w:rsid w:val="001902E5"/>
    <w:rsid w:val="001A0483"/>
    <w:rsid w:val="001C53FD"/>
    <w:rsid w:val="001E07C2"/>
    <w:rsid w:val="00203025"/>
    <w:rsid w:val="00205084"/>
    <w:rsid w:val="002135CC"/>
    <w:rsid w:val="002547C6"/>
    <w:rsid w:val="0026429C"/>
    <w:rsid w:val="002920F3"/>
    <w:rsid w:val="002A4C2C"/>
    <w:rsid w:val="002A69B4"/>
    <w:rsid w:val="002B5F34"/>
    <w:rsid w:val="002E2FC1"/>
    <w:rsid w:val="002E7CF8"/>
    <w:rsid w:val="002F230F"/>
    <w:rsid w:val="003136F9"/>
    <w:rsid w:val="00316F1E"/>
    <w:rsid w:val="00327415"/>
    <w:rsid w:val="003316CB"/>
    <w:rsid w:val="00393E1E"/>
    <w:rsid w:val="0039497D"/>
    <w:rsid w:val="003A026E"/>
    <w:rsid w:val="003B0044"/>
    <w:rsid w:val="003B0558"/>
    <w:rsid w:val="003B5B31"/>
    <w:rsid w:val="003C069B"/>
    <w:rsid w:val="003C5C20"/>
    <w:rsid w:val="003D1BD8"/>
    <w:rsid w:val="003D51AE"/>
    <w:rsid w:val="003E5CC1"/>
    <w:rsid w:val="003E654E"/>
    <w:rsid w:val="00403C13"/>
    <w:rsid w:val="00407F41"/>
    <w:rsid w:val="0041179E"/>
    <w:rsid w:val="00421E2E"/>
    <w:rsid w:val="00435CEF"/>
    <w:rsid w:val="00450CF8"/>
    <w:rsid w:val="004736F0"/>
    <w:rsid w:val="00474BEB"/>
    <w:rsid w:val="004A5F3F"/>
    <w:rsid w:val="004A69DA"/>
    <w:rsid w:val="004B1BB4"/>
    <w:rsid w:val="004F09FE"/>
    <w:rsid w:val="00500592"/>
    <w:rsid w:val="005059C7"/>
    <w:rsid w:val="0051123E"/>
    <w:rsid w:val="00511623"/>
    <w:rsid w:val="005152A9"/>
    <w:rsid w:val="00525574"/>
    <w:rsid w:val="00527934"/>
    <w:rsid w:val="00531C2E"/>
    <w:rsid w:val="005418A8"/>
    <w:rsid w:val="00544D33"/>
    <w:rsid w:val="00557FEA"/>
    <w:rsid w:val="00560E2C"/>
    <w:rsid w:val="00570ECC"/>
    <w:rsid w:val="00573301"/>
    <w:rsid w:val="00573DD7"/>
    <w:rsid w:val="00587CED"/>
    <w:rsid w:val="00593CCF"/>
    <w:rsid w:val="00594EFF"/>
    <w:rsid w:val="005B27FC"/>
    <w:rsid w:val="00606100"/>
    <w:rsid w:val="00631B4D"/>
    <w:rsid w:val="00636082"/>
    <w:rsid w:val="006462F6"/>
    <w:rsid w:val="00660274"/>
    <w:rsid w:val="00682450"/>
    <w:rsid w:val="006A13AB"/>
    <w:rsid w:val="006A6E57"/>
    <w:rsid w:val="006B5708"/>
    <w:rsid w:val="006E0ACD"/>
    <w:rsid w:val="006F38CC"/>
    <w:rsid w:val="006F402A"/>
    <w:rsid w:val="00703173"/>
    <w:rsid w:val="007329F3"/>
    <w:rsid w:val="00735060"/>
    <w:rsid w:val="007620A7"/>
    <w:rsid w:val="007648DC"/>
    <w:rsid w:val="00766752"/>
    <w:rsid w:val="00776F11"/>
    <w:rsid w:val="00784843"/>
    <w:rsid w:val="007B7D14"/>
    <w:rsid w:val="007C586E"/>
    <w:rsid w:val="007D6CB4"/>
    <w:rsid w:val="008125FA"/>
    <w:rsid w:val="00825D13"/>
    <w:rsid w:val="00830BCD"/>
    <w:rsid w:val="00837956"/>
    <w:rsid w:val="0084096D"/>
    <w:rsid w:val="00846570"/>
    <w:rsid w:val="00864248"/>
    <w:rsid w:val="00872A5F"/>
    <w:rsid w:val="008754E9"/>
    <w:rsid w:val="008901F2"/>
    <w:rsid w:val="008B22EA"/>
    <w:rsid w:val="008B542A"/>
    <w:rsid w:val="008C4307"/>
    <w:rsid w:val="008C6BF7"/>
    <w:rsid w:val="008D586C"/>
    <w:rsid w:val="008E6B46"/>
    <w:rsid w:val="00904396"/>
    <w:rsid w:val="0090796D"/>
    <w:rsid w:val="00924831"/>
    <w:rsid w:val="00941A2E"/>
    <w:rsid w:val="009625E9"/>
    <w:rsid w:val="00963839"/>
    <w:rsid w:val="00966BBE"/>
    <w:rsid w:val="00987324"/>
    <w:rsid w:val="009A7C26"/>
    <w:rsid w:val="009C469F"/>
    <w:rsid w:val="009E3DC2"/>
    <w:rsid w:val="009F0438"/>
    <w:rsid w:val="00A631B3"/>
    <w:rsid w:val="00A67869"/>
    <w:rsid w:val="00A8360C"/>
    <w:rsid w:val="00A908A4"/>
    <w:rsid w:val="00AE0FBE"/>
    <w:rsid w:val="00B35AEB"/>
    <w:rsid w:val="00B377EB"/>
    <w:rsid w:val="00B41F32"/>
    <w:rsid w:val="00B44485"/>
    <w:rsid w:val="00B717E6"/>
    <w:rsid w:val="00B75E3E"/>
    <w:rsid w:val="00B855E6"/>
    <w:rsid w:val="00B96179"/>
    <w:rsid w:val="00BA378F"/>
    <w:rsid w:val="00BA7192"/>
    <w:rsid w:val="00BB5A5D"/>
    <w:rsid w:val="00BE50FF"/>
    <w:rsid w:val="00C0563A"/>
    <w:rsid w:val="00C36CB5"/>
    <w:rsid w:val="00C40861"/>
    <w:rsid w:val="00C70B5F"/>
    <w:rsid w:val="00C83A05"/>
    <w:rsid w:val="00C83D94"/>
    <w:rsid w:val="00C90B43"/>
    <w:rsid w:val="00C95418"/>
    <w:rsid w:val="00CA442A"/>
    <w:rsid w:val="00CA507D"/>
    <w:rsid w:val="00CC3F22"/>
    <w:rsid w:val="00CC58BC"/>
    <w:rsid w:val="00CF24EE"/>
    <w:rsid w:val="00D01261"/>
    <w:rsid w:val="00D132B1"/>
    <w:rsid w:val="00D2046F"/>
    <w:rsid w:val="00D23C5A"/>
    <w:rsid w:val="00D53A73"/>
    <w:rsid w:val="00D72347"/>
    <w:rsid w:val="00D76C34"/>
    <w:rsid w:val="00D9796B"/>
    <w:rsid w:val="00DA336B"/>
    <w:rsid w:val="00DB5B41"/>
    <w:rsid w:val="00DC71D0"/>
    <w:rsid w:val="00DD5320"/>
    <w:rsid w:val="00E23236"/>
    <w:rsid w:val="00E43213"/>
    <w:rsid w:val="00E54EF7"/>
    <w:rsid w:val="00E60B0F"/>
    <w:rsid w:val="00E63030"/>
    <w:rsid w:val="00EB56C2"/>
    <w:rsid w:val="00EC457D"/>
    <w:rsid w:val="00EC6986"/>
    <w:rsid w:val="00EE1D39"/>
    <w:rsid w:val="00EF1887"/>
    <w:rsid w:val="00F11C65"/>
    <w:rsid w:val="00F16B99"/>
    <w:rsid w:val="00F22D5C"/>
    <w:rsid w:val="00F26AF8"/>
    <w:rsid w:val="00F3279D"/>
    <w:rsid w:val="00F3402B"/>
    <w:rsid w:val="00F37536"/>
    <w:rsid w:val="00F44CAA"/>
    <w:rsid w:val="00F4584F"/>
    <w:rsid w:val="00F54335"/>
    <w:rsid w:val="00F64369"/>
    <w:rsid w:val="00F85E7C"/>
    <w:rsid w:val="00F85EAC"/>
    <w:rsid w:val="00FA4354"/>
    <w:rsid w:val="00FB4D4E"/>
    <w:rsid w:val="00FC1C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2E"/>
    <w:rPr>
      <w:rFonts w:ascii="Calibri" w:eastAsia="Calibri" w:hAnsi="Calibri" w:cs="Calibri"/>
      <w:sz w:val="20"/>
    </w:rPr>
  </w:style>
  <w:style w:type="paragraph" w:styleId="Heading1">
    <w:name w:val="heading 1"/>
    <w:basedOn w:val="Normal"/>
    <w:uiPriority w:val="1"/>
    <w:qFormat/>
    <w:rsid w:val="00573301"/>
    <w:pPr>
      <w:numPr>
        <w:numId w:val="1"/>
      </w:numPr>
      <w:spacing w:before="1"/>
      <w:ind w:right="1"/>
      <w:outlineLvl w:val="0"/>
    </w:pPr>
    <w:rPr>
      <w:b/>
      <w:bCs/>
      <w:sz w:val="22"/>
    </w:rPr>
  </w:style>
  <w:style w:type="paragraph" w:styleId="Heading2">
    <w:name w:val="heading 2"/>
    <w:basedOn w:val="Normal"/>
    <w:uiPriority w:val="1"/>
    <w:unhideWhenUsed/>
    <w:qFormat/>
    <w:rsid w:val="00F54335"/>
    <w:pPr>
      <w:numPr>
        <w:ilvl w:val="1"/>
        <w:numId w:val="1"/>
      </w:numPr>
      <w:outlineLvl w:val="1"/>
    </w:pPr>
    <w:rPr>
      <w:b/>
      <w:bCs/>
    </w:rPr>
  </w:style>
  <w:style w:type="paragraph" w:styleId="Heading3">
    <w:name w:val="heading 3"/>
    <w:basedOn w:val="ListParagraph"/>
    <w:next w:val="Normal"/>
    <w:link w:val="Heading3Char"/>
    <w:uiPriority w:val="9"/>
    <w:unhideWhenUsed/>
    <w:qFormat/>
    <w:rsid w:val="003E654E"/>
    <w:pPr>
      <w:numPr>
        <w:ilvl w:val="2"/>
        <w:numId w:val="1"/>
      </w:numPr>
      <w:tabs>
        <w:tab w:val="left" w:pos="828"/>
      </w:tabs>
      <w:spacing w:before="1"/>
      <w:jc w:val="both"/>
      <w:outlineLvl w:val="2"/>
    </w:pPr>
    <w:rPr>
      <w:rFonts w:asciiTheme="minorHAnsi" w:hAnsiTheme="minorHAnsi" w:cstheme="minorHAnsi"/>
      <w:b/>
      <w:spacing w:val="-2"/>
    </w:rPr>
  </w:style>
  <w:style w:type="paragraph" w:styleId="Heading4">
    <w:name w:val="heading 4"/>
    <w:basedOn w:val="Normal"/>
    <w:next w:val="Normal"/>
    <w:link w:val="Heading4Char"/>
    <w:uiPriority w:val="9"/>
    <w:unhideWhenUsed/>
    <w:qFormat/>
    <w:rsid w:val="00846570"/>
    <w:pPr>
      <w:keepNext/>
      <w:keepLines/>
      <w:numPr>
        <w:ilvl w:val="3"/>
        <w:numId w:val="1"/>
      </w:numPr>
      <w:spacing w:before="40"/>
      <w:outlineLvl w:val="3"/>
    </w:pPr>
    <w:rPr>
      <w:rFonts w:asciiTheme="minorHAnsi" w:eastAsiaTheme="majorEastAsia" w:hAnsiTheme="minorHAnsi" w:cstheme="majorBidi"/>
      <w:b/>
      <w:iCs/>
    </w:rPr>
  </w:style>
  <w:style w:type="paragraph" w:styleId="Heading5">
    <w:name w:val="heading 5"/>
    <w:basedOn w:val="Normal"/>
    <w:next w:val="Normal"/>
    <w:link w:val="Heading5Char"/>
    <w:uiPriority w:val="9"/>
    <w:semiHidden/>
    <w:unhideWhenUsed/>
    <w:qFormat/>
    <w:rsid w:val="00924831"/>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24831"/>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24831"/>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2483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483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Heading 2_sj,Numbered Para 1,Dot pt,No Spacing1,List Paragraph Char Char Char,Indicator Text,Bullet 1,List Paragraph1,Bullet Points,MAIN CONTENT,List Paragraph12,F5 List Paragraph,Bullet Style,Title 2"/>
    <w:basedOn w:val="Normal"/>
    <w:link w:val="ListParagraphChar"/>
    <w:uiPriority w:val="34"/>
    <w:qFormat/>
    <w:pPr>
      <w:ind w:left="840" w:hanging="7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16F1E"/>
    <w:pPr>
      <w:tabs>
        <w:tab w:val="center" w:pos="4513"/>
        <w:tab w:val="right" w:pos="9026"/>
      </w:tabs>
    </w:pPr>
  </w:style>
  <w:style w:type="character" w:customStyle="1" w:styleId="HeaderChar">
    <w:name w:val="Header Char"/>
    <w:basedOn w:val="DefaultParagraphFont"/>
    <w:link w:val="Header"/>
    <w:uiPriority w:val="99"/>
    <w:rsid w:val="00316F1E"/>
    <w:rPr>
      <w:rFonts w:ascii="Calibri" w:eastAsia="Calibri" w:hAnsi="Calibri" w:cs="Calibri"/>
    </w:rPr>
  </w:style>
  <w:style w:type="paragraph" w:styleId="Footer">
    <w:name w:val="footer"/>
    <w:basedOn w:val="Normal"/>
    <w:link w:val="FooterChar"/>
    <w:uiPriority w:val="99"/>
    <w:unhideWhenUsed/>
    <w:rsid w:val="00316F1E"/>
    <w:pPr>
      <w:tabs>
        <w:tab w:val="center" w:pos="4513"/>
        <w:tab w:val="right" w:pos="9026"/>
      </w:tabs>
    </w:pPr>
  </w:style>
  <w:style w:type="character" w:customStyle="1" w:styleId="FooterChar">
    <w:name w:val="Footer Char"/>
    <w:basedOn w:val="DefaultParagraphFont"/>
    <w:link w:val="Footer"/>
    <w:uiPriority w:val="99"/>
    <w:rsid w:val="00316F1E"/>
    <w:rPr>
      <w:rFonts w:ascii="Calibri" w:eastAsia="Calibri" w:hAnsi="Calibri" w:cs="Calibri"/>
    </w:rPr>
  </w:style>
  <w:style w:type="paragraph" w:customStyle="1" w:styleId="paragraph">
    <w:name w:val="paragraph"/>
    <w:basedOn w:val="Normal"/>
    <w:rsid w:val="00316F1E"/>
    <w:pPr>
      <w:widowControl/>
      <w:autoSpaceDE/>
      <w:autoSpaceDN/>
      <w:spacing w:before="100" w:beforeAutospacing="1" w:after="100" w:afterAutospacing="1"/>
    </w:pPr>
    <w:rPr>
      <w:rFonts w:eastAsiaTheme="minorEastAsia"/>
      <w:lang w:val="en-GB" w:eastAsia="zh-CN"/>
    </w:rPr>
  </w:style>
  <w:style w:type="character" w:customStyle="1" w:styleId="normaltextrun">
    <w:name w:val="normaltextrun"/>
    <w:basedOn w:val="DefaultParagraphFont"/>
    <w:rsid w:val="00316F1E"/>
  </w:style>
  <w:style w:type="character" w:customStyle="1" w:styleId="eop">
    <w:name w:val="eop"/>
    <w:basedOn w:val="DefaultParagraphFont"/>
    <w:rsid w:val="00316F1E"/>
  </w:style>
  <w:style w:type="table" w:styleId="TableGrid">
    <w:name w:val="Table Grid"/>
    <w:aliases w:val="Create"/>
    <w:basedOn w:val="TableNormal"/>
    <w:uiPriority w:val="59"/>
    <w:rsid w:val="002B5F3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Title 2 Char"/>
    <w:basedOn w:val="DefaultParagraphFont"/>
    <w:link w:val="ListParagraph"/>
    <w:uiPriority w:val="34"/>
    <w:qFormat/>
    <w:locked/>
    <w:rsid w:val="002B5F34"/>
    <w:rPr>
      <w:rFonts w:ascii="Calibri" w:eastAsia="Calibri" w:hAnsi="Calibri" w:cs="Calibri"/>
    </w:rPr>
  </w:style>
  <w:style w:type="paragraph" w:styleId="TOCHeading">
    <w:name w:val="TOC Heading"/>
    <w:basedOn w:val="Heading1"/>
    <w:next w:val="Normal"/>
    <w:uiPriority w:val="39"/>
    <w:unhideWhenUsed/>
    <w:qFormat/>
    <w:rsid w:val="003E654E"/>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3E654E"/>
    <w:pPr>
      <w:spacing w:after="100"/>
      <w:ind w:left="220"/>
    </w:pPr>
  </w:style>
  <w:style w:type="paragraph" w:styleId="TOC1">
    <w:name w:val="toc 1"/>
    <w:basedOn w:val="Normal"/>
    <w:next w:val="Normal"/>
    <w:autoRedefine/>
    <w:uiPriority w:val="39"/>
    <w:unhideWhenUsed/>
    <w:rsid w:val="003E654E"/>
    <w:pPr>
      <w:spacing w:after="100"/>
    </w:pPr>
  </w:style>
  <w:style w:type="character" w:styleId="Hyperlink">
    <w:name w:val="Hyperlink"/>
    <w:basedOn w:val="DefaultParagraphFont"/>
    <w:uiPriority w:val="99"/>
    <w:unhideWhenUsed/>
    <w:rsid w:val="003E654E"/>
    <w:rPr>
      <w:color w:val="0000FF" w:themeColor="hyperlink"/>
      <w:u w:val="single"/>
    </w:rPr>
  </w:style>
  <w:style w:type="character" w:customStyle="1" w:styleId="Heading3Char">
    <w:name w:val="Heading 3 Char"/>
    <w:basedOn w:val="DefaultParagraphFont"/>
    <w:link w:val="Heading3"/>
    <w:uiPriority w:val="9"/>
    <w:rsid w:val="003E654E"/>
    <w:rPr>
      <w:rFonts w:eastAsia="Calibri" w:cstheme="minorHAnsi"/>
      <w:b/>
      <w:spacing w:val="-2"/>
      <w:sz w:val="20"/>
    </w:rPr>
  </w:style>
  <w:style w:type="paragraph" w:styleId="TOC3">
    <w:name w:val="toc 3"/>
    <w:basedOn w:val="Normal"/>
    <w:next w:val="Normal"/>
    <w:autoRedefine/>
    <w:uiPriority w:val="39"/>
    <w:unhideWhenUsed/>
    <w:rsid w:val="006B5708"/>
    <w:pPr>
      <w:spacing w:after="100"/>
      <w:ind w:left="440"/>
    </w:pPr>
  </w:style>
  <w:style w:type="paragraph" w:styleId="BodyTextIndent">
    <w:name w:val="Body Text Indent"/>
    <w:basedOn w:val="Normal"/>
    <w:link w:val="BodyTextIndentChar"/>
    <w:uiPriority w:val="99"/>
    <w:semiHidden/>
    <w:unhideWhenUsed/>
    <w:rsid w:val="00557FEA"/>
    <w:pPr>
      <w:spacing w:after="120"/>
      <w:ind w:left="283"/>
    </w:pPr>
  </w:style>
  <w:style w:type="character" w:customStyle="1" w:styleId="BodyTextIndentChar">
    <w:name w:val="Body Text Indent Char"/>
    <w:basedOn w:val="DefaultParagraphFont"/>
    <w:link w:val="BodyTextIndent"/>
    <w:uiPriority w:val="99"/>
    <w:semiHidden/>
    <w:rsid w:val="00557FEA"/>
    <w:rPr>
      <w:rFonts w:ascii="Calibri" w:eastAsia="Calibri" w:hAnsi="Calibri" w:cs="Calibri"/>
    </w:rPr>
  </w:style>
  <w:style w:type="character" w:styleId="CommentReference">
    <w:name w:val="annotation reference"/>
    <w:basedOn w:val="DefaultParagraphFont"/>
    <w:uiPriority w:val="99"/>
    <w:semiHidden/>
    <w:unhideWhenUsed/>
    <w:rsid w:val="000654EE"/>
    <w:rPr>
      <w:sz w:val="16"/>
      <w:szCs w:val="16"/>
    </w:rPr>
  </w:style>
  <w:style w:type="paragraph" w:styleId="CommentText">
    <w:name w:val="annotation text"/>
    <w:basedOn w:val="Normal"/>
    <w:link w:val="CommentTextChar"/>
    <w:uiPriority w:val="99"/>
    <w:unhideWhenUsed/>
    <w:rsid w:val="000654EE"/>
    <w:rPr>
      <w:szCs w:val="20"/>
    </w:rPr>
  </w:style>
  <w:style w:type="character" w:customStyle="1" w:styleId="CommentTextChar">
    <w:name w:val="Comment Text Char"/>
    <w:basedOn w:val="DefaultParagraphFont"/>
    <w:link w:val="CommentText"/>
    <w:uiPriority w:val="99"/>
    <w:rsid w:val="000654E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654EE"/>
    <w:rPr>
      <w:b/>
      <w:bCs/>
    </w:rPr>
  </w:style>
  <w:style w:type="character" w:customStyle="1" w:styleId="CommentSubjectChar">
    <w:name w:val="Comment Subject Char"/>
    <w:basedOn w:val="CommentTextChar"/>
    <w:link w:val="CommentSubject"/>
    <w:uiPriority w:val="99"/>
    <w:semiHidden/>
    <w:rsid w:val="000654E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65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EE"/>
    <w:rPr>
      <w:rFonts w:ascii="Segoe UI" w:eastAsia="Calibri" w:hAnsi="Segoe UI" w:cs="Segoe UI"/>
      <w:sz w:val="18"/>
      <w:szCs w:val="18"/>
    </w:rPr>
  </w:style>
  <w:style w:type="paragraph" w:customStyle="1" w:styleId="Standard">
    <w:name w:val="Standard"/>
    <w:rsid w:val="00904396"/>
    <w:pPr>
      <w:widowControl/>
      <w:suppressAutoHyphens/>
      <w:autoSpaceDE/>
      <w:spacing w:after="200" w:line="276" w:lineRule="auto"/>
      <w:textAlignment w:val="baseline"/>
    </w:pPr>
    <w:rPr>
      <w:rFonts w:ascii="Calibri" w:eastAsia="Times New Roman" w:hAnsi="Calibri" w:cs="Calibri"/>
      <w:lang w:val="en-GB" w:eastAsia="zh-CN" w:bidi="hi-IN"/>
    </w:rPr>
  </w:style>
  <w:style w:type="paragraph" w:styleId="NormalWeb">
    <w:name w:val="Normal (Web)"/>
    <w:basedOn w:val="Normal"/>
    <w:uiPriority w:val="99"/>
    <w:unhideWhenUsed/>
    <w:rsid w:val="0090439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overflow-hidden">
    <w:name w:val="overflow-hidden"/>
    <w:basedOn w:val="DefaultParagraphFont"/>
    <w:rsid w:val="00904396"/>
  </w:style>
  <w:style w:type="character" w:customStyle="1" w:styleId="Heading4Char">
    <w:name w:val="Heading 4 Char"/>
    <w:basedOn w:val="DefaultParagraphFont"/>
    <w:link w:val="Heading4"/>
    <w:uiPriority w:val="9"/>
    <w:rsid w:val="00846570"/>
    <w:rPr>
      <w:rFonts w:eastAsiaTheme="majorEastAsia" w:cstheme="majorBidi"/>
      <w:b/>
      <w:iCs/>
      <w:sz w:val="20"/>
    </w:rPr>
  </w:style>
  <w:style w:type="character" w:customStyle="1" w:styleId="Heading5Char">
    <w:name w:val="Heading 5 Char"/>
    <w:basedOn w:val="DefaultParagraphFont"/>
    <w:link w:val="Heading5"/>
    <w:uiPriority w:val="9"/>
    <w:semiHidden/>
    <w:rsid w:val="00924831"/>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924831"/>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924831"/>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924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4831"/>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46570"/>
    <w:rPr>
      <w:b/>
      <w:bCs/>
    </w:rPr>
  </w:style>
  <w:style w:type="paragraph" w:customStyle="1" w:styleId="ChapterTitle">
    <w:name w:val="ChapterTitle"/>
    <w:basedOn w:val="Normal"/>
    <w:next w:val="Normal"/>
    <w:rsid w:val="00593CCF"/>
    <w:pPr>
      <w:keepNext/>
      <w:widowControl/>
      <w:autoSpaceDE/>
      <w:autoSpaceDN/>
      <w:spacing w:before="120" w:after="360"/>
      <w:jc w:val="center"/>
    </w:pPr>
    <w:rPr>
      <w:rFonts w:ascii="Times New Roman" w:hAnsi="Times New Roman" w:cs="Times New Roman"/>
      <w:b/>
      <w:sz w:val="32"/>
      <w:lang w:val="en-GB" w:eastAsia="fr-FR"/>
    </w:rPr>
  </w:style>
  <w:style w:type="paragraph" w:customStyle="1" w:styleId="SectionTitle">
    <w:name w:val="SectionTitle"/>
    <w:basedOn w:val="Normal"/>
    <w:next w:val="Heading1"/>
    <w:rsid w:val="00593CCF"/>
    <w:pPr>
      <w:keepNext/>
      <w:widowControl/>
      <w:autoSpaceDE/>
      <w:autoSpaceDN/>
      <w:spacing w:before="120" w:after="360"/>
      <w:jc w:val="center"/>
    </w:pPr>
    <w:rPr>
      <w:rFonts w:ascii="Times New Roman" w:hAnsi="Times New Roman" w:cs="Times New Roman"/>
      <w:b/>
      <w:smallCaps/>
      <w:sz w:val="28"/>
      <w:lang w:val="en-GB" w:eastAsia="fr-FR"/>
    </w:rPr>
  </w:style>
  <w:style w:type="paragraph" w:styleId="NoSpacing">
    <w:name w:val="No Spacing"/>
    <w:uiPriority w:val="1"/>
    <w:qFormat/>
    <w:rsid w:val="00E43213"/>
    <w:rPr>
      <w:rFonts w:ascii="Calibri" w:eastAsia="Calibri" w:hAnsi="Calibri" w:cs="Calibri"/>
    </w:rPr>
  </w:style>
  <w:style w:type="paragraph" w:styleId="Revision">
    <w:name w:val="Revision"/>
    <w:hidden/>
    <w:uiPriority w:val="99"/>
    <w:semiHidden/>
    <w:rsid w:val="009625E9"/>
    <w:pPr>
      <w:widowControl/>
      <w:autoSpaceDE/>
      <w:autoSpaceDN/>
    </w:pPr>
    <w:rPr>
      <w:rFonts w:ascii="Calibri" w:eastAsia="Calibri" w:hAnsi="Calibri" w:cs="Calibri"/>
    </w:rPr>
  </w:style>
  <w:style w:type="table" w:customStyle="1" w:styleId="9">
    <w:name w:val="9"/>
    <w:basedOn w:val="TableNormal"/>
    <w:rsid w:val="000C4785"/>
    <w:pPr>
      <w:autoSpaceDE/>
      <w:autoSpaceDN/>
    </w:pPr>
    <w:rPr>
      <w:rFonts w:ascii="Calibri" w:eastAsia="Calibri" w:hAnsi="Calibri" w:cs="Calibri"/>
      <w:sz w:val="20"/>
      <w:szCs w:val="20"/>
      <w:lang w:val="en-GB" w:eastAsia="en-GB"/>
    </w:r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3316CB"/>
    <w:rPr>
      <w:color w:val="605E5C"/>
      <w:shd w:val="clear" w:color="auto" w:fill="E1DFDD"/>
    </w:rPr>
  </w:style>
  <w:style w:type="character" w:customStyle="1" w:styleId="BodyTextChar">
    <w:name w:val="Body Text Char"/>
    <w:basedOn w:val="DefaultParagraphFont"/>
    <w:link w:val="BodyText"/>
    <w:uiPriority w:val="1"/>
    <w:rsid w:val="00421E2E"/>
    <w:rPr>
      <w:rFonts w:ascii="Calibri" w:eastAsia="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473">
      <w:bodyDiv w:val="1"/>
      <w:marLeft w:val="0"/>
      <w:marRight w:val="0"/>
      <w:marTop w:val="0"/>
      <w:marBottom w:val="0"/>
      <w:divBdr>
        <w:top w:val="none" w:sz="0" w:space="0" w:color="auto"/>
        <w:left w:val="none" w:sz="0" w:space="0" w:color="auto"/>
        <w:bottom w:val="none" w:sz="0" w:space="0" w:color="auto"/>
        <w:right w:val="none" w:sz="0" w:space="0" w:color="auto"/>
      </w:divBdr>
    </w:div>
    <w:div w:id="76294211">
      <w:bodyDiv w:val="1"/>
      <w:marLeft w:val="0"/>
      <w:marRight w:val="0"/>
      <w:marTop w:val="0"/>
      <w:marBottom w:val="0"/>
      <w:divBdr>
        <w:top w:val="none" w:sz="0" w:space="0" w:color="auto"/>
        <w:left w:val="none" w:sz="0" w:space="0" w:color="auto"/>
        <w:bottom w:val="none" w:sz="0" w:space="0" w:color="auto"/>
        <w:right w:val="none" w:sz="0" w:space="0" w:color="auto"/>
      </w:divBdr>
      <w:divsChild>
        <w:div w:id="935089133">
          <w:marLeft w:val="0"/>
          <w:marRight w:val="0"/>
          <w:marTop w:val="0"/>
          <w:marBottom w:val="0"/>
          <w:divBdr>
            <w:top w:val="none" w:sz="0" w:space="0" w:color="auto"/>
            <w:left w:val="none" w:sz="0" w:space="0" w:color="auto"/>
            <w:bottom w:val="none" w:sz="0" w:space="0" w:color="auto"/>
            <w:right w:val="none" w:sz="0" w:space="0" w:color="auto"/>
          </w:divBdr>
          <w:divsChild>
            <w:div w:id="1624114955">
              <w:marLeft w:val="0"/>
              <w:marRight w:val="0"/>
              <w:marTop w:val="0"/>
              <w:marBottom w:val="0"/>
              <w:divBdr>
                <w:top w:val="none" w:sz="0" w:space="0" w:color="auto"/>
                <w:left w:val="none" w:sz="0" w:space="0" w:color="auto"/>
                <w:bottom w:val="none" w:sz="0" w:space="0" w:color="auto"/>
                <w:right w:val="none" w:sz="0" w:space="0" w:color="auto"/>
              </w:divBdr>
              <w:divsChild>
                <w:div w:id="15927492">
                  <w:marLeft w:val="0"/>
                  <w:marRight w:val="0"/>
                  <w:marTop w:val="0"/>
                  <w:marBottom w:val="0"/>
                  <w:divBdr>
                    <w:top w:val="none" w:sz="0" w:space="0" w:color="auto"/>
                    <w:left w:val="none" w:sz="0" w:space="0" w:color="auto"/>
                    <w:bottom w:val="none" w:sz="0" w:space="0" w:color="auto"/>
                    <w:right w:val="none" w:sz="0" w:space="0" w:color="auto"/>
                  </w:divBdr>
                  <w:divsChild>
                    <w:div w:id="11873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00401">
          <w:marLeft w:val="0"/>
          <w:marRight w:val="0"/>
          <w:marTop w:val="0"/>
          <w:marBottom w:val="0"/>
          <w:divBdr>
            <w:top w:val="none" w:sz="0" w:space="0" w:color="auto"/>
            <w:left w:val="none" w:sz="0" w:space="0" w:color="auto"/>
            <w:bottom w:val="none" w:sz="0" w:space="0" w:color="auto"/>
            <w:right w:val="none" w:sz="0" w:space="0" w:color="auto"/>
          </w:divBdr>
          <w:divsChild>
            <w:div w:id="5331483">
              <w:marLeft w:val="0"/>
              <w:marRight w:val="0"/>
              <w:marTop w:val="0"/>
              <w:marBottom w:val="0"/>
              <w:divBdr>
                <w:top w:val="none" w:sz="0" w:space="0" w:color="auto"/>
                <w:left w:val="none" w:sz="0" w:space="0" w:color="auto"/>
                <w:bottom w:val="none" w:sz="0" w:space="0" w:color="auto"/>
                <w:right w:val="none" w:sz="0" w:space="0" w:color="auto"/>
              </w:divBdr>
              <w:divsChild>
                <w:div w:id="1988630927">
                  <w:marLeft w:val="0"/>
                  <w:marRight w:val="0"/>
                  <w:marTop w:val="0"/>
                  <w:marBottom w:val="0"/>
                  <w:divBdr>
                    <w:top w:val="none" w:sz="0" w:space="0" w:color="auto"/>
                    <w:left w:val="none" w:sz="0" w:space="0" w:color="auto"/>
                    <w:bottom w:val="none" w:sz="0" w:space="0" w:color="auto"/>
                    <w:right w:val="none" w:sz="0" w:space="0" w:color="auto"/>
                  </w:divBdr>
                  <w:divsChild>
                    <w:div w:id="10949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2853">
      <w:bodyDiv w:val="1"/>
      <w:marLeft w:val="0"/>
      <w:marRight w:val="0"/>
      <w:marTop w:val="0"/>
      <w:marBottom w:val="0"/>
      <w:divBdr>
        <w:top w:val="none" w:sz="0" w:space="0" w:color="auto"/>
        <w:left w:val="none" w:sz="0" w:space="0" w:color="auto"/>
        <w:bottom w:val="none" w:sz="0" w:space="0" w:color="auto"/>
        <w:right w:val="none" w:sz="0" w:space="0" w:color="auto"/>
      </w:divBdr>
    </w:div>
    <w:div w:id="201478785">
      <w:bodyDiv w:val="1"/>
      <w:marLeft w:val="0"/>
      <w:marRight w:val="0"/>
      <w:marTop w:val="0"/>
      <w:marBottom w:val="0"/>
      <w:divBdr>
        <w:top w:val="none" w:sz="0" w:space="0" w:color="auto"/>
        <w:left w:val="none" w:sz="0" w:space="0" w:color="auto"/>
        <w:bottom w:val="none" w:sz="0" w:space="0" w:color="auto"/>
        <w:right w:val="none" w:sz="0" w:space="0" w:color="auto"/>
      </w:divBdr>
    </w:div>
    <w:div w:id="225148051">
      <w:bodyDiv w:val="1"/>
      <w:marLeft w:val="0"/>
      <w:marRight w:val="0"/>
      <w:marTop w:val="0"/>
      <w:marBottom w:val="0"/>
      <w:divBdr>
        <w:top w:val="none" w:sz="0" w:space="0" w:color="auto"/>
        <w:left w:val="none" w:sz="0" w:space="0" w:color="auto"/>
        <w:bottom w:val="none" w:sz="0" w:space="0" w:color="auto"/>
        <w:right w:val="none" w:sz="0" w:space="0" w:color="auto"/>
      </w:divBdr>
    </w:div>
    <w:div w:id="226960552">
      <w:bodyDiv w:val="1"/>
      <w:marLeft w:val="0"/>
      <w:marRight w:val="0"/>
      <w:marTop w:val="0"/>
      <w:marBottom w:val="0"/>
      <w:divBdr>
        <w:top w:val="none" w:sz="0" w:space="0" w:color="auto"/>
        <w:left w:val="none" w:sz="0" w:space="0" w:color="auto"/>
        <w:bottom w:val="none" w:sz="0" w:space="0" w:color="auto"/>
        <w:right w:val="none" w:sz="0" w:space="0" w:color="auto"/>
      </w:divBdr>
    </w:div>
    <w:div w:id="233854775">
      <w:bodyDiv w:val="1"/>
      <w:marLeft w:val="0"/>
      <w:marRight w:val="0"/>
      <w:marTop w:val="0"/>
      <w:marBottom w:val="0"/>
      <w:divBdr>
        <w:top w:val="none" w:sz="0" w:space="0" w:color="auto"/>
        <w:left w:val="none" w:sz="0" w:space="0" w:color="auto"/>
        <w:bottom w:val="none" w:sz="0" w:space="0" w:color="auto"/>
        <w:right w:val="none" w:sz="0" w:space="0" w:color="auto"/>
      </w:divBdr>
    </w:div>
    <w:div w:id="391076045">
      <w:bodyDiv w:val="1"/>
      <w:marLeft w:val="0"/>
      <w:marRight w:val="0"/>
      <w:marTop w:val="0"/>
      <w:marBottom w:val="0"/>
      <w:divBdr>
        <w:top w:val="none" w:sz="0" w:space="0" w:color="auto"/>
        <w:left w:val="none" w:sz="0" w:space="0" w:color="auto"/>
        <w:bottom w:val="none" w:sz="0" w:space="0" w:color="auto"/>
        <w:right w:val="none" w:sz="0" w:space="0" w:color="auto"/>
      </w:divBdr>
    </w:div>
    <w:div w:id="628168423">
      <w:bodyDiv w:val="1"/>
      <w:marLeft w:val="0"/>
      <w:marRight w:val="0"/>
      <w:marTop w:val="0"/>
      <w:marBottom w:val="0"/>
      <w:divBdr>
        <w:top w:val="none" w:sz="0" w:space="0" w:color="auto"/>
        <w:left w:val="none" w:sz="0" w:space="0" w:color="auto"/>
        <w:bottom w:val="none" w:sz="0" w:space="0" w:color="auto"/>
        <w:right w:val="none" w:sz="0" w:space="0" w:color="auto"/>
      </w:divBdr>
    </w:div>
    <w:div w:id="661617105">
      <w:bodyDiv w:val="1"/>
      <w:marLeft w:val="0"/>
      <w:marRight w:val="0"/>
      <w:marTop w:val="0"/>
      <w:marBottom w:val="0"/>
      <w:divBdr>
        <w:top w:val="none" w:sz="0" w:space="0" w:color="auto"/>
        <w:left w:val="none" w:sz="0" w:space="0" w:color="auto"/>
        <w:bottom w:val="none" w:sz="0" w:space="0" w:color="auto"/>
        <w:right w:val="none" w:sz="0" w:space="0" w:color="auto"/>
      </w:divBdr>
    </w:div>
    <w:div w:id="764303755">
      <w:bodyDiv w:val="1"/>
      <w:marLeft w:val="0"/>
      <w:marRight w:val="0"/>
      <w:marTop w:val="0"/>
      <w:marBottom w:val="0"/>
      <w:divBdr>
        <w:top w:val="none" w:sz="0" w:space="0" w:color="auto"/>
        <w:left w:val="none" w:sz="0" w:space="0" w:color="auto"/>
        <w:bottom w:val="none" w:sz="0" w:space="0" w:color="auto"/>
        <w:right w:val="none" w:sz="0" w:space="0" w:color="auto"/>
      </w:divBdr>
    </w:div>
    <w:div w:id="850685110">
      <w:bodyDiv w:val="1"/>
      <w:marLeft w:val="0"/>
      <w:marRight w:val="0"/>
      <w:marTop w:val="0"/>
      <w:marBottom w:val="0"/>
      <w:divBdr>
        <w:top w:val="none" w:sz="0" w:space="0" w:color="auto"/>
        <w:left w:val="none" w:sz="0" w:space="0" w:color="auto"/>
        <w:bottom w:val="none" w:sz="0" w:space="0" w:color="auto"/>
        <w:right w:val="none" w:sz="0" w:space="0" w:color="auto"/>
      </w:divBdr>
    </w:div>
    <w:div w:id="912618535">
      <w:bodyDiv w:val="1"/>
      <w:marLeft w:val="0"/>
      <w:marRight w:val="0"/>
      <w:marTop w:val="0"/>
      <w:marBottom w:val="0"/>
      <w:divBdr>
        <w:top w:val="none" w:sz="0" w:space="0" w:color="auto"/>
        <w:left w:val="none" w:sz="0" w:space="0" w:color="auto"/>
        <w:bottom w:val="none" w:sz="0" w:space="0" w:color="auto"/>
        <w:right w:val="none" w:sz="0" w:space="0" w:color="auto"/>
      </w:divBdr>
    </w:div>
    <w:div w:id="922758569">
      <w:bodyDiv w:val="1"/>
      <w:marLeft w:val="0"/>
      <w:marRight w:val="0"/>
      <w:marTop w:val="0"/>
      <w:marBottom w:val="0"/>
      <w:divBdr>
        <w:top w:val="none" w:sz="0" w:space="0" w:color="auto"/>
        <w:left w:val="none" w:sz="0" w:space="0" w:color="auto"/>
        <w:bottom w:val="none" w:sz="0" w:space="0" w:color="auto"/>
        <w:right w:val="none" w:sz="0" w:space="0" w:color="auto"/>
      </w:divBdr>
    </w:div>
    <w:div w:id="948972680">
      <w:bodyDiv w:val="1"/>
      <w:marLeft w:val="0"/>
      <w:marRight w:val="0"/>
      <w:marTop w:val="0"/>
      <w:marBottom w:val="0"/>
      <w:divBdr>
        <w:top w:val="none" w:sz="0" w:space="0" w:color="auto"/>
        <w:left w:val="none" w:sz="0" w:space="0" w:color="auto"/>
        <w:bottom w:val="none" w:sz="0" w:space="0" w:color="auto"/>
        <w:right w:val="none" w:sz="0" w:space="0" w:color="auto"/>
      </w:divBdr>
    </w:div>
    <w:div w:id="959653955">
      <w:bodyDiv w:val="1"/>
      <w:marLeft w:val="0"/>
      <w:marRight w:val="0"/>
      <w:marTop w:val="0"/>
      <w:marBottom w:val="0"/>
      <w:divBdr>
        <w:top w:val="none" w:sz="0" w:space="0" w:color="auto"/>
        <w:left w:val="none" w:sz="0" w:space="0" w:color="auto"/>
        <w:bottom w:val="none" w:sz="0" w:space="0" w:color="auto"/>
        <w:right w:val="none" w:sz="0" w:space="0" w:color="auto"/>
      </w:divBdr>
    </w:div>
    <w:div w:id="977227256">
      <w:bodyDiv w:val="1"/>
      <w:marLeft w:val="0"/>
      <w:marRight w:val="0"/>
      <w:marTop w:val="0"/>
      <w:marBottom w:val="0"/>
      <w:divBdr>
        <w:top w:val="none" w:sz="0" w:space="0" w:color="auto"/>
        <w:left w:val="none" w:sz="0" w:space="0" w:color="auto"/>
        <w:bottom w:val="none" w:sz="0" w:space="0" w:color="auto"/>
        <w:right w:val="none" w:sz="0" w:space="0" w:color="auto"/>
      </w:divBdr>
    </w:div>
    <w:div w:id="1036275115">
      <w:bodyDiv w:val="1"/>
      <w:marLeft w:val="0"/>
      <w:marRight w:val="0"/>
      <w:marTop w:val="0"/>
      <w:marBottom w:val="0"/>
      <w:divBdr>
        <w:top w:val="none" w:sz="0" w:space="0" w:color="auto"/>
        <w:left w:val="none" w:sz="0" w:space="0" w:color="auto"/>
        <w:bottom w:val="none" w:sz="0" w:space="0" w:color="auto"/>
        <w:right w:val="none" w:sz="0" w:space="0" w:color="auto"/>
      </w:divBdr>
    </w:div>
    <w:div w:id="1056510906">
      <w:bodyDiv w:val="1"/>
      <w:marLeft w:val="0"/>
      <w:marRight w:val="0"/>
      <w:marTop w:val="0"/>
      <w:marBottom w:val="0"/>
      <w:divBdr>
        <w:top w:val="none" w:sz="0" w:space="0" w:color="auto"/>
        <w:left w:val="none" w:sz="0" w:space="0" w:color="auto"/>
        <w:bottom w:val="none" w:sz="0" w:space="0" w:color="auto"/>
        <w:right w:val="none" w:sz="0" w:space="0" w:color="auto"/>
      </w:divBdr>
    </w:div>
    <w:div w:id="1215193786">
      <w:bodyDiv w:val="1"/>
      <w:marLeft w:val="0"/>
      <w:marRight w:val="0"/>
      <w:marTop w:val="0"/>
      <w:marBottom w:val="0"/>
      <w:divBdr>
        <w:top w:val="none" w:sz="0" w:space="0" w:color="auto"/>
        <w:left w:val="none" w:sz="0" w:space="0" w:color="auto"/>
        <w:bottom w:val="none" w:sz="0" w:space="0" w:color="auto"/>
        <w:right w:val="none" w:sz="0" w:space="0" w:color="auto"/>
      </w:divBdr>
      <w:divsChild>
        <w:div w:id="1116756063">
          <w:marLeft w:val="0"/>
          <w:marRight w:val="0"/>
          <w:marTop w:val="0"/>
          <w:marBottom w:val="0"/>
          <w:divBdr>
            <w:top w:val="none" w:sz="0" w:space="0" w:color="auto"/>
            <w:left w:val="none" w:sz="0" w:space="0" w:color="auto"/>
            <w:bottom w:val="none" w:sz="0" w:space="0" w:color="auto"/>
            <w:right w:val="none" w:sz="0" w:space="0" w:color="auto"/>
          </w:divBdr>
          <w:divsChild>
            <w:div w:id="1080297641">
              <w:marLeft w:val="0"/>
              <w:marRight w:val="0"/>
              <w:marTop w:val="0"/>
              <w:marBottom w:val="0"/>
              <w:divBdr>
                <w:top w:val="none" w:sz="0" w:space="0" w:color="auto"/>
                <w:left w:val="none" w:sz="0" w:space="0" w:color="auto"/>
                <w:bottom w:val="none" w:sz="0" w:space="0" w:color="auto"/>
                <w:right w:val="none" w:sz="0" w:space="0" w:color="auto"/>
              </w:divBdr>
              <w:divsChild>
                <w:div w:id="234901973">
                  <w:marLeft w:val="0"/>
                  <w:marRight w:val="0"/>
                  <w:marTop w:val="0"/>
                  <w:marBottom w:val="0"/>
                  <w:divBdr>
                    <w:top w:val="none" w:sz="0" w:space="0" w:color="auto"/>
                    <w:left w:val="none" w:sz="0" w:space="0" w:color="auto"/>
                    <w:bottom w:val="none" w:sz="0" w:space="0" w:color="auto"/>
                    <w:right w:val="none" w:sz="0" w:space="0" w:color="auto"/>
                  </w:divBdr>
                  <w:divsChild>
                    <w:div w:id="451362187">
                      <w:marLeft w:val="0"/>
                      <w:marRight w:val="0"/>
                      <w:marTop w:val="0"/>
                      <w:marBottom w:val="0"/>
                      <w:divBdr>
                        <w:top w:val="none" w:sz="0" w:space="0" w:color="auto"/>
                        <w:left w:val="none" w:sz="0" w:space="0" w:color="auto"/>
                        <w:bottom w:val="none" w:sz="0" w:space="0" w:color="auto"/>
                        <w:right w:val="none" w:sz="0" w:space="0" w:color="auto"/>
                      </w:divBdr>
                      <w:divsChild>
                        <w:div w:id="1497843454">
                          <w:marLeft w:val="0"/>
                          <w:marRight w:val="0"/>
                          <w:marTop w:val="0"/>
                          <w:marBottom w:val="0"/>
                          <w:divBdr>
                            <w:top w:val="none" w:sz="0" w:space="0" w:color="auto"/>
                            <w:left w:val="none" w:sz="0" w:space="0" w:color="auto"/>
                            <w:bottom w:val="none" w:sz="0" w:space="0" w:color="auto"/>
                            <w:right w:val="none" w:sz="0" w:space="0" w:color="auto"/>
                          </w:divBdr>
                          <w:divsChild>
                            <w:div w:id="21461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89240">
                  <w:marLeft w:val="0"/>
                  <w:marRight w:val="0"/>
                  <w:marTop w:val="0"/>
                  <w:marBottom w:val="0"/>
                  <w:divBdr>
                    <w:top w:val="none" w:sz="0" w:space="0" w:color="auto"/>
                    <w:left w:val="none" w:sz="0" w:space="0" w:color="auto"/>
                    <w:bottom w:val="none" w:sz="0" w:space="0" w:color="auto"/>
                    <w:right w:val="none" w:sz="0" w:space="0" w:color="auto"/>
                  </w:divBdr>
                  <w:divsChild>
                    <w:div w:id="21459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77659">
      <w:bodyDiv w:val="1"/>
      <w:marLeft w:val="0"/>
      <w:marRight w:val="0"/>
      <w:marTop w:val="0"/>
      <w:marBottom w:val="0"/>
      <w:divBdr>
        <w:top w:val="none" w:sz="0" w:space="0" w:color="auto"/>
        <w:left w:val="none" w:sz="0" w:space="0" w:color="auto"/>
        <w:bottom w:val="none" w:sz="0" w:space="0" w:color="auto"/>
        <w:right w:val="none" w:sz="0" w:space="0" w:color="auto"/>
      </w:divBdr>
    </w:div>
    <w:div w:id="1269043897">
      <w:bodyDiv w:val="1"/>
      <w:marLeft w:val="0"/>
      <w:marRight w:val="0"/>
      <w:marTop w:val="0"/>
      <w:marBottom w:val="0"/>
      <w:divBdr>
        <w:top w:val="none" w:sz="0" w:space="0" w:color="auto"/>
        <w:left w:val="none" w:sz="0" w:space="0" w:color="auto"/>
        <w:bottom w:val="none" w:sz="0" w:space="0" w:color="auto"/>
        <w:right w:val="none" w:sz="0" w:space="0" w:color="auto"/>
      </w:divBdr>
    </w:div>
    <w:div w:id="1277441004">
      <w:bodyDiv w:val="1"/>
      <w:marLeft w:val="0"/>
      <w:marRight w:val="0"/>
      <w:marTop w:val="0"/>
      <w:marBottom w:val="0"/>
      <w:divBdr>
        <w:top w:val="none" w:sz="0" w:space="0" w:color="auto"/>
        <w:left w:val="none" w:sz="0" w:space="0" w:color="auto"/>
        <w:bottom w:val="none" w:sz="0" w:space="0" w:color="auto"/>
        <w:right w:val="none" w:sz="0" w:space="0" w:color="auto"/>
      </w:divBdr>
    </w:div>
    <w:div w:id="1297492262">
      <w:bodyDiv w:val="1"/>
      <w:marLeft w:val="0"/>
      <w:marRight w:val="0"/>
      <w:marTop w:val="0"/>
      <w:marBottom w:val="0"/>
      <w:divBdr>
        <w:top w:val="none" w:sz="0" w:space="0" w:color="auto"/>
        <w:left w:val="none" w:sz="0" w:space="0" w:color="auto"/>
        <w:bottom w:val="none" w:sz="0" w:space="0" w:color="auto"/>
        <w:right w:val="none" w:sz="0" w:space="0" w:color="auto"/>
      </w:divBdr>
    </w:div>
    <w:div w:id="1336226238">
      <w:bodyDiv w:val="1"/>
      <w:marLeft w:val="0"/>
      <w:marRight w:val="0"/>
      <w:marTop w:val="0"/>
      <w:marBottom w:val="0"/>
      <w:divBdr>
        <w:top w:val="none" w:sz="0" w:space="0" w:color="auto"/>
        <w:left w:val="none" w:sz="0" w:space="0" w:color="auto"/>
        <w:bottom w:val="none" w:sz="0" w:space="0" w:color="auto"/>
        <w:right w:val="none" w:sz="0" w:space="0" w:color="auto"/>
      </w:divBdr>
    </w:div>
    <w:div w:id="1370951728">
      <w:bodyDiv w:val="1"/>
      <w:marLeft w:val="0"/>
      <w:marRight w:val="0"/>
      <w:marTop w:val="0"/>
      <w:marBottom w:val="0"/>
      <w:divBdr>
        <w:top w:val="none" w:sz="0" w:space="0" w:color="auto"/>
        <w:left w:val="none" w:sz="0" w:space="0" w:color="auto"/>
        <w:bottom w:val="none" w:sz="0" w:space="0" w:color="auto"/>
        <w:right w:val="none" w:sz="0" w:space="0" w:color="auto"/>
      </w:divBdr>
    </w:div>
    <w:div w:id="1483886389">
      <w:bodyDiv w:val="1"/>
      <w:marLeft w:val="0"/>
      <w:marRight w:val="0"/>
      <w:marTop w:val="0"/>
      <w:marBottom w:val="0"/>
      <w:divBdr>
        <w:top w:val="none" w:sz="0" w:space="0" w:color="auto"/>
        <w:left w:val="none" w:sz="0" w:space="0" w:color="auto"/>
        <w:bottom w:val="none" w:sz="0" w:space="0" w:color="auto"/>
        <w:right w:val="none" w:sz="0" w:space="0" w:color="auto"/>
      </w:divBdr>
    </w:div>
    <w:div w:id="1649478685">
      <w:bodyDiv w:val="1"/>
      <w:marLeft w:val="0"/>
      <w:marRight w:val="0"/>
      <w:marTop w:val="0"/>
      <w:marBottom w:val="0"/>
      <w:divBdr>
        <w:top w:val="none" w:sz="0" w:space="0" w:color="auto"/>
        <w:left w:val="none" w:sz="0" w:space="0" w:color="auto"/>
        <w:bottom w:val="none" w:sz="0" w:space="0" w:color="auto"/>
        <w:right w:val="none" w:sz="0" w:space="0" w:color="auto"/>
      </w:divBdr>
    </w:div>
    <w:div w:id="1721399831">
      <w:bodyDiv w:val="1"/>
      <w:marLeft w:val="0"/>
      <w:marRight w:val="0"/>
      <w:marTop w:val="0"/>
      <w:marBottom w:val="0"/>
      <w:divBdr>
        <w:top w:val="none" w:sz="0" w:space="0" w:color="auto"/>
        <w:left w:val="none" w:sz="0" w:space="0" w:color="auto"/>
        <w:bottom w:val="none" w:sz="0" w:space="0" w:color="auto"/>
        <w:right w:val="none" w:sz="0" w:space="0" w:color="auto"/>
      </w:divBdr>
    </w:div>
    <w:div w:id="1744520017">
      <w:bodyDiv w:val="1"/>
      <w:marLeft w:val="0"/>
      <w:marRight w:val="0"/>
      <w:marTop w:val="0"/>
      <w:marBottom w:val="0"/>
      <w:divBdr>
        <w:top w:val="none" w:sz="0" w:space="0" w:color="auto"/>
        <w:left w:val="none" w:sz="0" w:space="0" w:color="auto"/>
        <w:bottom w:val="none" w:sz="0" w:space="0" w:color="auto"/>
        <w:right w:val="none" w:sz="0" w:space="0" w:color="auto"/>
      </w:divBdr>
    </w:div>
    <w:div w:id="1765151969">
      <w:bodyDiv w:val="1"/>
      <w:marLeft w:val="0"/>
      <w:marRight w:val="0"/>
      <w:marTop w:val="0"/>
      <w:marBottom w:val="0"/>
      <w:divBdr>
        <w:top w:val="none" w:sz="0" w:space="0" w:color="auto"/>
        <w:left w:val="none" w:sz="0" w:space="0" w:color="auto"/>
        <w:bottom w:val="none" w:sz="0" w:space="0" w:color="auto"/>
        <w:right w:val="none" w:sz="0" w:space="0" w:color="auto"/>
      </w:divBdr>
    </w:div>
    <w:div w:id="1767917655">
      <w:bodyDiv w:val="1"/>
      <w:marLeft w:val="0"/>
      <w:marRight w:val="0"/>
      <w:marTop w:val="0"/>
      <w:marBottom w:val="0"/>
      <w:divBdr>
        <w:top w:val="none" w:sz="0" w:space="0" w:color="auto"/>
        <w:left w:val="none" w:sz="0" w:space="0" w:color="auto"/>
        <w:bottom w:val="none" w:sz="0" w:space="0" w:color="auto"/>
        <w:right w:val="none" w:sz="0" w:space="0" w:color="auto"/>
      </w:divBdr>
    </w:div>
    <w:div w:id="1798180173">
      <w:bodyDiv w:val="1"/>
      <w:marLeft w:val="0"/>
      <w:marRight w:val="0"/>
      <w:marTop w:val="0"/>
      <w:marBottom w:val="0"/>
      <w:divBdr>
        <w:top w:val="none" w:sz="0" w:space="0" w:color="auto"/>
        <w:left w:val="none" w:sz="0" w:space="0" w:color="auto"/>
        <w:bottom w:val="none" w:sz="0" w:space="0" w:color="auto"/>
        <w:right w:val="none" w:sz="0" w:space="0" w:color="auto"/>
      </w:divBdr>
    </w:div>
    <w:div w:id="1808355294">
      <w:bodyDiv w:val="1"/>
      <w:marLeft w:val="0"/>
      <w:marRight w:val="0"/>
      <w:marTop w:val="0"/>
      <w:marBottom w:val="0"/>
      <w:divBdr>
        <w:top w:val="none" w:sz="0" w:space="0" w:color="auto"/>
        <w:left w:val="none" w:sz="0" w:space="0" w:color="auto"/>
        <w:bottom w:val="none" w:sz="0" w:space="0" w:color="auto"/>
        <w:right w:val="none" w:sz="0" w:space="0" w:color="auto"/>
      </w:divBdr>
    </w:div>
    <w:div w:id="1819300229">
      <w:bodyDiv w:val="1"/>
      <w:marLeft w:val="0"/>
      <w:marRight w:val="0"/>
      <w:marTop w:val="0"/>
      <w:marBottom w:val="0"/>
      <w:divBdr>
        <w:top w:val="none" w:sz="0" w:space="0" w:color="auto"/>
        <w:left w:val="none" w:sz="0" w:space="0" w:color="auto"/>
        <w:bottom w:val="none" w:sz="0" w:space="0" w:color="auto"/>
        <w:right w:val="none" w:sz="0" w:space="0" w:color="auto"/>
      </w:divBdr>
    </w:div>
    <w:div w:id="1884246908">
      <w:bodyDiv w:val="1"/>
      <w:marLeft w:val="0"/>
      <w:marRight w:val="0"/>
      <w:marTop w:val="0"/>
      <w:marBottom w:val="0"/>
      <w:divBdr>
        <w:top w:val="none" w:sz="0" w:space="0" w:color="auto"/>
        <w:left w:val="none" w:sz="0" w:space="0" w:color="auto"/>
        <w:bottom w:val="none" w:sz="0" w:space="0" w:color="auto"/>
        <w:right w:val="none" w:sz="0" w:space="0" w:color="auto"/>
      </w:divBdr>
    </w:div>
    <w:div w:id="1884823915">
      <w:bodyDiv w:val="1"/>
      <w:marLeft w:val="0"/>
      <w:marRight w:val="0"/>
      <w:marTop w:val="0"/>
      <w:marBottom w:val="0"/>
      <w:divBdr>
        <w:top w:val="none" w:sz="0" w:space="0" w:color="auto"/>
        <w:left w:val="none" w:sz="0" w:space="0" w:color="auto"/>
        <w:bottom w:val="none" w:sz="0" w:space="0" w:color="auto"/>
        <w:right w:val="none" w:sz="0" w:space="0" w:color="auto"/>
      </w:divBdr>
    </w:div>
    <w:div w:id="1903443181">
      <w:bodyDiv w:val="1"/>
      <w:marLeft w:val="0"/>
      <w:marRight w:val="0"/>
      <w:marTop w:val="0"/>
      <w:marBottom w:val="0"/>
      <w:divBdr>
        <w:top w:val="none" w:sz="0" w:space="0" w:color="auto"/>
        <w:left w:val="none" w:sz="0" w:space="0" w:color="auto"/>
        <w:bottom w:val="none" w:sz="0" w:space="0" w:color="auto"/>
        <w:right w:val="none" w:sz="0" w:space="0" w:color="auto"/>
      </w:divBdr>
    </w:div>
    <w:div w:id="1908152842">
      <w:bodyDiv w:val="1"/>
      <w:marLeft w:val="0"/>
      <w:marRight w:val="0"/>
      <w:marTop w:val="0"/>
      <w:marBottom w:val="0"/>
      <w:divBdr>
        <w:top w:val="none" w:sz="0" w:space="0" w:color="auto"/>
        <w:left w:val="none" w:sz="0" w:space="0" w:color="auto"/>
        <w:bottom w:val="none" w:sz="0" w:space="0" w:color="auto"/>
        <w:right w:val="none" w:sz="0" w:space="0" w:color="auto"/>
      </w:divBdr>
    </w:div>
    <w:div w:id="2066567596">
      <w:bodyDiv w:val="1"/>
      <w:marLeft w:val="0"/>
      <w:marRight w:val="0"/>
      <w:marTop w:val="0"/>
      <w:marBottom w:val="0"/>
      <w:divBdr>
        <w:top w:val="none" w:sz="0" w:space="0" w:color="auto"/>
        <w:left w:val="none" w:sz="0" w:space="0" w:color="auto"/>
        <w:bottom w:val="none" w:sz="0" w:space="0" w:color="auto"/>
        <w:right w:val="none" w:sz="0" w:space="0" w:color="auto"/>
      </w:divBdr>
    </w:div>
    <w:div w:id="2079554926">
      <w:bodyDiv w:val="1"/>
      <w:marLeft w:val="0"/>
      <w:marRight w:val="0"/>
      <w:marTop w:val="0"/>
      <w:marBottom w:val="0"/>
      <w:divBdr>
        <w:top w:val="none" w:sz="0" w:space="0" w:color="auto"/>
        <w:left w:val="none" w:sz="0" w:space="0" w:color="auto"/>
        <w:bottom w:val="none" w:sz="0" w:space="0" w:color="auto"/>
        <w:right w:val="none" w:sz="0" w:space="0" w:color="auto"/>
      </w:divBdr>
    </w:div>
    <w:div w:id="2118258772">
      <w:bodyDiv w:val="1"/>
      <w:marLeft w:val="0"/>
      <w:marRight w:val="0"/>
      <w:marTop w:val="0"/>
      <w:marBottom w:val="0"/>
      <w:divBdr>
        <w:top w:val="none" w:sz="0" w:space="0" w:color="auto"/>
        <w:left w:val="none" w:sz="0" w:space="0" w:color="auto"/>
        <w:bottom w:val="none" w:sz="0" w:space="0" w:color="auto"/>
        <w:right w:val="none" w:sz="0" w:space="0" w:color="auto"/>
      </w:divBdr>
    </w:div>
    <w:div w:id="2135979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engagementhe.net-positive.org/"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procurement@uwtsd.ac.uk" TargetMode="External"/><Relationship Id="rId4" Type="http://schemas.openxmlformats.org/officeDocument/2006/relationships/settings" Target="settings.xml"/><Relationship Id="rId9" Type="http://schemas.openxmlformats.org/officeDocument/2006/relationships/hyperlink" Target="mailto:procurement@pcydds.ac.uk"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3A2F9-E78A-4BB6-9EA2-EA25B56E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5265</Words>
  <Characters>30014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2025-08-11T11:53:00Z</dcterms:created>
  <dcterms:modified xsi:type="dcterms:W3CDTF">2025-08-11T14:20:00Z</dcterms:modified>
</cp:coreProperties>
</file>