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A535" w14:textId="1BE8DFDF" w:rsidR="00AD73D3" w:rsidRPr="00AD73D3" w:rsidRDefault="006135C7" w:rsidP="00AD73D3">
      <w:pPr>
        <w:pStyle w:val="Title"/>
      </w:pPr>
      <w:r>
        <w:rPr>
          <w:noProof/>
        </w:rPr>
        <mc:AlternateContent>
          <mc:Choice Requires="wps">
            <w:drawing>
              <wp:anchor distT="45720" distB="45720" distL="114300" distR="114300" simplePos="0" relativeHeight="251669504" behindDoc="0" locked="0" layoutInCell="1" allowOverlap="1" wp14:anchorId="0E7CC2CB" wp14:editId="70190EDA">
                <wp:simplePos x="0" y="0"/>
                <wp:positionH relativeFrom="margin">
                  <wp:align>left</wp:align>
                </wp:positionH>
                <wp:positionV relativeFrom="paragraph">
                  <wp:posOffset>7369810</wp:posOffset>
                </wp:positionV>
                <wp:extent cx="3552825" cy="1400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0175"/>
                        </a:xfrm>
                        <a:prstGeom prst="rect">
                          <a:avLst/>
                        </a:prstGeom>
                        <a:solidFill>
                          <a:schemeClr val="accent2"/>
                        </a:solidFill>
                        <a:ln w="9525">
                          <a:noFill/>
                          <a:miter lim="800000"/>
                          <a:headEnd/>
                          <a:tailEnd/>
                        </a:ln>
                      </wps:spPr>
                      <wps:txbx>
                        <w:txbxContent>
                          <w:p w14:paraId="6CFE17E7"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Documents comprising this tender:</w:t>
                            </w:r>
                          </w:p>
                          <w:p w14:paraId="60192E56" w14:textId="503BBCA8" w:rsidR="00AE5DA9" w:rsidRPr="00E46218" w:rsidRDefault="00AE5DA9" w:rsidP="00AE5DA9">
                            <w:pPr>
                              <w:pStyle w:val="Heading2"/>
                              <w:rPr>
                                <w:color w:val="FFFFFF" w:themeColor="background1"/>
                                <w:sz w:val="20"/>
                                <w:szCs w:val="20"/>
                              </w:rPr>
                            </w:pPr>
                            <w:r w:rsidRPr="00E46218">
                              <w:rPr>
                                <w:color w:val="FFFFFF" w:themeColor="background1"/>
                                <w:sz w:val="20"/>
                                <w:szCs w:val="20"/>
                              </w:rPr>
                              <w:t xml:space="preserve">Section 1:  </w:t>
                            </w:r>
                            <w:r w:rsidR="00E46218" w:rsidRPr="00E46218">
                              <w:rPr>
                                <w:color w:val="FFFFFF" w:themeColor="background1"/>
                                <w:sz w:val="20"/>
                                <w:szCs w:val="20"/>
                              </w:rPr>
                              <w:tab/>
                            </w:r>
                            <w:r w:rsidRPr="00E46218">
                              <w:rPr>
                                <w:color w:val="FFFFFF" w:themeColor="background1"/>
                                <w:sz w:val="20"/>
                                <w:szCs w:val="20"/>
                              </w:rPr>
                              <w:t>Introduction</w:t>
                            </w:r>
                          </w:p>
                          <w:p w14:paraId="41137721"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2:</w:t>
                            </w:r>
                            <w:r w:rsidRPr="00E46218">
                              <w:rPr>
                                <w:color w:val="FFFFFF" w:themeColor="background1"/>
                                <w:sz w:val="20"/>
                                <w:szCs w:val="20"/>
                              </w:rPr>
                              <w:tab/>
                              <w:t>Information and Instructions</w:t>
                            </w:r>
                          </w:p>
                          <w:p w14:paraId="22CDF752"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3:</w:t>
                            </w:r>
                            <w:r w:rsidRPr="00E46218">
                              <w:rPr>
                                <w:color w:val="FFFFFF" w:themeColor="background1"/>
                                <w:sz w:val="20"/>
                                <w:szCs w:val="20"/>
                              </w:rPr>
                              <w:tab/>
                              <w:t>Conditions of Tender</w:t>
                            </w:r>
                          </w:p>
                          <w:p w14:paraId="5295BF75"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4:</w:t>
                            </w:r>
                            <w:r w:rsidRPr="00E46218">
                              <w:rPr>
                                <w:color w:val="FFFFFF" w:themeColor="background1"/>
                                <w:sz w:val="20"/>
                                <w:szCs w:val="20"/>
                              </w:rPr>
                              <w:tab/>
                              <w:t>Requirement Details &amp; Response</w:t>
                            </w:r>
                          </w:p>
                          <w:p w14:paraId="73968BB0" w14:textId="3D718CC2" w:rsidR="00AE5DA9" w:rsidRPr="00AE5DA9" w:rsidRDefault="00AE5DA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CC2CB" id="_x0000_t202" coordsize="21600,21600" o:spt="202" path="m,l,21600r21600,l21600,xe">
                <v:stroke joinstyle="miter"/>
                <v:path gradientshapeok="t" o:connecttype="rect"/>
              </v:shapetype>
              <v:shape id="Text Box 2" o:spid="_x0000_s1026" type="#_x0000_t202" style="position:absolute;margin-left:0;margin-top:580.3pt;width:279.75pt;height:110.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" fillcolor="#174963 [3205]" stroked="f">
                <v:textbox>
                  <w:txbxContent>
                    <w:p w14:paraId="6CFE17E7"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Documents comprising this tender:</w:t>
                      </w:r>
                    </w:p>
                    <w:p w14:paraId="60192E56" w14:textId="503BBCA8" w:rsidR="00AE5DA9" w:rsidRPr="00E46218" w:rsidRDefault="00AE5DA9" w:rsidP="00AE5DA9">
                      <w:pPr>
                        <w:pStyle w:val="Heading2"/>
                        <w:rPr>
                          <w:color w:val="FFFFFF" w:themeColor="background1"/>
                          <w:sz w:val="20"/>
                          <w:szCs w:val="20"/>
                        </w:rPr>
                      </w:pPr>
                      <w:r w:rsidRPr="00E46218">
                        <w:rPr>
                          <w:color w:val="FFFFFF" w:themeColor="background1"/>
                          <w:sz w:val="20"/>
                          <w:szCs w:val="20"/>
                        </w:rPr>
                        <w:t xml:space="preserve">Section 1:  </w:t>
                      </w:r>
                      <w:r w:rsidR="00E46218" w:rsidRPr="00E46218">
                        <w:rPr>
                          <w:color w:val="FFFFFF" w:themeColor="background1"/>
                          <w:sz w:val="20"/>
                          <w:szCs w:val="20"/>
                        </w:rPr>
                        <w:tab/>
                      </w:r>
                      <w:r w:rsidRPr="00E46218">
                        <w:rPr>
                          <w:color w:val="FFFFFF" w:themeColor="background1"/>
                          <w:sz w:val="20"/>
                          <w:szCs w:val="20"/>
                        </w:rPr>
                        <w:t>Introduction</w:t>
                      </w:r>
                    </w:p>
                    <w:p w14:paraId="41137721"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2:</w:t>
                      </w:r>
                      <w:r w:rsidRPr="00E46218">
                        <w:rPr>
                          <w:color w:val="FFFFFF" w:themeColor="background1"/>
                          <w:sz w:val="20"/>
                          <w:szCs w:val="20"/>
                        </w:rPr>
                        <w:tab/>
                        <w:t>Information and Instructions</w:t>
                      </w:r>
                    </w:p>
                    <w:p w14:paraId="22CDF752"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3:</w:t>
                      </w:r>
                      <w:r w:rsidRPr="00E46218">
                        <w:rPr>
                          <w:color w:val="FFFFFF" w:themeColor="background1"/>
                          <w:sz w:val="20"/>
                          <w:szCs w:val="20"/>
                        </w:rPr>
                        <w:tab/>
                        <w:t>Conditions of Tender</w:t>
                      </w:r>
                    </w:p>
                    <w:p w14:paraId="5295BF75" w14:textId="77777777" w:rsidR="00AE5DA9" w:rsidRPr="00E46218" w:rsidRDefault="00AE5DA9" w:rsidP="00AE5DA9">
                      <w:pPr>
                        <w:pStyle w:val="Heading2"/>
                        <w:rPr>
                          <w:color w:val="FFFFFF" w:themeColor="background1"/>
                          <w:sz w:val="20"/>
                          <w:szCs w:val="20"/>
                        </w:rPr>
                      </w:pPr>
                      <w:r w:rsidRPr="00E46218">
                        <w:rPr>
                          <w:color w:val="FFFFFF" w:themeColor="background1"/>
                          <w:sz w:val="20"/>
                          <w:szCs w:val="20"/>
                        </w:rPr>
                        <w:t>Section 4:</w:t>
                      </w:r>
                      <w:r w:rsidRPr="00E46218">
                        <w:rPr>
                          <w:color w:val="FFFFFF" w:themeColor="background1"/>
                          <w:sz w:val="20"/>
                          <w:szCs w:val="20"/>
                        </w:rPr>
                        <w:tab/>
                        <w:t>Requirement Details &amp; Response</w:t>
                      </w:r>
                    </w:p>
                    <w:p w14:paraId="73968BB0" w14:textId="3D718CC2" w:rsidR="00AE5DA9" w:rsidRPr="00AE5DA9" w:rsidRDefault="00AE5DA9">
                      <w:pPr>
                        <w:rPr>
                          <w:sz w:val="28"/>
                          <w:szCs w:val="28"/>
                        </w:rPr>
                      </w:pPr>
                    </w:p>
                  </w:txbxContent>
                </v:textbox>
                <w10:wrap type="square" anchorx="margin"/>
              </v:shape>
            </w:pict>
          </mc:Fallback>
        </mc:AlternateContent>
      </w:r>
      <w:r w:rsidR="00BD1B99">
        <w:rPr>
          <w:noProof/>
          <w:vertAlign w:val="subscript"/>
          <w:lang w:eastAsia="en-GB"/>
        </w:rPr>
        <mc:AlternateContent>
          <mc:Choice Requires="wps">
            <w:drawing>
              <wp:anchor distT="0" distB="0" distL="114300" distR="114300" simplePos="0" relativeHeight="251671552" behindDoc="0" locked="0" layoutInCell="1" allowOverlap="1" wp14:anchorId="391E142E" wp14:editId="4DB39085">
                <wp:simplePos x="0" y="0"/>
                <wp:positionH relativeFrom="margin">
                  <wp:align>left</wp:align>
                </wp:positionH>
                <wp:positionV relativeFrom="page">
                  <wp:posOffset>2676525</wp:posOffset>
                </wp:positionV>
                <wp:extent cx="5120640" cy="742277"/>
                <wp:effectExtent l="0" t="0" r="3810" b="127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23DA2AD8" w14:textId="77777777" w:rsidR="00BD1B99" w:rsidRPr="006135C7" w:rsidRDefault="00BD1B99" w:rsidP="00BD1B99">
                            <w:pPr>
                              <w:pStyle w:val="Cover-Documentdateversion"/>
                              <w:rPr>
                                <w:sz w:val="28"/>
                                <w:szCs w:val="28"/>
                              </w:rPr>
                            </w:pPr>
                            <w:r w:rsidRPr="006135C7">
                              <w:rPr>
                                <w:sz w:val="28"/>
                                <w:szCs w:val="28"/>
                              </w:rPr>
                              <w:t>August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142E" id="Text Box 1773138741" o:spid="_x0000_s1027" type="#_x0000_t202" style="position:absolute;margin-left:0;margin-top:210.75pt;width:403.2pt;height:58.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" filled="f" stroked="f" strokeweight=".5pt">
                <v:textbox inset="0,0,0,0">
                  <w:txbxContent>
                    <w:p w14:paraId="23DA2AD8" w14:textId="77777777" w:rsidR="00BD1B99" w:rsidRPr="006135C7" w:rsidRDefault="00BD1B99" w:rsidP="00BD1B99">
                      <w:pPr>
                        <w:pStyle w:val="Cover-Documentdateversion"/>
                        <w:rPr>
                          <w:sz w:val="28"/>
                          <w:szCs w:val="28"/>
                        </w:rPr>
                      </w:pPr>
                      <w:r w:rsidRPr="006135C7">
                        <w:rPr>
                          <w:sz w:val="28"/>
                          <w:szCs w:val="28"/>
                        </w:rPr>
                        <w:t>August 2025</w:t>
                      </w:r>
                    </w:p>
                  </w:txbxContent>
                </v:textbox>
                <w10:wrap anchorx="margin" anchory="page"/>
              </v:shape>
            </w:pict>
          </mc:Fallback>
        </mc:AlternateContent>
      </w:r>
      <w:r w:rsidR="00BD1B99" w:rsidRPr="00AE5DA9">
        <w:rPr>
          <w:rFonts w:asciiTheme="minorHAnsi" w:eastAsiaTheme="minorHAnsi" w:hAnsiTheme="minorHAnsi" w:cstheme="minorBidi"/>
          <w:b w:val="0"/>
          <w:noProof/>
          <w:color w:val="auto"/>
          <w:spacing w:val="0"/>
          <w:kern w:val="0"/>
          <w:sz w:val="24"/>
          <w:szCs w:val="22"/>
          <w:vertAlign w:val="subscript"/>
          <w:lang w:eastAsia="en-GB"/>
        </w:rPr>
        <mc:AlternateContent>
          <mc:Choice Requires="wps">
            <w:drawing>
              <wp:anchor distT="0" distB="0" distL="114300" distR="114300" simplePos="0" relativeHeight="251667456" behindDoc="0" locked="0" layoutInCell="1" allowOverlap="1" wp14:anchorId="5EFB7A3B" wp14:editId="037C700B">
                <wp:simplePos x="0" y="0"/>
                <wp:positionH relativeFrom="margin">
                  <wp:align>left</wp:align>
                </wp:positionH>
                <wp:positionV relativeFrom="page">
                  <wp:posOffset>3867150</wp:posOffset>
                </wp:positionV>
                <wp:extent cx="4524375" cy="1524000"/>
                <wp:effectExtent l="0" t="0" r="9525" b="0"/>
                <wp:wrapNone/>
                <wp:docPr id="1044022404" name="Text Box 1044022404"/>
                <wp:cNvGraphicFramePr/>
                <a:graphic xmlns:a="http://schemas.openxmlformats.org/drawingml/2006/main">
                  <a:graphicData uri="http://schemas.microsoft.com/office/word/2010/wordprocessingShape">
                    <wps:wsp>
                      <wps:cNvSpPr txBox="1"/>
                      <wps:spPr>
                        <a:xfrm>
                          <a:off x="0" y="0"/>
                          <a:ext cx="4524375" cy="1524000"/>
                        </a:xfrm>
                        <a:prstGeom prst="rect">
                          <a:avLst/>
                        </a:prstGeom>
                        <a:noFill/>
                        <a:ln w="6350">
                          <a:noFill/>
                        </a:ln>
                      </wps:spPr>
                      <wps:txbx>
                        <w:txbxContent>
                          <w:p w14:paraId="659F3F92" w14:textId="3FBAD9AD" w:rsidR="00AE5DA9" w:rsidRPr="00AE5DA9" w:rsidRDefault="00AE5DA9" w:rsidP="00AE5DA9">
                            <w:pPr>
                              <w:pStyle w:val="Title"/>
                              <w:rPr>
                                <w:sz w:val="28"/>
                                <w:szCs w:val="28"/>
                              </w:rPr>
                            </w:pPr>
                            <w:r w:rsidRPr="00AE5DA9">
                              <w:rPr>
                                <w:sz w:val="28"/>
                                <w:szCs w:val="28"/>
                              </w:rPr>
                              <w:t>Procurement of an organisation to collaborate with National Governing Bodies of Sport, Sport Partnerships, and National Partners in Wales to strengthen their operations, improve execution and build long-term effectiveness by improving efficiencies and effectiveness in how they operate.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7A3B" id="Text Box 1044022404" o:spid="_x0000_s1028" type="#_x0000_t202" style="position:absolute;margin-left:0;margin-top:304.5pt;width:356.25pt;height:1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" filled="f" stroked="f" strokeweight=".5pt">
                <v:textbox inset="0,0,0,0">
                  <w:txbxContent>
                    <w:p w14:paraId="659F3F92" w14:textId="3FBAD9AD" w:rsidR="00AE5DA9" w:rsidRPr="00AE5DA9" w:rsidRDefault="00AE5DA9" w:rsidP="00AE5DA9">
                      <w:pPr>
                        <w:pStyle w:val="Title"/>
                        <w:rPr>
                          <w:sz w:val="28"/>
                          <w:szCs w:val="28"/>
                        </w:rPr>
                      </w:pPr>
                      <w:r w:rsidRPr="00AE5DA9">
                        <w:rPr>
                          <w:sz w:val="28"/>
                          <w:szCs w:val="28"/>
                        </w:rPr>
                        <w:t>Procurement of an organisation to collaborate with National Governing Bodies of Sport, Sport Partnerships, and National Partners in Wales to strengthen their operations, improve execution and build long-term effectiveness by improving efficiencies and effectiveness in how they operate.</w:t>
                      </w:r>
                    </w:p>
                  </w:txbxContent>
                </v:textbox>
                <w10:wrap anchorx="margin" anchory="page"/>
              </v:shape>
            </w:pict>
          </mc:Fallback>
        </mc:AlternateContent>
      </w:r>
      <w:r w:rsidR="00255868">
        <w:rPr>
          <w:noProof/>
          <w:vertAlign w:val="subscript"/>
          <w:lang w:eastAsia="en-GB"/>
        </w:rPr>
        <mc:AlternateContent>
          <mc:Choice Requires="wps">
            <w:drawing>
              <wp:anchor distT="0" distB="0" distL="114300" distR="114300" simplePos="0" relativeHeight="251660288" behindDoc="0" locked="0" layoutInCell="1" allowOverlap="1" wp14:anchorId="38F3D319" wp14:editId="13CDE8C4">
                <wp:simplePos x="0" y="0"/>
                <wp:positionH relativeFrom="margin">
                  <wp:align>left</wp:align>
                </wp:positionH>
                <wp:positionV relativeFrom="page">
                  <wp:posOffset>1400175</wp:posOffset>
                </wp:positionV>
                <wp:extent cx="3505200" cy="1209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505200" cy="1209675"/>
                        </a:xfrm>
                        <a:prstGeom prst="rect">
                          <a:avLst/>
                        </a:prstGeom>
                        <a:noFill/>
                        <a:ln w="6350">
                          <a:noFill/>
                        </a:ln>
                      </wps:spPr>
                      <wps:txbx>
                        <w:txbxContent>
                          <w:p w14:paraId="40ADABD8" w14:textId="77777777" w:rsidR="00346F57" w:rsidRPr="00AE5DA9" w:rsidRDefault="00255868" w:rsidP="00483176">
                            <w:pPr>
                              <w:pStyle w:val="Title"/>
                              <w:rPr>
                                <w:color w:val="C00000"/>
                                <w:sz w:val="72"/>
                                <w:szCs w:val="72"/>
                              </w:rPr>
                            </w:pPr>
                            <w:r w:rsidRPr="00AE5DA9">
                              <w:rPr>
                                <w:color w:val="C00000"/>
                                <w:sz w:val="72"/>
                                <w:szCs w:val="72"/>
                              </w:rPr>
                              <w:t>Invitation</w:t>
                            </w:r>
                          </w:p>
                          <w:p w14:paraId="61A64A0B" w14:textId="77777777" w:rsidR="00F907C0" w:rsidRPr="00AE5DA9" w:rsidRDefault="00255868" w:rsidP="00483176">
                            <w:pPr>
                              <w:pStyle w:val="Title"/>
                              <w:rPr>
                                <w:color w:val="C00000"/>
                                <w:sz w:val="72"/>
                                <w:szCs w:val="72"/>
                              </w:rPr>
                            </w:pPr>
                            <w:r w:rsidRPr="00AE5DA9">
                              <w:rPr>
                                <w:color w:val="C00000"/>
                                <w:sz w:val="72"/>
                                <w:szCs w:val="72"/>
                              </w:rPr>
                              <w:t>To Tender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D319" id="Text Box 1" o:spid="_x0000_s1029" type="#_x0000_t202" style="position:absolute;margin-left:0;margin-top:110.25pt;width:276pt;height:9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" filled="f" stroked="f" strokeweight=".5pt">
                <v:textbox inset="0,0,0,0">
                  <w:txbxContent>
                    <w:p w14:paraId="40ADABD8" w14:textId="77777777" w:rsidR="00346F57" w:rsidRPr="00AE5DA9" w:rsidRDefault="00255868" w:rsidP="00483176">
                      <w:pPr>
                        <w:pStyle w:val="Title"/>
                        <w:rPr>
                          <w:color w:val="C00000"/>
                          <w:sz w:val="72"/>
                          <w:szCs w:val="72"/>
                        </w:rPr>
                      </w:pPr>
                      <w:r w:rsidRPr="00AE5DA9">
                        <w:rPr>
                          <w:color w:val="C00000"/>
                          <w:sz w:val="72"/>
                          <w:szCs w:val="72"/>
                        </w:rPr>
                        <w:t>Invitation</w:t>
                      </w:r>
                    </w:p>
                    <w:p w14:paraId="61A64A0B" w14:textId="77777777" w:rsidR="00F907C0" w:rsidRPr="00AE5DA9" w:rsidRDefault="00255868" w:rsidP="00483176">
                      <w:pPr>
                        <w:pStyle w:val="Title"/>
                        <w:rPr>
                          <w:color w:val="C00000"/>
                          <w:sz w:val="72"/>
                          <w:szCs w:val="72"/>
                        </w:rPr>
                      </w:pPr>
                      <w:r w:rsidRPr="00AE5DA9">
                        <w:rPr>
                          <w:color w:val="C00000"/>
                          <w:sz w:val="72"/>
                          <w:szCs w:val="72"/>
                        </w:rPr>
                        <w:t>To Tender</w:t>
                      </w:r>
                    </w:p>
                  </w:txbxContent>
                </v:textbox>
                <w10:wrap anchorx="margin" anchory="page"/>
              </v:shape>
            </w:pict>
          </mc:Fallback>
        </mc:AlternateContent>
      </w:r>
      <w:r w:rsidR="004A6F2F" w:rsidRPr="00AD73D3">
        <w:rPr>
          <w:noProof/>
          <w:vertAlign w:val="subscript"/>
          <w:lang w:eastAsia="en-GB"/>
        </w:rPr>
        <w:drawing>
          <wp:anchor distT="0" distB="0" distL="114300" distR="114300" simplePos="0" relativeHeight="251659264" behindDoc="1" locked="0" layoutInCell="1" allowOverlap="1" wp14:anchorId="0E388FD3" wp14:editId="2AF23F2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rPr>
        <w:drawing>
          <wp:anchor distT="0" distB="0" distL="114300" distR="114300" simplePos="0" relativeHeight="251661312" behindDoc="0" locked="0" layoutInCell="1" allowOverlap="1" wp14:anchorId="71444D05" wp14:editId="1BDF8164">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497DF283" w14:textId="77777777" w:rsidR="00346F57" w:rsidRDefault="00346F57" w:rsidP="00346F57">
      <w:pPr>
        <w:spacing w:after="0"/>
        <w:contextualSpacing/>
        <w:rPr>
          <w:rFonts w:ascii="Montserrat SemiBold" w:eastAsiaTheme="majorEastAsia" w:hAnsi="Montserrat SemiBold" w:cstheme="majorBidi"/>
          <w:bCs/>
          <w:color w:val="174963" w:themeColor="accent2"/>
          <w:spacing w:val="-10"/>
          <w:kern w:val="28"/>
          <w:sz w:val="40"/>
          <w:szCs w:val="40"/>
        </w:rPr>
      </w:pPr>
    </w:p>
    <w:p w14:paraId="1916DE20" w14:textId="77777777" w:rsidR="00483176" w:rsidRPr="002F5285" w:rsidRDefault="00255868" w:rsidP="00843F55">
      <w:pPr>
        <w:pStyle w:val="Heading3"/>
        <w:spacing w:after="0" w:line="240" w:lineRule="auto"/>
        <w:rPr>
          <w:noProof/>
          <w:sz w:val="28"/>
          <w:szCs w:val="28"/>
        </w:rPr>
      </w:pPr>
      <w:r w:rsidRPr="002F5285">
        <w:rPr>
          <w:noProof/>
          <w:sz w:val="28"/>
          <w:szCs w:val="28"/>
        </w:rPr>
        <w:t>Section 1:  Introducation</w:t>
      </w:r>
    </w:p>
    <w:p w14:paraId="1D543969" w14:textId="77777777" w:rsidR="00843F55" w:rsidRDefault="00843F55" w:rsidP="00843F55">
      <w:pPr>
        <w:spacing w:after="0" w:line="240" w:lineRule="auto"/>
        <w:rPr>
          <w:b/>
          <w:bCs/>
        </w:rPr>
      </w:pPr>
    </w:p>
    <w:p w14:paraId="432B2512" w14:textId="77777777" w:rsidR="001B4DAF" w:rsidRDefault="00255868" w:rsidP="00843F55">
      <w:pPr>
        <w:spacing w:after="0" w:line="240" w:lineRule="auto"/>
        <w:rPr>
          <w:b/>
          <w:bCs/>
        </w:rPr>
      </w:pPr>
      <w:r w:rsidRPr="00662D33">
        <w:rPr>
          <w:b/>
          <w:bCs/>
        </w:rPr>
        <w:t>Background</w:t>
      </w:r>
    </w:p>
    <w:p w14:paraId="6939F8A8" w14:textId="77777777" w:rsidR="00843F55" w:rsidRPr="00662D33" w:rsidRDefault="00843F55" w:rsidP="00843F55">
      <w:pPr>
        <w:spacing w:after="0" w:line="240" w:lineRule="auto"/>
        <w:rPr>
          <w:b/>
          <w:bCs/>
        </w:rPr>
      </w:pPr>
    </w:p>
    <w:p w14:paraId="07D59680" w14:textId="77777777" w:rsidR="002B4566" w:rsidRPr="002B4566" w:rsidRDefault="002B4566" w:rsidP="002B4566">
      <w:pPr>
        <w:spacing w:after="0" w:line="240" w:lineRule="auto"/>
        <w:rPr>
          <w:rFonts w:eastAsia="Times New Roman" w:cs="Calibri"/>
          <w:sz w:val="22"/>
        </w:rPr>
      </w:pPr>
      <w:r w:rsidRPr="002B4566">
        <w:rPr>
          <w:rFonts w:eastAsia="Times New Roman" w:cs="Calibri"/>
          <w:sz w:val="22"/>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27FB66DF" w14:textId="77777777" w:rsidR="002B4566" w:rsidRPr="002B4566" w:rsidRDefault="002B4566" w:rsidP="002B4566">
      <w:pPr>
        <w:spacing w:after="0" w:line="240" w:lineRule="auto"/>
        <w:rPr>
          <w:rFonts w:eastAsia="Times New Roman" w:cs="Calibri"/>
          <w:sz w:val="22"/>
        </w:rPr>
      </w:pPr>
    </w:p>
    <w:p w14:paraId="72A63F97" w14:textId="77777777" w:rsidR="002B4566" w:rsidRPr="002B4566" w:rsidRDefault="002B4566" w:rsidP="002B4566">
      <w:pPr>
        <w:spacing w:after="0" w:line="240" w:lineRule="auto"/>
        <w:rPr>
          <w:sz w:val="22"/>
        </w:rPr>
      </w:pPr>
      <w:r w:rsidRPr="002B4566">
        <w:rPr>
          <w:sz w:val="22"/>
        </w:rPr>
        <w:t>Sport Wales is the national organisation responsible for developing and promoting sport and physical activity in Wales at both community and elite levels.  It is also responsible for the distribution of significant amounts of grant funding across a broad portfolio of sports activity in Wales.</w:t>
      </w:r>
    </w:p>
    <w:p w14:paraId="6EE2881A" w14:textId="77777777" w:rsidR="002B4566" w:rsidRPr="002B4566" w:rsidRDefault="002B4566" w:rsidP="002B4566">
      <w:pPr>
        <w:spacing w:after="0" w:line="240" w:lineRule="auto"/>
        <w:rPr>
          <w:sz w:val="22"/>
        </w:rPr>
      </w:pPr>
    </w:p>
    <w:p w14:paraId="038C3E37" w14:textId="4474F900" w:rsidR="002B4566" w:rsidRPr="002B4566" w:rsidRDefault="002B4566" w:rsidP="002B4566">
      <w:pPr>
        <w:spacing w:after="0" w:line="240" w:lineRule="auto"/>
        <w:rPr>
          <w:sz w:val="22"/>
        </w:rPr>
      </w:pPr>
      <w:r w:rsidRPr="002B4566">
        <w:rPr>
          <w:sz w:val="22"/>
        </w:rPr>
        <w:t>Sport Wales is one of 4</w:t>
      </w:r>
      <w:r w:rsidR="00C1070E">
        <w:rPr>
          <w:sz w:val="22"/>
        </w:rPr>
        <w:t>8</w:t>
      </w:r>
      <w:r w:rsidRPr="002B4566">
        <w:rPr>
          <w:sz w:val="22"/>
        </w:rPr>
        <w:t xml:space="preserve"> public sector bodies in Wales which are subject to Welsh Government’s </w:t>
      </w:r>
      <w:r w:rsidRPr="002B4566">
        <w:rPr>
          <w:i/>
          <w:sz w:val="22"/>
        </w:rPr>
        <w:t>Well-being of Future Generations (Wales) Act 2015</w:t>
      </w:r>
      <w:r w:rsidRPr="002B4566">
        <w:rPr>
          <w:sz w:val="22"/>
        </w:rPr>
        <w:t xml:space="preserve">. Accordingly, Sport Wales has developed its own well-being objectives. Audit Wales is charged with auditing these organisations to assess the extent to which well-being objectives and the five ways of working that the Act promotes, have been delivered. </w:t>
      </w:r>
    </w:p>
    <w:p w14:paraId="363B85B2" w14:textId="77777777" w:rsidR="002B4566" w:rsidRPr="002B4566" w:rsidRDefault="002B4566" w:rsidP="002B4566">
      <w:pPr>
        <w:spacing w:after="0" w:line="240" w:lineRule="auto"/>
        <w:rPr>
          <w:sz w:val="22"/>
        </w:rPr>
      </w:pPr>
    </w:p>
    <w:p w14:paraId="2484BC9B" w14:textId="77777777" w:rsidR="002B4566" w:rsidRPr="002B4566" w:rsidRDefault="002B4566" w:rsidP="002B4566">
      <w:pPr>
        <w:spacing w:after="0" w:line="240" w:lineRule="auto"/>
        <w:rPr>
          <w:rFonts w:cs="MetaPro-Normal"/>
          <w:sz w:val="22"/>
          <w:lang w:eastAsia="en-GB"/>
        </w:rPr>
      </w:pPr>
      <w:r w:rsidRPr="002B4566">
        <w:rPr>
          <w:sz w:val="22"/>
        </w:rPr>
        <w:t xml:space="preserve">We aim to not only improve the level of sports participation at grassroots level but also provide our aspiring athletes with the support required to compete successfully on the world stage. </w:t>
      </w:r>
    </w:p>
    <w:p w14:paraId="13444FF7" w14:textId="77777777" w:rsidR="002B4566" w:rsidRPr="002B4566" w:rsidRDefault="002B4566" w:rsidP="002B4566">
      <w:pPr>
        <w:spacing w:after="0" w:line="240" w:lineRule="auto"/>
        <w:rPr>
          <w:rFonts w:eastAsia="Times New Roman" w:cs="Calibri"/>
          <w:sz w:val="22"/>
        </w:rPr>
      </w:pPr>
    </w:p>
    <w:p w14:paraId="48679793" w14:textId="5B7E5390" w:rsidR="008B0EED" w:rsidRPr="0067573C" w:rsidRDefault="008B0EED" w:rsidP="008B0EED">
      <w:pPr>
        <w:rPr>
          <w:i/>
          <w:iCs/>
          <w:sz w:val="22"/>
        </w:rPr>
      </w:pPr>
      <w:r w:rsidRPr="0067573C">
        <w:rPr>
          <w:i/>
          <w:iCs/>
          <w:sz w:val="22"/>
        </w:rPr>
        <w:t>Sport Wales currently operates over four locations in Wales; the sites include our two National Centres, situated in Sophia Gardens, Cardiff and Plas Menai, Caernarfon (in partnership with Parkwood &amp; Legacy Leisure); and satellite offices located in Deeside and Llanelli.</w:t>
      </w:r>
    </w:p>
    <w:p w14:paraId="608F208B" w14:textId="77777777" w:rsidR="002B4566" w:rsidRPr="002B4566" w:rsidRDefault="002B4566" w:rsidP="002B4566">
      <w:pPr>
        <w:spacing w:after="0" w:line="240" w:lineRule="auto"/>
        <w:rPr>
          <w:rFonts w:eastAsia="Times New Roman" w:cs="Calibri"/>
          <w:sz w:val="22"/>
        </w:rPr>
      </w:pPr>
      <w:r w:rsidRPr="002B4566">
        <w:rPr>
          <w:rFonts w:eastAsia="Times New Roman" w:cs="Calibri"/>
          <w:sz w:val="22"/>
        </w:rPr>
        <w:t>Funded Partners are located across Wales in various locations.</w:t>
      </w:r>
    </w:p>
    <w:p w14:paraId="6DE06004" w14:textId="77777777" w:rsidR="002B4566" w:rsidRPr="002B4566" w:rsidRDefault="002B4566" w:rsidP="002B4566">
      <w:pPr>
        <w:spacing w:after="0" w:line="240" w:lineRule="auto"/>
        <w:jc w:val="both"/>
        <w:rPr>
          <w:rFonts w:eastAsia="Times New Roman" w:cs="Calibri"/>
          <w:sz w:val="22"/>
        </w:rPr>
      </w:pPr>
    </w:p>
    <w:p w14:paraId="53D06C64" w14:textId="77777777" w:rsidR="002B4566" w:rsidRPr="002B4566" w:rsidRDefault="002B4566" w:rsidP="002B4566">
      <w:pPr>
        <w:spacing w:after="0" w:line="240" w:lineRule="auto"/>
        <w:rPr>
          <w:sz w:val="22"/>
        </w:rPr>
      </w:pPr>
      <w:r w:rsidRPr="002B4566">
        <w:rPr>
          <w:sz w:val="22"/>
        </w:rPr>
        <w:t xml:space="preserve">For further information about Sport Wales, please visit: </w:t>
      </w:r>
      <w:hyperlink r:id="rId11" w:history="1">
        <w:r w:rsidRPr="002B4566">
          <w:rPr>
            <w:rStyle w:val="Hyperlink"/>
            <w:sz w:val="22"/>
          </w:rPr>
          <w:t>www.sport.wales</w:t>
        </w:r>
      </w:hyperlink>
      <w:r w:rsidRPr="002B4566">
        <w:rPr>
          <w:sz w:val="22"/>
        </w:rPr>
        <w:t xml:space="preserve"> </w:t>
      </w:r>
    </w:p>
    <w:p w14:paraId="7DDB2ABD" w14:textId="77777777" w:rsidR="002B4566" w:rsidRPr="002B4566" w:rsidRDefault="002B4566" w:rsidP="002B4566">
      <w:pPr>
        <w:spacing w:after="0" w:line="240" w:lineRule="auto"/>
        <w:rPr>
          <w:b/>
          <w:sz w:val="22"/>
        </w:rPr>
      </w:pPr>
    </w:p>
    <w:p w14:paraId="06DD3BAE" w14:textId="77CC261B" w:rsidR="006D7547" w:rsidRPr="002B4566" w:rsidRDefault="006D7547" w:rsidP="002B4566">
      <w:pPr>
        <w:spacing w:after="0" w:line="240" w:lineRule="auto"/>
        <w:rPr>
          <w:rFonts w:cstheme="majorHAnsi"/>
          <w:b/>
          <w:sz w:val="22"/>
          <w:u w:val="single"/>
        </w:rPr>
      </w:pPr>
      <w:r>
        <w:rPr>
          <w:rFonts w:cstheme="majorHAnsi"/>
          <w:b/>
          <w:sz w:val="22"/>
        </w:rPr>
        <w:t>R</w:t>
      </w:r>
      <w:r w:rsidRPr="006D7547">
        <w:rPr>
          <w:rFonts w:cstheme="majorHAnsi"/>
          <w:b/>
          <w:szCs w:val="24"/>
        </w:rPr>
        <w:t>equirement Overview</w:t>
      </w:r>
    </w:p>
    <w:p w14:paraId="28E3B0B1" w14:textId="77777777" w:rsidR="002B4566" w:rsidRPr="002B4566" w:rsidRDefault="002B4566" w:rsidP="002B4566">
      <w:pPr>
        <w:spacing w:after="0" w:line="240" w:lineRule="auto"/>
        <w:rPr>
          <w:rFonts w:cstheme="majorHAnsi"/>
          <w:sz w:val="22"/>
        </w:rPr>
      </w:pPr>
    </w:p>
    <w:p w14:paraId="41FE359E" w14:textId="77777777" w:rsidR="002B4566" w:rsidRPr="006D7547" w:rsidRDefault="002B4566" w:rsidP="002B4566">
      <w:pPr>
        <w:spacing w:after="0" w:line="240" w:lineRule="auto"/>
        <w:rPr>
          <w:rFonts w:eastAsia="Cambria" w:cstheme="majorHAnsi"/>
          <w:sz w:val="22"/>
        </w:rPr>
      </w:pPr>
      <w:r w:rsidRPr="006D7547">
        <w:rPr>
          <w:rFonts w:eastAsia="Cambria" w:cstheme="majorHAnsi"/>
          <w:sz w:val="22"/>
        </w:rPr>
        <w:t>Background</w:t>
      </w:r>
    </w:p>
    <w:p w14:paraId="505BB488" w14:textId="77777777" w:rsidR="002B4566" w:rsidRPr="002B4566" w:rsidRDefault="002B4566" w:rsidP="002B4566">
      <w:pPr>
        <w:spacing w:after="0" w:line="240" w:lineRule="auto"/>
        <w:rPr>
          <w:rFonts w:eastAsia="Cambria" w:cstheme="majorHAnsi"/>
          <w:b/>
          <w:bCs/>
          <w:sz w:val="22"/>
        </w:rPr>
      </w:pPr>
    </w:p>
    <w:p w14:paraId="69299FD8" w14:textId="77777777" w:rsidR="002B4566" w:rsidRPr="002B4566" w:rsidRDefault="002B4566" w:rsidP="002B4566">
      <w:pPr>
        <w:spacing w:after="0" w:line="240" w:lineRule="auto"/>
        <w:rPr>
          <w:rFonts w:eastAsia="Cambria" w:cstheme="majorHAnsi"/>
          <w:sz w:val="22"/>
        </w:rPr>
      </w:pPr>
      <w:r w:rsidRPr="002B4566">
        <w:rPr>
          <w:rFonts w:eastAsia="Cambria" w:cstheme="majorHAnsi"/>
          <w:sz w:val="22"/>
        </w:rPr>
        <w:t xml:space="preserve">Over the past year, Sport Wales has supported various partners with their resilience.  </w:t>
      </w:r>
    </w:p>
    <w:p w14:paraId="7CE60485" w14:textId="77777777" w:rsidR="002B4566" w:rsidRPr="002B4566" w:rsidRDefault="002B4566" w:rsidP="002B4566">
      <w:pPr>
        <w:spacing w:after="0" w:line="240" w:lineRule="auto"/>
        <w:rPr>
          <w:rFonts w:eastAsia="Cambria" w:cstheme="majorHAnsi"/>
          <w:sz w:val="22"/>
        </w:rPr>
      </w:pPr>
      <w:r w:rsidRPr="002B4566">
        <w:rPr>
          <w:rFonts w:eastAsia="Cambria" w:cstheme="majorHAnsi"/>
          <w:sz w:val="22"/>
        </w:rPr>
        <w:t xml:space="preserve">The sector faces increasing pressures and competing priorities and responsibilities, with limited resources. There is a recognition that current working methods are not always as efficient and effective as they could be. </w:t>
      </w:r>
    </w:p>
    <w:p w14:paraId="1F486777" w14:textId="77777777" w:rsidR="002B4566" w:rsidRPr="002B4566" w:rsidRDefault="002B4566" w:rsidP="002B4566">
      <w:pPr>
        <w:spacing w:after="0" w:line="240" w:lineRule="auto"/>
        <w:rPr>
          <w:rFonts w:eastAsia="Cambria" w:cstheme="majorHAnsi"/>
          <w:sz w:val="22"/>
        </w:rPr>
      </w:pPr>
    </w:p>
    <w:p w14:paraId="37B61187" w14:textId="77777777" w:rsidR="002B4566" w:rsidRPr="002B4566" w:rsidRDefault="002B4566" w:rsidP="002B4566">
      <w:pPr>
        <w:spacing w:after="0" w:line="240" w:lineRule="auto"/>
        <w:rPr>
          <w:rFonts w:eastAsia="Cambria" w:cstheme="majorHAnsi"/>
          <w:sz w:val="22"/>
        </w:rPr>
      </w:pPr>
      <w:r w:rsidRPr="002B4566">
        <w:rPr>
          <w:rFonts w:eastAsia="Cambria" w:cstheme="majorHAnsi"/>
          <w:sz w:val="22"/>
        </w:rPr>
        <w:t>A group of funded organisations have put themselves forward to review their operating procedures and methods with the clear intent of becoming exemplars of best practice within the sector. Each organisation has different starting places and are different sizes and scales with varied structures and resource levels.  The organisations selected to participate, have been due to their varied size and nature.</w:t>
      </w:r>
    </w:p>
    <w:p w14:paraId="5ECB44F4" w14:textId="77777777" w:rsidR="002B4566" w:rsidRDefault="002B4566" w:rsidP="002B4566">
      <w:pPr>
        <w:spacing w:after="0" w:line="240" w:lineRule="auto"/>
        <w:rPr>
          <w:rFonts w:eastAsia="Cambria" w:cstheme="majorHAnsi"/>
          <w:sz w:val="22"/>
          <w:highlight w:val="green"/>
        </w:rPr>
      </w:pPr>
    </w:p>
    <w:p w14:paraId="2687AB33" w14:textId="77777777" w:rsidR="00380B5C" w:rsidRDefault="00380B5C" w:rsidP="002B4566">
      <w:pPr>
        <w:spacing w:after="0" w:line="240" w:lineRule="auto"/>
        <w:rPr>
          <w:rFonts w:eastAsia="Cambria" w:cstheme="majorHAnsi"/>
          <w:sz w:val="22"/>
          <w:highlight w:val="green"/>
        </w:rPr>
      </w:pPr>
    </w:p>
    <w:p w14:paraId="77BAB6B6" w14:textId="77777777" w:rsidR="00380B5C" w:rsidRDefault="00380B5C" w:rsidP="002B4566">
      <w:pPr>
        <w:spacing w:after="0" w:line="240" w:lineRule="auto"/>
        <w:rPr>
          <w:rFonts w:eastAsia="Cambria" w:cstheme="majorHAnsi"/>
          <w:sz w:val="22"/>
          <w:highlight w:val="green"/>
        </w:rPr>
      </w:pPr>
    </w:p>
    <w:p w14:paraId="13FEF307" w14:textId="77777777" w:rsidR="00380B5C" w:rsidRPr="002B4566" w:rsidRDefault="00380B5C" w:rsidP="002B4566">
      <w:pPr>
        <w:spacing w:after="0" w:line="240" w:lineRule="auto"/>
        <w:rPr>
          <w:rFonts w:eastAsia="Cambria" w:cstheme="majorHAnsi"/>
          <w:sz w:val="22"/>
          <w:highlight w:val="green"/>
        </w:rPr>
      </w:pPr>
    </w:p>
    <w:p w14:paraId="37212779" w14:textId="77777777" w:rsidR="002B4566" w:rsidRPr="002B4566" w:rsidRDefault="002B4566" w:rsidP="002B4566">
      <w:pPr>
        <w:spacing w:after="0" w:line="240" w:lineRule="auto"/>
        <w:rPr>
          <w:rFonts w:eastAsia="Cambria" w:cstheme="majorHAnsi"/>
          <w:b/>
          <w:bCs/>
          <w:sz w:val="22"/>
        </w:rPr>
      </w:pPr>
      <w:r w:rsidRPr="002B4566">
        <w:rPr>
          <w:rFonts w:eastAsia="Cambria" w:cstheme="majorHAnsi"/>
          <w:b/>
          <w:bCs/>
          <w:sz w:val="22"/>
        </w:rPr>
        <w:t>Opportunities to improve</w:t>
      </w:r>
    </w:p>
    <w:p w14:paraId="0DF416D7" w14:textId="77777777" w:rsidR="002B4566" w:rsidRPr="002B4566" w:rsidRDefault="002B4566" w:rsidP="002B4566">
      <w:pPr>
        <w:spacing w:after="0" w:line="240" w:lineRule="auto"/>
        <w:rPr>
          <w:rFonts w:eastAsia="Cambria" w:cstheme="majorHAnsi"/>
          <w:sz w:val="22"/>
          <w:highlight w:val="green"/>
        </w:rPr>
      </w:pPr>
    </w:p>
    <w:p w14:paraId="681CED53" w14:textId="77777777" w:rsidR="002B4566" w:rsidRPr="002B4566" w:rsidRDefault="002B4566" w:rsidP="002B4566">
      <w:pPr>
        <w:spacing w:after="0" w:line="240" w:lineRule="auto"/>
        <w:rPr>
          <w:rFonts w:eastAsia="Cambria" w:cstheme="majorHAnsi"/>
          <w:sz w:val="22"/>
        </w:rPr>
      </w:pPr>
      <w:r w:rsidRPr="002B4566">
        <w:rPr>
          <w:rFonts w:eastAsia="Cambria" w:cstheme="majorHAnsi"/>
          <w:sz w:val="22"/>
        </w:rPr>
        <w:t>The scope of this work includes, but is not limited to, considering improvements within the following areas:</w:t>
      </w:r>
    </w:p>
    <w:p w14:paraId="25E6A266"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 xml:space="preserve">Governance and Board Effectiveness </w:t>
      </w:r>
    </w:p>
    <w:p w14:paraId="1BF0DDA7" w14:textId="77777777" w:rsidR="002B4566" w:rsidRPr="002B4566" w:rsidRDefault="002B4566" w:rsidP="002B4566">
      <w:pPr>
        <w:pStyle w:val="ListParagraph"/>
        <w:numPr>
          <w:ilvl w:val="0"/>
          <w:numId w:val="10"/>
        </w:numPr>
        <w:spacing w:after="0" w:line="240" w:lineRule="auto"/>
        <w:rPr>
          <w:rFonts w:eastAsia="Cambria" w:cstheme="majorHAnsi"/>
          <w:sz w:val="22"/>
        </w:rPr>
      </w:pPr>
      <w:r w:rsidRPr="002B4566">
        <w:rPr>
          <w:rFonts w:eastAsia="Cambria" w:cstheme="majorHAnsi"/>
          <w:sz w:val="22"/>
        </w:rPr>
        <w:t xml:space="preserve">Behaviours, culture and environment: how these effect the organisations’ ability to improve efficiency and resilience </w:t>
      </w:r>
    </w:p>
    <w:p w14:paraId="027404CC" w14:textId="77777777" w:rsidR="002B4566" w:rsidRPr="002B4566" w:rsidRDefault="002B4566" w:rsidP="002B4566">
      <w:pPr>
        <w:pStyle w:val="ListParagraph"/>
        <w:numPr>
          <w:ilvl w:val="0"/>
          <w:numId w:val="10"/>
        </w:numPr>
        <w:spacing w:after="0" w:line="240" w:lineRule="auto"/>
        <w:rPr>
          <w:rFonts w:eastAsia="Cambria" w:cstheme="majorHAnsi"/>
          <w:sz w:val="22"/>
        </w:rPr>
      </w:pPr>
      <w:r w:rsidRPr="002B4566">
        <w:rPr>
          <w:rFonts w:eastAsia="Cambria" w:cstheme="majorHAnsi"/>
          <w:sz w:val="22"/>
        </w:rPr>
        <w:t>Collaboration and innovation opportunities across the sector and beyond</w:t>
      </w:r>
    </w:p>
    <w:p w14:paraId="37E8B145"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Policies and processes</w:t>
      </w:r>
    </w:p>
    <w:p w14:paraId="74E56F85"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Strategic and operational planning and delivery – clear long-term goals, structures, allocation of resources etc</w:t>
      </w:r>
    </w:p>
    <w:p w14:paraId="20F42ECA"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Risk Management</w:t>
      </w:r>
    </w:p>
    <w:p w14:paraId="52B3BD65"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Technology and AI: High costs and low adaptability from outdated tech.</w:t>
      </w:r>
    </w:p>
    <w:p w14:paraId="5475A681"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Ways of working – remote v operational, more efficient ways of working and use of staff resources.</w:t>
      </w:r>
    </w:p>
    <w:p w14:paraId="40818266" w14:textId="77777777" w:rsidR="002B4566" w:rsidRPr="002B4566" w:rsidRDefault="002B4566" w:rsidP="002B4566">
      <w:pPr>
        <w:numPr>
          <w:ilvl w:val="0"/>
          <w:numId w:val="10"/>
        </w:numPr>
        <w:spacing w:after="0" w:line="240" w:lineRule="auto"/>
        <w:rPr>
          <w:rFonts w:eastAsia="Cambria" w:cstheme="majorHAnsi"/>
          <w:sz w:val="22"/>
        </w:rPr>
      </w:pPr>
      <w:r w:rsidRPr="002B4566">
        <w:rPr>
          <w:rFonts w:eastAsia="Cambria" w:cstheme="majorHAnsi"/>
          <w:sz w:val="22"/>
        </w:rPr>
        <w:t>Communication Issues: Misunderstandings and delays due to inefficient/outdated communication methods and channels.</w:t>
      </w:r>
    </w:p>
    <w:p w14:paraId="43744D3C" w14:textId="77777777" w:rsidR="002B4566" w:rsidRPr="002B4566" w:rsidRDefault="002B4566" w:rsidP="002B4566">
      <w:pPr>
        <w:spacing w:after="0" w:line="240" w:lineRule="auto"/>
        <w:ind w:left="720"/>
        <w:rPr>
          <w:rFonts w:eastAsia="Cambria" w:cstheme="majorHAnsi"/>
          <w:sz w:val="22"/>
          <w:highlight w:val="green"/>
        </w:rPr>
      </w:pPr>
    </w:p>
    <w:p w14:paraId="75251A86" w14:textId="77777777" w:rsidR="002B4566" w:rsidRPr="00E53D33" w:rsidRDefault="002B4566" w:rsidP="002B4566">
      <w:pPr>
        <w:spacing w:after="0" w:line="240" w:lineRule="auto"/>
        <w:rPr>
          <w:rFonts w:eastAsia="Cambria" w:cstheme="majorHAnsi"/>
          <w:b/>
          <w:bCs/>
          <w:szCs w:val="24"/>
        </w:rPr>
      </w:pPr>
      <w:r w:rsidRPr="00E53D33">
        <w:rPr>
          <w:rFonts w:eastAsia="Cambria" w:cstheme="majorHAnsi"/>
          <w:b/>
          <w:bCs/>
          <w:szCs w:val="24"/>
        </w:rPr>
        <w:t>Requirement Overview</w:t>
      </w:r>
    </w:p>
    <w:p w14:paraId="2B7779B2" w14:textId="77777777" w:rsidR="002B4566" w:rsidRPr="002B4566" w:rsidRDefault="002B4566" w:rsidP="002B4566">
      <w:pPr>
        <w:spacing w:after="0" w:line="240" w:lineRule="auto"/>
        <w:rPr>
          <w:sz w:val="22"/>
        </w:rPr>
      </w:pPr>
    </w:p>
    <w:p w14:paraId="2184749D" w14:textId="3ADF1713" w:rsidR="002B4566" w:rsidRPr="002B4566" w:rsidRDefault="002B4566" w:rsidP="002B4566">
      <w:pPr>
        <w:spacing w:after="0" w:line="240" w:lineRule="auto"/>
        <w:rPr>
          <w:rFonts w:eastAsia="Verdana" w:cstheme="majorHAnsi"/>
          <w:sz w:val="22"/>
        </w:rPr>
      </w:pPr>
      <w:r w:rsidRPr="002B4566">
        <w:rPr>
          <w:rFonts w:eastAsia="Verdana" w:cstheme="majorHAnsi"/>
          <w:sz w:val="22"/>
        </w:rPr>
        <w:t xml:space="preserve">We (Sport Wales), on behalf of the sector, </w:t>
      </w:r>
      <w:r w:rsidR="009B799F">
        <w:rPr>
          <w:rFonts w:eastAsia="Verdana" w:cstheme="majorHAnsi"/>
          <w:sz w:val="22"/>
        </w:rPr>
        <w:t>are</w:t>
      </w:r>
      <w:r w:rsidRPr="002B4566">
        <w:rPr>
          <w:rFonts w:eastAsia="Verdana" w:cstheme="majorHAnsi"/>
          <w:sz w:val="22"/>
        </w:rPr>
        <w:t xml:space="preserve"> looking to recruit an organisation that can work with the following partners and Sport Wales to look at improving operational efficiencies, highlight good practise and potentially identify patterns across organisations.  The partners are listed below with a short biography in appendix:</w:t>
      </w:r>
    </w:p>
    <w:p w14:paraId="7EF8B437" w14:textId="77777777" w:rsidR="002B4566" w:rsidRP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Hockey Cymru</w:t>
      </w:r>
    </w:p>
    <w:p w14:paraId="26269A8B" w14:textId="77777777" w:rsidR="002B4566" w:rsidRP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Mid Wales Sport Partnership</w:t>
      </w:r>
    </w:p>
    <w:p w14:paraId="32038403" w14:textId="77777777" w:rsidR="002B4566" w:rsidRP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Cricket Wales</w:t>
      </w:r>
    </w:p>
    <w:p w14:paraId="4BEC45CC" w14:textId="77777777" w:rsidR="002B4566" w:rsidRP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Golf Wales</w:t>
      </w:r>
    </w:p>
    <w:p w14:paraId="423E93BA" w14:textId="77777777" w:rsidR="002B4566" w:rsidRP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Welsh Triathlon</w:t>
      </w:r>
    </w:p>
    <w:p w14:paraId="75B620A2" w14:textId="77777777" w:rsidR="002B4566" w:rsidRDefault="002B4566" w:rsidP="002B4566">
      <w:pPr>
        <w:pStyle w:val="ListParagraph"/>
        <w:numPr>
          <w:ilvl w:val="0"/>
          <w:numId w:val="5"/>
        </w:numPr>
        <w:spacing w:after="0" w:line="240" w:lineRule="auto"/>
        <w:rPr>
          <w:rFonts w:eastAsia="Verdana" w:cstheme="majorHAnsi"/>
          <w:sz w:val="22"/>
        </w:rPr>
      </w:pPr>
      <w:r w:rsidRPr="002B4566">
        <w:rPr>
          <w:rFonts w:eastAsia="Verdana" w:cstheme="majorHAnsi"/>
          <w:sz w:val="22"/>
        </w:rPr>
        <w:t>Sport Wales Governance team</w:t>
      </w:r>
    </w:p>
    <w:p w14:paraId="347BE8F6" w14:textId="77777777" w:rsidR="002B7A58" w:rsidRDefault="002B7A58" w:rsidP="002B7A58">
      <w:pPr>
        <w:spacing w:after="0" w:line="240" w:lineRule="auto"/>
        <w:rPr>
          <w:rFonts w:eastAsia="Verdana" w:cstheme="majorHAnsi"/>
          <w:sz w:val="22"/>
        </w:rPr>
      </w:pPr>
    </w:p>
    <w:p w14:paraId="1330D264" w14:textId="73F9C121" w:rsidR="002B7A58" w:rsidRPr="002B4566" w:rsidRDefault="009B799F" w:rsidP="002B7A58">
      <w:pPr>
        <w:spacing w:after="0" w:line="240" w:lineRule="auto"/>
        <w:rPr>
          <w:rFonts w:cstheme="majorHAnsi"/>
          <w:bCs/>
          <w:sz w:val="22"/>
        </w:rPr>
      </w:pPr>
      <w:r>
        <w:rPr>
          <w:rFonts w:cstheme="majorHAnsi"/>
          <w:bCs/>
          <w:sz w:val="22"/>
        </w:rPr>
        <w:t xml:space="preserve">NB </w:t>
      </w:r>
      <w:r w:rsidR="002B7A58" w:rsidRPr="002B4566">
        <w:rPr>
          <w:rFonts w:cstheme="majorHAnsi"/>
          <w:bCs/>
          <w:sz w:val="22"/>
        </w:rPr>
        <w:t>There may be the opportunity to expand this work out across the whole of Sport Wales.  This should be quoted for separately within an expression of interest.</w:t>
      </w:r>
    </w:p>
    <w:p w14:paraId="33441711" w14:textId="77777777" w:rsidR="002B7A58" w:rsidRPr="002B7A58" w:rsidRDefault="002B7A58" w:rsidP="002B7A58">
      <w:pPr>
        <w:spacing w:after="0" w:line="240" w:lineRule="auto"/>
        <w:rPr>
          <w:rFonts w:eastAsia="Verdana" w:cstheme="majorHAnsi"/>
          <w:sz w:val="22"/>
        </w:rPr>
      </w:pPr>
    </w:p>
    <w:p w14:paraId="670ECD6D" w14:textId="77777777" w:rsidR="002B4566" w:rsidRPr="002B4566" w:rsidRDefault="002B4566" w:rsidP="002B4566">
      <w:pPr>
        <w:spacing w:after="0" w:line="240" w:lineRule="auto"/>
        <w:rPr>
          <w:rFonts w:eastAsia="Verdana" w:cstheme="majorHAnsi"/>
          <w:sz w:val="22"/>
        </w:rPr>
      </w:pPr>
    </w:p>
    <w:p w14:paraId="3DEBC210" w14:textId="77777777" w:rsidR="002B4566" w:rsidRPr="002B4566" w:rsidRDefault="002B4566" w:rsidP="002B4566">
      <w:pPr>
        <w:spacing w:after="0" w:line="240" w:lineRule="auto"/>
        <w:rPr>
          <w:rFonts w:eastAsia="Verdana" w:cstheme="majorHAnsi"/>
          <w:sz w:val="22"/>
        </w:rPr>
      </w:pPr>
      <w:r w:rsidRPr="002B4566">
        <w:rPr>
          <w:rFonts w:eastAsia="Verdana" w:cstheme="majorHAnsi"/>
          <w:sz w:val="22"/>
        </w:rPr>
        <w:t>This work will explore, but not be limited to:</w:t>
      </w:r>
    </w:p>
    <w:p w14:paraId="1CD7F36C" w14:textId="77777777" w:rsidR="002B4566" w:rsidRPr="002B4566" w:rsidRDefault="002B4566" w:rsidP="002B4566">
      <w:pPr>
        <w:pStyle w:val="ListParagraph"/>
        <w:numPr>
          <w:ilvl w:val="0"/>
          <w:numId w:val="4"/>
        </w:numPr>
        <w:spacing w:after="0" w:line="240" w:lineRule="auto"/>
        <w:rPr>
          <w:rFonts w:eastAsia="Verdana" w:cstheme="majorHAnsi"/>
          <w:sz w:val="22"/>
        </w:rPr>
      </w:pPr>
      <w:r w:rsidRPr="002B4566">
        <w:rPr>
          <w:rFonts w:eastAsia="Verdana" w:cstheme="majorHAnsi"/>
          <w:sz w:val="22"/>
        </w:rPr>
        <w:t>Organisations ambitions and strategic objectives, pain points and change opportunities</w:t>
      </w:r>
    </w:p>
    <w:p w14:paraId="23A22B23" w14:textId="77777777" w:rsidR="002B4566" w:rsidRPr="002B4566" w:rsidRDefault="002B4566" w:rsidP="002B4566">
      <w:pPr>
        <w:pStyle w:val="ListParagraph"/>
        <w:numPr>
          <w:ilvl w:val="0"/>
          <w:numId w:val="4"/>
        </w:numPr>
        <w:spacing w:after="0" w:line="240" w:lineRule="auto"/>
        <w:rPr>
          <w:rFonts w:eastAsia="Verdana" w:cstheme="majorHAnsi"/>
          <w:sz w:val="22"/>
        </w:rPr>
      </w:pPr>
      <w:r w:rsidRPr="002B4566">
        <w:rPr>
          <w:rFonts w:eastAsia="Verdana" w:cstheme="majorHAnsi"/>
          <w:sz w:val="22"/>
        </w:rPr>
        <w:t>Examples of efficient working that can be shared as good practise</w:t>
      </w:r>
    </w:p>
    <w:p w14:paraId="1F5D9A56"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Feedback: Gather insights from employees, stakeholder and members as relevant</w:t>
      </w:r>
    </w:p>
    <w:p w14:paraId="64F686B1"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Data Analysis: Use insight and evidence to identify performance issues.</w:t>
      </w:r>
    </w:p>
    <w:p w14:paraId="609A3001"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Process Mapping: Visualise workflows to find bottlenecks.</w:t>
      </w:r>
    </w:p>
    <w:p w14:paraId="1630924C"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Technology Assessment: Evaluate and understand current technology tools and potential for greater efficiency</w:t>
      </w:r>
    </w:p>
    <w:p w14:paraId="606931B8"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lastRenderedPageBreak/>
        <w:t>Cross-Functional Collaboration: Encourage teamwork and collaboration across departments (and potential across partners)</w:t>
      </w:r>
    </w:p>
    <w:p w14:paraId="3EA53DF4"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Benchmarking: Compare with industry standards.</w:t>
      </w:r>
    </w:p>
    <w:p w14:paraId="644698DF" w14:textId="77777777" w:rsidR="002B4566" w:rsidRDefault="002B4566" w:rsidP="002B4566">
      <w:pPr>
        <w:numPr>
          <w:ilvl w:val="0"/>
          <w:numId w:val="4"/>
        </w:numPr>
        <w:shd w:val="clear" w:color="auto" w:fill="FAFAFA"/>
        <w:spacing w:after="0" w:line="240" w:lineRule="auto"/>
        <w:rPr>
          <w:rFonts w:eastAsia="Verdana" w:cstheme="majorHAnsi"/>
          <w:sz w:val="22"/>
        </w:rPr>
      </w:pPr>
      <w:r w:rsidRPr="002B4566">
        <w:rPr>
          <w:rFonts w:eastAsia="Verdana" w:cstheme="majorHAnsi"/>
          <w:sz w:val="22"/>
        </w:rPr>
        <w:t>Continuous Improvement Programs: Implement methodologies such as Lean or Six Sigma</w:t>
      </w:r>
    </w:p>
    <w:p w14:paraId="71605CC6" w14:textId="77777777" w:rsidR="00E53D33" w:rsidRDefault="00E53D33" w:rsidP="00E53D33">
      <w:pPr>
        <w:shd w:val="clear" w:color="auto" w:fill="FAFAFA"/>
        <w:spacing w:after="0" w:line="240" w:lineRule="auto"/>
        <w:rPr>
          <w:rFonts w:eastAsia="Verdana" w:cstheme="majorHAnsi"/>
          <w:sz w:val="22"/>
        </w:rPr>
      </w:pPr>
    </w:p>
    <w:p w14:paraId="60472DA5" w14:textId="77777777" w:rsidR="00380B5C" w:rsidRDefault="00380B5C" w:rsidP="00E53D33">
      <w:pPr>
        <w:shd w:val="clear" w:color="auto" w:fill="FAFAFA"/>
        <w:spacing w:after="0" w:line="240" w:lineRule="auto"/>
        <w:rPr>
          <w:rFonts w:eastAsia="Verdana" w:cstheme="majorHAnsi"/>
          <w:sz w:val="22"/>
        </w:rPr>
      </w:pPr>
    </w:p>
    <w:p w14:paraId="4716F447" w14:textId="77777777" w:rsidR="00380B5C" w:rsidRDefault="00380B5C" w:rsidP="00E53D33">
      <w:pPr>
        <w:shd w:val="clear" w:color="auto" w:fill="FAFAFA"/>
        <w:spacing w:after="0" w:line="240" w:lineRule="auto"/>
        <w:rPr>
          <w:rFonts w:eastAsia="Verdana" w:cstheme="majorHAnsi"/>
          <w:sz w:val="22"/>
        </w:rPr>
      </w:pPr>
    </w:p>
    <w:p w14:paraId="40C959FA" w14:textId="77777777" w:rsidR="00380B5C" w:rsidRPr="002B4566" w:rsidRDefault="00380B5C" w:rsidP="00E53D33">
      <w:pPr>
        <w:shd w:val="clear" w:color="auto" w:fill="FAFAFA"/>
        <w:spacing w:after="0" w:line="240" w:lineRule="auto"/>
        <w:rPr>
          <w:rFonts w:eastAsia="Verdana" w:cstheme="majorHAnsi"/>
          <w:sz w:val="22"/>
        </w:rPr>
      </w:pPr>
    </w:p>
    <w:p w14:paraId="03639E0C" w14:textId="77777777" w:rsidR="002B4566" w:rsidRDefault="002B4566" w:rsidP="002B4566">
      <w:pPr>
        <w:shd w:val="clear" w:color="auto" w:fill="FAFAFA"/>
        <w:spacing w:after="0" w:line="240" w:lineRule="auto"/>
        <w:rPr>
          <w:rFonts w:eastAsia="Verdana" w:cstheme="majorHAnsi"/>
          <w:b/>
          <w:bCs/>
          <w:sz w:val="22"/>
        </w:rPr>
      </w:pPr>
      <w:r w:rsidRPr="002B4566">
        <w:rPr>
          <w:rFonts w:eastAsia="Verdana" w:cstheme="majorHAnsi"/>
          <w:b/>
          <w:bCs/>
          <w:sz w:val="22"/>
        </w:rPr>
        <w:t>Output</w:t>
      </w:r>
    </w:p>
    <w:p w14:paraId="362B1971" w14:textId="77777777" w:rsidR="00380B5C" w:rsidRPr="002B4566" w:rsidRDefault="00380B5C" w:rsidP="002B4566">
      <w:pPr>
        <w:shd w:val="clear" w:color="auto" w:fill="FAFAFA"/>
        <w:spacing w:after="0" w:line="240" w:lineRule="auto"/>
        <w:rPr>
          <w:rFonts w:eastAsia="Verdana" w:cstheme="majorHAnsi"/>
          <w:b/>
          <w:bCs/>
          <w:sz w:val="22"/>
        </w:rPr>
      </w:pPr>
    </w:p>
    <w:p w14:paraId="1FB2EF94" w14:textId="77777777" w:rsidR="002B4566" w:rsidRPr="002B4566" w:rsidRDefault="002B4566" w:rsidP="002B4566">
      <w:pPr>
        <w:shd w:val="clear" w:color="auto" w:fill="FAFAFA"/>
        <w:spacing w:after="0" w:line="240" w:lineRule="auto"/>
        <w:rPr>
          <w:rFonts w:eastAsia="Verdana" w:cstheme="majorHAnsi"/>
          <w:sz w:val="22"/>
        </w:rPr>
      </w:pPr>
      <w:r w:rsidRPr="002B4566">
        <w:rPr>
          <w:rFonts w:eastAsia="Verdana" w:cstheme="majorHAnsi"/>
          <w:sz w:val="22"/>
        </w:rPr>
        <w:t>We would expect the successful company to compile an organisation report for each participating organisation, with a small number of impactful priorities that each organisation can take forward.  Sport Wales would expect a high-level report that could be used with the broader sector.</w:t>
      </w:r>
    </w:p>
    <w:p w14:paraId="7565C5AE" w14:textId="77777777" w:rsidR="002B4566" w:rsidRPr="002B4566" w:rsidRDefault="002B4566" w:rsidP="002B4566">
      <w:pPr>
        <w:spacing w:after="0" w:line="240" w:lineRule="auto"/>
        <w:rPr>
          <w:rFonts w:cstheme="majorHAnsi"/>
          <w:color w:val="000000" w:themeColor="text1"/>
          <w:sz w:val="22"/>
        </w:rPr>
      </w:pPr>
    </w:p>
    <w:p w14:paraId="5C5DA323" w14:textId="77777777" w:rsidR="002B4566" w:rsidRPr="002D31DC" w:rsidRDefault="002B4566" w:rsidP="002D31DC">
      <w:pPr>
        <w:spacing w:after="0" w:line="240" w:lineRule="auto"/>
        <w:rPr>
          <w:rFonts w:cstheme="majorHAnsi"/>
          <w:color w:val="000000" w:themeColor="text1"/>
        </w:rPr>
      </w:pPr>
      <w:r w:rsidRPr="002D31DC">
        <w:rPr>
          <w:rFonts w:cstheme="majorHAnsi"/>
          <w:b/>
          <w:bCs/>
          <w:color w:val="000000" w:themeColor="text1"/>
        </w:rPr>
        <w:t>Experience</w:t>
      </w:r>
      <w:r w:rsidRPr="002D31DC">
        <w:rPr>
          <w:rFonts w:cstheme="majorHAnsi"/>
          <w:color w:val="000000" w:themeColor="text1"/>
        </w:rPr>
        <w:t xml:space="preserve"> </w:t>
      </w:r>
    </w:p>
    <w:p w14:paraId="0F486A88" w14:textId="77777777" w:rsidR="002B4566" w:rsidRPr="002B4566" w:rsidRDefault="002B4566" w:rsidP="002B4566">
      <w:pPr>
        <w:spacing w:after="0" w:line="240" w:lineRule="auto"/>
        <w:rPr>
          <w:rFonts w:cstheme="majorHAnsi"/>
          <w:b/>
          <w:sz w:val="22"/>
        </w:rPr>
      </w:pPr>
    </w:p>
    <w:p w14:paraId="682B9DB3" w14:textId="77777777" w:rsidR="002B4566" w:rsidRPr="002B4566" w:rsidRDefault="002B4566" w:rsidP="002B4566">
      <w:pPr>
        <w:spacing w:after="0" w:line="240" w:lineRule="auto"/>
        <w:rPr>
          <w:rFonts w:eastAsia="Verdana" w:cstheme="majorHAnsi"/>
          <w:sz w:val="22"/>
        </w:rPr>
      </w:pPr>
      <w:r w:rsidRPr="002B4566">
        <w:rPr>
          <w:rFonts w:eastAsia="Verdana" w:cstheme="majorHAnsi"/>
          <w:sz w:val="22"/>
        </w:rPr>
        <w:t>A successful organisation would need to shape and advise on these work areas and should be able to demonstrate:</w:t>
      </w:r>
    </w:p>
    <w:p w14:paraId="7E18825E"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Experience of identifying and implementing change across organisations</w:t>
      </w:r>
    </w:p>
    <w:p w14:paraId="0D4E4078"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Effective relationship management – managing delicate conversations, potential sensitive areas of work and conflict management</w:t>
      </w:r>
    </w:p>
    <w:p w14:paraId="0E0BF9DD"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Experience in working with organisations of different sizes, structures and maturity to guide and advice on efficiencies and potential solutions</w:t>
      </w:r>
    </w:p>
    <w:p w14:paraId="7C7D4496"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Expertise in organisational efficiency – the identification of pain points, good practise, identifying solutions based on each organisations capability and capacity</w:t>
      </w:r>
    </w:p>
    <w:p w14:paraId="6CBD1C42"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Forward thinking approaches including use of technology and AI</w:t>
      </w:r>
    </w:p>
    <w:p w14:paraId="2DF2143A"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The ability to understand the culture of the organisation and identify how to support its development linked to operational efficiency and effectiveness</w:t>
      </w:r>
    </w:p>
    <w:p w14:paraId="3AFEBF7A" w14:textId="77777777" w:rsidR="002B4566" w:rsidRPr="002B4566" w:rsidRDefault="002B4566" w:rsidP="002B4566">
      <w:pPr>
        <w:pStyle w:val="ListParagraph"/>
        <w:numPr>
          <w:ilvl w:val="0"/>
          <w:numId w:val="6"/>
        </w:numPr>
        <w:spacing w:after="0" w:line="240" w:lineRule="auto"/>
        <w:rPr>
          <w:rFonts w:eastAsia="Verdana" w:cstheme="majorHAnsi"/>
          <w:sz w:val="22"/>
        </w:rPr>
      </w:pPr>
      <w:r w:rsidRPr="002B4566">
        <w:rPr>
          <w:rFonts w:eastAsia="Verdana" w:cstheme="majorHAnsi"/>
          <w:sz w:val="22"/>
        </w:rPr>
        <w:t>Find patterns and any opportunities for collaboration across organisations</w:t>
      </w:r>
    </w:p>
    <w:p w14:paraId="5A046CF5" w14:textId="77777777" w:rsidR="002B4566" w:rsidRPr="002B4566" w:rsidRDefault="002B4566" w:rsidP="002B4566">
      <w:pPr>
        <w:spacing w:after="0" w:line="240" w:lineRule="auto"/>
        <w:rPr>
          <w:rFonts w:cstheme="majorHAnsi"/>
          <w:b/>
          <w:sz w:val="22"/>
        </w:rPr>
      </w:pPr>
    </w:p>
    <w:p w14:paraId="5D6FC461" w14:textId="77777777" w:rsidR="002B4566" w:rsidRPr="002B4566" w:rsidRDefault="002B4566" w:rsidP="002B4566">
      <w:pPr>
        <w:spacing w:after="0" w:line="240" w:lineRule="auto"/>
        <w:rPr>
          <w:rFonts w:cstheme="majorHAnsi"/>
          <w:b/>
          <w:sz w:val="22"/>
        </w:rPr>
      </w:pPr>
      <w:r w:rsidRPr="002B4566">
        <w:rPr>
          <w:rFonts w:cstheme="majorHAnsi"/>
          <w:b/>
          <w:sz w:val="22"/>
        </w:rPr>
        <w:t>Organisations</w:t>
      </w:r>
    </w:p>
    <w:p w14:paraId="244E87BA" w14:textId="77777777" w:rsidR="002B4566" w:rsidRPr="002B4566" w:rsidRDefault="002B4566" w:rsidP="002B4566">
      <w:pPr>
        <w:spacing w:after="0" w:line="240" w:lineRule="auto"/>
        <w:rPr>
          <w:rFonts w:cstheme="majorHAnsi"/>
          <w:b/>
          <w:sz w:val="22"/>
        </w:rPr>
      </w:pPr>
    </w:p>
    <w:p w14:paraId="73B9C0F6" w14:textId="77777777" w:rsidR="002B4566" w:rsidRDefault="002B4566" w:rsidP="002B4566">
      <w:pPr>
        <w:spacing w:after="0" w:line="240" w:lineRule="auto"/>
        <w:rPr>
          <w:rFonts w:cstheme="majorHAnsi"/>
          <w:b/>
          <w:sz w:val="22"/>
        </w:rPr>
      </w:pPr>
      <w:r w:rsidRPr="002B4566">
        <w:rPr>
          <w:rFonts w:cstheme="majorHAnsi"/>
          <w:b/>
          <w:sz w:val="22"/>
        </w:rPr>
        <w:t>Mid Wales Sport Partnerships</w:t>
      </w:r>
    </w:p>
    <w:p w14:paraId="618D2B23" w14:textId="77777777" w:rsidR="00380B5C" w:rsidRPr="002B4566" w:rsidRDefault="00380B5C" w:rsidP="002B4566">
      <w:pPr>
        <w:spacing w:after="0" w:line="240" w:lineRule="auto"/>
        <w:rPr>
          <w:rFonts w:cstheme="majorHAnsi"/>
          <w:b/>
          <w:sz w:val="22"/>
        </w:rPr>
      </w:pPr>
    </w:p>
    <w:p w14:paraId="382C87C4" w14:textId="77777777" w:rsidR="002B4566" w:rsidRPr="002B4566" w:rsidRDefault="002B4566" w:rsidP="002B4566">
      <w:pPr>
        <w:spacing w:after="0" w:line="240" w:lineRule="auto"/>
        <w:rPr>
          <w:rFonts w:cstheme="majorHAnsi"/>
          <w:bCs/>
          <w:sz w:val="22"/>
        </w:rPr>
      </w:pPr>
      <w:r w:rsidRPr="002B4566">
        <w:rPr>
          <w:rFonts w:cstheme="majorHAnsi"/>
          <w:bCs/>
          <w:sz w:val="22"/>
        </w:rPr>
        <w:t>In partnership with Sport Wales, the Mid Wales Sport Partnership (MWSP) was recently established and incorporated Summer 2024 to enhance access to physical activity across Powys and Ceredigion. Our emerging vision is to “Create Healthier Communities and Transform Lives through Active Lifestyles.”</w:t>
      </w:r>
    </w:p>
    <w:p w14:paraId="1F614159" w14:textId="77777777" w:rsidR="002B4566" w:rsidRPr="002B4566" w:rsidRDefault="002B4566" w:rsidP="002B4566">
      <w:pPr>
        <w:spacing w:after="0" w:line="240" w:lineRule="auto"/>
        <w:rPr>
          <w:rFonts w:cstheme="majorHAnsi"/>
          <w:bCs/>
          <w:sz w:val="22"/>
        </w:rPr>
      </w:pPr>
    </w:p>
    <w:p w14:paraId="7114B052" w14:textId="77777777" w:rsidR="002B4566" w:rsidRPr="002B4566" w:rsidRDefault="002B4566" w:rsidP="002B4566">
      <w:pPr>
        <w:spacing w:after="0" w:line="240" w:lineRule="auto"/>
        <w:rPr>
          <w:rFonts w:cstheme="majorHAnsi"/>
          <w:bCs/>
          <w:sz w:val="22"/>
        </w:rPr>
      </w:pPr>
      <w:r w:rsidRPr="002B4566">
        <w:rPr>
          <w:rFonts w:cstheme="majorHAnsi"/>
          <w:bCs/>
          <w:sz w:val="22"/>
        </w:rPr>
        <w:t>The establishment of Regional Sport Partnerships presents a timely opportunity to address local challenges with tailored, region-specific solutions that reflect the unique needs of Mid Wales (Ceredigion and Powys) communities.</w:t>
      </w:r>
    </w:p>
    <w:p w14:paraId="41BD3472" w14:textId="77777777" w:rsidR="002B4566" w:rsidRPr="002B4566" w:rsidRDefault="002B4566" w:rsidP="002B4566">
      <w:pPr>
        <w:spacing w:after="0" w:line="240" w:lineRule="auto"/>
        <w:rPr>
          <w:rFonts w:cstheme="majorHAnsi"/>
          <w:bCs/>
          <w:sz w:val="22"/>
        </w:rPr>
      </w:pPr>
    </w:p>
    <w:p w14:paraId="1291E098" w14:textId="77777777" w:rsidR="002B4566" w:rsidRPr="002B4566" w:rsidRDefault="002B4566" w:rsidP="002B4566">
      <w:pPr>
        <w:spacing w:after="0" w:line="240" w:lineRule="auto"/>
        <w:rPr>
          <w:rFonts w:cstheme="majorHAnsi"/>
          <w:bCs/>
          <w:sz w:val="22"/>
        </w:rPr>
      </w:pPr>
      <w:r w:rsidRPr="002B4566">
        <w:rPr>
          <w:rFonts w:cstheme="majorHAnsi"/>
          <w:bCs/>
          <w:sz w:val="22"/>
        </w:rPr>
        <w:t xml:space="preserve">MWSP operates as a private company limited by guarantee, governed by a robust and transparent framework. Our Board currently comprises six Directors and two Observers, with capacity for up to four additional Directors, ensuring a maximum of ten members. The Board is made up of dedicated volunteers who provide governance and strategic oversight. 60% of Board members speak Welsh as their first language, </w:t>
      </w:r>
      <w:r w:rsidRPr="002B4566">
        <w:rPr>
          <w:rFonts w:cstheme="majorHAnsi"/>
          <w:bCs/>
          <w:sz w:val="22"/>
        </w:rPr>
        <w:lastRenderedPageBreak/>
        <w:t>and 80% identify as Welsh learners, with 100% of the Executive team fluent in Welsh language. Inclusion and language remain central priorities in our thinking, communication and organisational culture.</w:t>
      </w:r>
    </w:p>
    <w:p w14:paraId="0161DF45" w14:textId="77777777" w:rsidR="002B4566" w:rsidRPr="002B4566" w:rsidRDefault="002B4566" w:rsidP="002B4566">
      <w:pPr>
        <w:spacing w:after="0" w:line="240" w:lineRule="auto"/>
        <w:rPr>
          <w:rFonts w:cstheme="majorHAnsi"/>
          <w:bCs/>
          <w:sz w:val="22"/>
        </w:rPr>
      </w:pPr>
    </w:p>
    <w:p w14:paraId="22BF0873" w14:textId="77777777" w:rsidR="002B4566" w:rsidRPr="002B4566" w:rsidRDefault="002B4566" w:rsidP="002B4566">
      <w:pPr>
        <w:spacing w:after="0" w:line="240" w:lineRule="auto"/>
        <w:rPr>
          <w:rFonts w:cstheme="majorHAnsi"/>
          <w:bCs/>
          <w:sz w:val="22"/>
        </w:rPr>
      </w:pPr>
      <w:r w:rsidRPr="002B4566">
        <w:rPr>
          <w:rFonts w:cstheme="majorHAnsi"/>
          <w:bCs/>
          <w:sz w:val="22"/>
        </w:rPr>
        <w:t>The operational team currently includes one Executive member (Regional Director), with a Partnership and Programme Manager joining in September, and a part-time Partnership Support Officer role due to be recruited to strengthen capacity.</w:t>
      </w:r>
    </w:p>
    <w:p w14:paraId="15B3E7F7" w14:textId="77777777" w:rsidR="002B4566" w:rsidRPr="002B4566" w:rsidRDefault="002B4566" w:rsidP="002B4566">
      <w:pPr>
        <w:spacing w:after="0" w:line="240" w:lineRule="auto"/>
        <w:rPr>
          <w:rFonts w:cstheme="majorHAnsi"/>
          <w:bCs/>
          <w:sz w:val="22"/>
        </w:rPr>
      </w:pPr>
      <w:r w:rsidRPr="002B4566">
        <w:rPr>
          <w:rFonts w:cstheme="majorHAnsi"/>
          <w:bCs/>
          <w:sz w:val="22"/>
        </w:rPr>
        <w:t>MWSP Strategic areas of focus within in our first operating year are:</w:t>
      </w:r>
    </w:p>
    <w:p w14:paraId="31D6B8F3"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Relationship Building</w:t>
      </w:r>
    </w:p>
    <w:p w14:paraId="158205AE"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Capability Framework and Governance Improvement</w:t>
      </w:r>
    </w:p>
    <w:p w14:paraId="3820934E"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Strategy Development</w:t>
      </w:r>
    </w:p>
    <w:p w14:paraId="54BFE42D"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Regional Identity</w:t>
      </w:r>
    </w:p>
    <w:p w14:paraId="60A1636B"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People Development</w:t>
      </w:r>
    </w:p>
    <w:p w14:paraId="2A6FEE3E"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Stakeholder Mapping</w:t>
      </w:r>
    </w:p>
    <w:p w14:paraId="2313895B"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Monitoring and Evaluation</w:t>
      </w:r>
    </w:p>
    <w:p w14:paraId="3F8930D0" w14:textId="77777777" w:rsidR="002B4566" w:rsidRPr="002B4566" w:rsidRDefault="002B4566" w:rsidP="002B4566">
      <w:pPr>
        <w:numPr>
          <w:ilvl w:val="0"/>
          <w:numId w:val="7"/>
        </w:numPr>
        <w:spacing w:after="0" w:line="240" w:lineRule="auto"/>
        <w:rPr>
          <w:rFonts w:cstheme="majorHAnsi"/>
          <w:bCs/>
          <w:sz w:val="22"/>
        </w:rPr>
      </w:pPr>
      <w:r w:rsidRPr="002B4566">
        <w:rPr>
          <w:rFonts w:cstheme="majorHAnsi"/>
          <w:bCs/>
          <w:sz w:val="22"/>
        </w:rPr>
        <w:t>Roll out of Innovation Fund to support new initiatives and partnerships</w:t>
      </w:r>
    </w:p>
    <w:p w14:paraId="0D2283B7" w14:textId="77777777" w:rsidR="002B4566" w:rsidRPr="002B4566" w:rsidRDefault="002B4566" w:rsidP="002B4566">
      <w:pPr>
        <w:spacing w:after="0" w:line="240" w:lineRule="auto"/>
        <w:rPr>
          <w:rFonts w:cstheme="majorHAnsi"/>
          <w:bCs/>
          <w:sz w:val="22"/>
        </w:rPr>
      </w:pPr>
    </w:p>
    <w:p w14:paraId="0023C965" w14:textId="77777777" w:rsidR="002B4566" w:rsidRPr="002B4566" w:rsidRDefault="002B4566" w:rsidP="002B4566">
      <w:pPr>
        <w:spacing w:after="0" w:line="240" w:lineRule="auto"/>
        <w:rPr>
          <w:rFonts w:cstheme="majorHAnsi"/>
          <w:bCs/>
          <w:sz w:val="22"/>
        </w:rPr>
      </w:pPr>
      <w:r w:rsidRPr="002B4566">
        <w:rPr>
          <w:rFonts w:cstheme="majorHAnsi"/>
          <w:bCs/>
          <w:sz w:val="22"/>
        </w:rPr>
        <w:t>we actively shape our operating model, we are exploring how to deliver with impact and equity across a region facing significant challenges related to access, infrastructure, and delivery capacity. Efficiency and effectiveness are live design questions for us. Participating in this programme would provide an opportunity to explore these questions in a focused, supported, and collaborative way, enabling us to develop inclusive approaches that are truly fit for the realities of Mid Wales.</w:t>
      </w:r>
    </w:p>
    <w:p w14:paraId="311356BA" w14:textId="77777777" w:rsidR="002B4566" w:rsidRPr="002B4566" w:rsidRDefault="002B4566" w:rsidP="002B4566">
      <w:pPr>
        <w:spacing w:after="0" w:line="240" w:lineRule="auto"/>
        <w:rPr>
          <w:rFonts w:cstheme="majorHAnsi"/>
          <w:b/>
          <w:sz w:val="22"/>
        </w:rPr>
      </w:pPr>
    </w:p>
    <w:p w14:paraId="4DF2FB88" w14:textId="77777777" w:rsidR="002B4566" w:rsidRDefault="002B4566" w:rsidP="002B4566">
      <w:pPr>
        <w:spacing w:after="0" w:line="240" w:lineRule="auto"/>
        <w:rPr>
          <w:rFonts w:cstheme="majorHAnsi"/>
          <w:b/>
          <w:sz w:val="22"/>
        </w:rPr>
      </w:pPr>
      <w:r w:rsidRPr="002B4566">
        <w:rPr>
          <w:rFonts w:cstheme="majorHAnsi"/>
          <w:b/>
          <w:sz w:val="22"/>
        </w:rPr>
        <w:t>Sport Wales Governance Team</w:t>
      </w:r>
    </w:p>
    <w:p w14:paraId="5D6F166D" w14:textId="77777777" w:rsidR="00380B5C" w:rsidRPr="002B4566" w:rsidRDefault="00380B5C" w:rsidP="002B4566">
      <w:pPr>
        <w:spacing w:after="0" w:line="240" w:lineRule="auto"/>
        <w:rPr>
          <w:rFonts w:cstheme="majorHAnsi"/>
          <w:b/>
          <w:sz w:val="22"/>
        </w:rPr>
      </w:pPr>
    </w:p>
    <w:p w14:paraId="7DA861B3" w14:textId="77777777" w:rsidR="002B4566" w:rsidRPr="002B4566" w:rsidRDefault="002B4566" w:rsidP="002B4566">
      <w:pPr>
        <w:spacing w:after="0" w:line="240" w:lineRule="auto"/>
        <w:rPr>
          <w:rFonts w:cstheme="majorHAnsi"/>
          <w:bCs/>
          <w:sz w:val="22"/>
        </w:rPr>
      </w:pPr>
      <w:r w:rsidRPr="002B4566">
        <w:rPr>
          <w:rFonts w:cstheme="majorHAnsi"/>
          <w:bCs/>
          <w:sz w:val="22"/>
        </w:rPr>
        <w:t>This team consists of six members of staff and are responsible for two key elements of work:</w:t>
      </w:r>
    </w:p>
    <w:p w14:paraId="3FB9134D" w14:textId="77777777" w:rsidR="002B4566" w:rsidRPr="002B4566" w:rsidRDefault="002B4566" w:rsidP="002B4566">
      <w:pPr>
        <w:spacing w:after="0" w:line="240" w:lineRule="auto"/>
        <w:rPr>
          <w:rFonts w:cstheme="majorHAnsi"/>
          <w:bCs/>
          <w:sz w:val="22"/>
        </w:rPr>
      </w:pPr>
    </w:p>
    <w:p w14:paraId="3A2653CE" w14:textId="77777777" w:rsidR="002B4566" w:rsidRPr="002B4566" w:rsidRDefault="002B4566" w:rsidP="002B4566">
      <w:pPr>
        <w:pStyle w:val="ListParagraph"/>
        <w:numPr>
          <w:ilvl w:val="0"/>
          <w:numId w:val="8"/>
        </w:numPr>
        <w:spacing w:after="0" w:line="240" w:lineRule="auto"/>
        <w:rPr>
          <w:rFonts w:cstheme="majorHAnsi"/>
          <w:bCs/>
          <w:sz w:val="22"/>
        </w:rPr>
      </w:pPr>
      <w:r w:rsidRPr="002B4566">
        <w:rPr>
          <w:rFonts w:cstheme="majorHAnsi"/>
          <w:bCs/>
          <w:sz w:val="22"/>
        </w:rPr>
        <w:t>To support the development of partners governance to ensure that they maximise the impact on sport in Wales</w:t>
      </w:r>
    </w:p>
    <w:p w14:paraId="6B69CFB7" w14:textId="77777777" w:rsidR="002B4566" w:rsidRPr="002B4566" w:rsidRDefault="002B4566" w:rsidP="002B4566">
      <w:pPr>
        <w:pStyle w:val="ListParagraph"/>
        <w:numPr>
          <w:ilvl w:val="0"/>
          <w:numId w:val="8"/>
        </w:numPr>
        <w:spacing w:after="0" w:line="240" w:lineRule="auto"/>
        <w:rPr>
          <w:rFonts w:cstheme="majorHAnsi"/>
          <w:bCs/>
          <w:sz w:val="22"/>
        </w:rPr>
      </w:pPr>
      <w:r w:rsidRPr="002B4566">
        <w:rPr>
          <w:rFonts w:cstheme="majorHAnsi"/>
          <w:bCs/>
          <w:sz w:val="22"/>
        </w:rPr>
        <w:t>To ensure that partners are fit to receive public funding by adhering to the ‘capability framework’</w:t>
      </w:r>
    </w:p>
    <w:p w14:paraId="55527D11" w14:textId="77777777" w:rsidR="002B4566" w:rsidRPr="002B4566" w:rsidRDefault="002B4566" w:rsidP="002B4566">
      <w:pPr>
        <w:spacing w:after="0" w:line="240" w:lineRule="auto"/>
        <w:rPr>
          <w:rFonts w:cstheme="majorHAnsi"/>
          <w:bCs/>
          <w:sz w:val="22"/>
        </w:rPr>
      </w:pPr>
    </w:p>
    <w:p w14:paraId="5894CA12" w14:textId="77777777" w:rsidR="002B4566" w:rsidRPr="002B4566" w:rsidRDefault="002B4566" w:rsidP="002B4566">
      <w:pPr>
        <w:spacing w:after="0" w:line="240" w:lineRule="auto"/>
        <w:rPr>
          <w:rFonts w:cstheme="majorHAnsi"/>
          <w:bCs/>
          <w:sz w:val="22"/>
        </w:rPr>
      </w:pPr>
      <w:r w:rsidRPr="002B4566">
        <w:rPr>
          <w:rFonts w:cstheme="majorHAnsi"/>
          <w:bCs/>
          <w:sz w:val="22"/>
        </w:rPr>
        <w:t>The team work with approx. 70 partners ranging from proactive support, collaboration, reactive 1-1 support, risk management including safeguarding and finance.  They also work across the UK on governance areas.</w:t>
      </w:r>
    </w:p>
    <w:p w14:paraId="5F18E6A9" w14:textId="77777777" w:rsidR="002B4566" w:rsidRPr="002B4566" w:rsidRDefault="002B4566" w:rsidP="002B4566">
      <w:pPr>
        <w:spacing w:after="0" w:line="240" w:lineRule="auto"/>
        <w:rPr>
          <w:rFonts w:cstheme="majorHAnsi"/>
          <w:bCs/>
          <w:sz w:val="22"/>
        </w:rPr>
      </w:pPr>
    </w:p>
    <w:p w14:paraId="5955BE3B" w14:textId="77777777" w:rsidR="002B4566" w:rsidRPr="002B4566" w:rsidRDefault="002B4566" w:rsidP="002B4566">
      <w:pPr>
        <w:spacing w:after="0" w:line="240" w:lineRule="auto"/>
        <w:rPr>
          <w:rFonts w:cstheme="majorHAnsi"/>
          <w:bCs/>
          <w:sz w:val="22"/>
        </w:rPr>
      </w:pPr>
      <w:r w:rsidRPr="002B4566">
        <w:rPr>
          <w:rFonts w:cstheme="majorHAnsi"/>
          <w:bCs/>
          <w:sz w:val="22"/>
        </w:rPr>
        <w:t>Alongside this, current Sector resilience work has been undertaken to support the sector with income generation, shared service opportunities and opportunities for potential different operating models within Welsh sport.</w:t>
      </w:r>
    </w:p>
    <w:p w14:paraId="496FB94C" w14:textId="77777777" w:rsidR="002B4566" w:rsidRPr="002B4566" w:rsidRDefault="002B4566" w:rsidP="002B4566">
      <w:pPr>
        <w:spacing w:after="0" w:line="240" w:lineRule="auto"/>
        <w:rPr>
          <w:rFonts w:cstheme="majorHAnsi"/>
          <w:bCs/>
          <w:sz w:val="22"/>
        </w:rPr>
      </w:pPr>
    </w:p>
    <w:p w14:paraId="35814BE2" w14:textId="77777777" w:rsidR="002B4566" w:rsidRPr="002B4566" w:rsidRDefault="002B4566" w:rsidP="002B4566">
      <w:pPr>
        <w:spacing w:after="0" w:line="240" w:lineRule="auto"/>
        <w:rPr>
          <w:rFonts w:cstheme="majorHAnsi"/>
          <w:bCs/>
          <w:sz w:val="22"/>
        </w:rPr>
      </w:pPr>
    </w:p>
    <w:p w14:paraId="3C48F571" w14:textId="77777777" w:rsidR="002B4566" w:rsidRPr="002B4566" w:rsidRDefault="002B4566" w:rsidP="002B4566">
      <w:pPr>
        <w:spacing w:after="0" w:line="240" w:lineRule="auto"/>
        <w:rPr>
          <w:rFonts w:cstheme="majorHAnsi"/>
          <w:b/>
          <w:bCs/>
          <w:sz w:val="22"/>
        </w:rPr>
      </w:pPr>
      <w:r w:rsidRPr="002B4566">
        <w:rPr>
          <w:rFonts w:cstheme="majorHAnsi"/>
          <w:b/>
          <w:bCs/>
          <w:sz w:val="22"/>
        </w:rPr>
        <w:t>Hoci Cymru – Championing the Growth of Hockey in Wales</w:t>
      </w:r>
    </w:p>
    <w:p w14:paraId="55FCCFCF" w14:textId="77777777" w:rsidR="002B4566" w:rsidRPr="002B4566" w:rsidRDefault="002B4566" w:rsidP="002B4566">
      <w:pPr>
        <w:spacing w:after="0" w:line="240" w:lineRule="auto"/>
        <w:rPr>
          <w:rFonts w:cstheme="majorHAnsi"/>
          <w:b/>
          <w:sz w:val="22"/>
        </w:rPr>
      </w:pPr>
    </w:p>
    <w:p w14:paraId="5EBD1748" w14:textId="77777777" w:rsidR="002B4566" w:rsidRPr="002B4566" w:rsidRDefault="002B4566" w:rsidP="002B4566">
      <w:pPr>
        <w:spacing w:after="0" w:line="240" w:lineRule="auto"/>
        <w:rPr>
          <w:rFonts w:cstheme="majorHAnsi"/>
          <w:bCs/>
          <w:sz w:val="22"/>
        </w:rPr>
      </w:pPr>
      <w:r w:rsidRPr="002B4566">
        <w:rPr>
          <w:rFonts w:cstheme="majorHAnsi"/>
          <w:bCs/>
          <w:sz w:val="22"/>
        </w:rPr>
        <w:t>Hoci Cymru (Hockey Wales) is the national governing body responsible for the development, promotion, and governance of field hockey across Wales. Dedicated to igniting a passion for hockey, Hoci Cymru works at every level of the sport from grassroots participation to elite international performance, ensuring that hockey is accessible, inclusive, and inspiring for all.</w:t>
      </w:r>
    </w:p>
    <w:p w14:paraId="17331241" w14:textId="77777777" w:rsidR="002B4566" w:rsidRPr="002B4566" w:rsidRDefault="002B4566" w:rsidP="002B4566">
      <w:pPr>
        <w:spacing w:after="0" w:line="240" w:lineRule="auto"/>
        <w:rPr>
          <w:rFonts w:cstheme="majorHAnsi"/>
          <w:bCs/>
          <w:sz w:val="22"/>
        </w:rPr>
      </w:pPr>
    </w:p>
    <w:p w14:paraId="1D500D13" w14:textId="77777777" w:rsidR="002B4566" w:rsidRPr="002B4566" w:rsidRDefault="002B4566" w:rsidP="002B4566">
      <w:pPr>
        <w:spacing w:after="0" w:line="240" w:lineRule="auto"/>
        <w:rPr>
          <w:rFonts w:cstheme="majorHAnsi"/>
          <w:bCs/>
          <w:sz w:val="22"/>
        </w:rPr>
      </w:pPr>
      <w:r w:rsidRPr="002B4566">
        <w:rPr>
          <w:rFonts w:cstheme="majorHAnsi"/>
          <w:bCs/>
          <w:sz w:val="22"/>
        </w:rPr>
        <w:lastRenderedPageBreak/>
        <w:t>With a clear vision to Ignite a passion for Hockey. Hoci Cymru supports clubs, coaches, players, volunteers, and officials through a range of opportunities to engage, compete and perform. The organisation is instrumental in developing youth talent pathways, increasing opportunities for women and girls in sport, and driving equality, diversity, and inclusion within the hockey landscape.</w:t>
      </w:r>
    </w:p>
    <w:p w14:paraId="231253FE" w14:textId="77777777" w:rsidR="002B4566" w:rsidRPr="002B4566" w:rsidRDefault="002B4566" w:rsidP="002B4566">
      <w:pPr>
        <w:spacing w:after="0" w:line="240" w:lineRule="auto"/>
        <w:rPr>
          <w:rFonts w:cstheme="majorHAnsi"/>
          <w:bCs/>
          <w:sz w:val="22"/>
        </w:rPr>
      </w:pPr>
    </w:p>
    <w:p w14:paraId="112CF2B2" w14:textId="77777777" w:rsidR="002B4566" w:rsidRPr="002B4566" w:rsidRDefault="002B4566" w:rsidP="002B4566">
      <w:pPr>
        <w:spacing w:after="0" w:line="240" w:lineRule="auto"/>
        <w:rPr>
          <w:rFonts w:cstheme="majorHAnsi"/>
          <w:bCs/>
          <w:sz w:val="22"/>
        </w:rPr>
      </w:pPr>
      <w:r w:rsidRPr="002B4566">
        <w:rPr>
          <w:rFonts w:cstheme="majorHAnsi"/>
          <w:bCs/>
          <w:sz w:val="22"/>
        </w:rPr>
        <w:t>At the performance level, Hoci Cymru oversees the national men’s and women’s teams, who compete in major European and global competitions, proudly representing Wales on the international stage. The organisation also plays a vital role in talent identification and high-performance coaching, helping to nurture future stars of the sport.</w:t>
      </w:r>
    </w:p>
    <w:p w14:paraId="04674BB8" w14:textId="77777777" w:rsidR="002B4566" w:rsidRPr="002B4566" w:rsidRDefault="002B4566" w:rsidP="002B4566">
      <w:pPr>
        <w:spacing w:after="0" w:line="240" w:lineRule="auto"/>
        <w:rPr>
          <w:rFonts w:cstheme="majorHAnsi"/>
          <w:bCs/>
          <w:sz w:val="22"/>
        </w:rPr>
      </w:pPr>
    </w:p>
    <w:p w14:paraId="09D0760A" w14:textId="77777777" w:rsidR="002B4566" w:rsidRPr="002B4566" w:rsidRDefault="002B4566" w:rsidP="002B4566">
      <w:pPr>
        <w:spacing w:after="0" w:line="240" w:lineRule="auto"/>
        <w:rPr>
          <w:rFonts w:cstheme="majorHAnsi"/>
          <w:bCs/>
          <w:sz w:val="22"/>
        </w:rPr>
      </w:pPr>
      <w:r w:rsidRPr="002B4566">
        <w:rPr>
          <w:rFonts w:cstheme="majorHAnsi"/>
          <w:bCs/>
          <w:sz w:val="22"/>
        </w:rPr>
        <w:t>Beyond competitive achievement, Hoci Cymru is committed to using hockey as a vehicle for positive social change. Through partnerships with schools, communities, and local authorities, the organisation promotes physical wellbeing, mental health, and life skills, emphasising the wider benefits of sport participation.</w:t>
      </w:r>
    </w:p>
    <w:p w14:paraId="1D4D06D9" w14:textId="77777777" w:rsidR="002B4566" w:rsidRPr="002B4566" w:rsidRDefault="002B4566" w:rsidP="002B4566">
      <w:pPr>
        <w:spacing w:after="0" w:line="240" w:lineRule="auto"/>
        <w:rPr>
          <w:rFonts w:cstheme="majorHAnsi"/>
          <w:bCs/>
          <w:sz w:val="22"/>
        </w:rPr>
      </w:pPr>
    </w:p>
    <w:p w14:paraId="2F0C6290" w14:textId="77777777" w:rsidR="002B4566" w:rsidRPr="002B4566" w:rsidRDefault="002B4566" w:rsidP="002B4566">
      <w:pPr>
        <w:spacing w:after="0" w:line="240" w:lineRule="auto"/>
        <w:rPr>
          <w:rFonts w:cstheme="majorHAnsi"/>
          <w:bCs/>
          <w:sz w:val="22"/>
        </w:rPr>
      </w:pPr>
      <w:r w:rsidRPr="002B4566">
        <w:rPr>
          <w:rFonts w:cstheme="majorHAnsi"/>
          <w:bCs/>
          <w:sz w:val="22"/>
        </w:rPr>
        <w:t>With a dedicated and passionate team, Hoci Cymru continues to grow the profile of Welsh hockey, ensuring the sport reflects the values of teamwork, respect, and excellence. Whether introducing the game to a child for the first time or supporting elite athletes to reach their full potential, Hoci Cymru is at the heart of Welsh hockey, connecting people, places, and passion through sport.</w:t>
      </w:r>
    </w:p>
    <w:p w14:paraId="092DFCD7" w14:textId="77777777" w:rsidR="002B4566" w:rsidRPr="002B4566" w:rsidRDefault="002B4566" w:rsidP="002B4566">
      <w:pPr>
        <w:spacing w:after="0" w:line="240" w:lineRule="auto"/>
        <w:rPr>
          <w:rFonts w:cstheme="majorHAnsi"/>
          <w:bCs/>
          <w:sz w:val="22"/>
        </w:rPr>
      </w:pPr>
      <w:r w:rsidRPr="002B4566">
        <w:rPr>
          <w:rFonts w:cstheme="majorHAnsi"/>
          <w:bCs/>
          <w:sz w:val="22"/>
        </w:rPr>
        <w:t xml:space="preserve">To learn more or get involved, visit: </w:t>
      </w:r>
      <w:hyperlink r:id="rId12" w:tgtFrame="_new" w:history="1">
        <w:r w:rsidRPr="002B4566">
          <w:rPr>
            <w:rStyle w:val="Hyperlink"/>
            <w:rFonts w:cstheme="majorHAnsi"/>
            <w:bCs/>
            <w:sz w:val="22"/>
          </w:rPr>
          <w:t>www.hockeywales.org.uk</w:t>
        </w:r>
      </w:hyperlink>
    </w:p>
    <w:p w14:paraId="4449855E" w14:textId="77777777" w:rsidR="002B4566" w:rsidRPr="002B4566" w:rsidRDefault="002B4566" w:rsidP="002B4566">
      <w:pPr>
        <w:spacing w:after="0" w:line="240" w:lineRule="auto"/>
        <w:rPr>
          <w:rFonts w:cstheme="majorHAnsi"/>
          <w:b/>
          <w:sz w:val="22"/>
        </w:rPr>
      </w:pPr>
    </w:p>
    <w:p w14:paraId="538E4901" w14:textId="77777777" w:rsidR="002B4566" w:rsidRDefault="002B4566" w:rsidP="002B4566">
      <w:pPr>
        <w:spacing w:after="0" w:line="240" w:lineRule="auto"/>
        <w:rPr>
          <w:rFonts w:cstheme="majorHAnsi"/>
          <w:b/>
          <w:sz w:val="22"/>
        </w:rPr>
      </w:pPr>
      <w:r w:rsidRPr="002B4566">
        <w:rPr>
          <w:rFonts w:cstheme="majorHAnsi"/>
          <w:b/>
          <w:sz w:val="22"/>
        </w:rPr>
        <w:t>Cricket Wales</w:t>
      </w:r>
    </w:p>
    <w:p w14:paraId="12CBF780" w14:textId="77777777" w:rsidR="00380B5C" w:rsidRPr="002B4566" w:rsidRDefault="00380B5C" w:rsidP="002B4566">
      <w:pPr>
        <w:spacing w:after="0" w:line="240" w:lineRule="auto"/>
        <w:rPr>
          <w:rFonts w:cstheme="majorHAnsi"/>
          <w:b/>
          <w:sz w:val="22"/>
        </w:rPr>
      </w:pPr>
    </w:p>
    <w:p w14:paraId="14938DBF" w14:textId="1E52BDE6" w:rsidR="002B4566" w:rsidRPr="002B4566" w:rsidRDefault="002B4566" w:rsidP="002B4566">
      <w:pPr>
        <w:spacing w:after="0" w:line="240" w:lineRule="auto"/>
        <w:rPr>
          <w:rFonts w:cstheme="majorHAnsi"/>
          <w:bCs/>
          <w:sz w:val="22"/>
        </w:rPr>
      </w:pPr>
      <w:r w:rsidRPr="002B4566">
        <w:rPr>
          <w:rFonts w:cstheme="majorHAnsi"/>
          <w:bCs/>
          <w:sz w:val="22"/>
        </w:rPr>
        <w:t xml:space="preserve">Cricket Wales is the national governing body for cricket in Wales, dedicated to making </w:t>
      </w:r>
      <w:r w:rsidR="006A468E" w:rsidRPr="002B4566">
        <w:rPr>
          <w:rFonts w:cstheme="majorHAnsi"/>
          <w:bCs/>
          <w:i/>
          <w:iCs/>
          <w:sz w:val="22"/>
        </w:rPr>
        <w:t>Cricket</w:t>
      </w:r>
      <w:r w:rsidRPr="002B4566">
        <w:rPr>
          <w:rFonts w:cstheme="majorHAnsi"/>
          <w:bCs/>
          <w:i/>
          <w:iCs/>
          <w:sz w:val="22"/>
        </w:rPr>
        <w:t xml:space="preserve"> </w:t>
      </w:r>
      <w:r w:rsidRPr="002B4566">
        <w:rPr>
          <w:rFonts w:cstheme="majorHAnsi"/>
          <w:bCs/>
          <w:sz w:val="22"/>
        </w:rPr>
        <w:t xml:space="preserve">A sport for all. Their mission is to </w:t>
      </w:r>
      <w:r w:rsidRPr="002B4566">
        <w:rPr>
          <w:rFonts w:cstheme="majorHAnsi"/>
          <w:bCs/>
          <w:i/>
          <w:iCs/>
          <w:sz w:val="22"/>
        </w:rPr>
        <w:t>protect what’s precious and revolutionise the future</w:t>
      </w:r>
      <w:r w:rsidRPr="002B4566">
        <w:rPr>
          <w:rFonts w:cstheme="majorHAnsi"/>
          <w:bCs/>
          <w:sz w:val="22"/>
        </w:rPr>
        <w:t xml:space="preserve"> by building a sport that is inclusive, united, and forward thinking. Rooted in the values of Together, Lead, and Care, Cricket Wales aims to create a game where everyone, regardless of age, gender, background, or ability, feels respected, welcomed, and inspired to take part.</w:t>
      </w:r>
    </w:p>
    <w:p w14:paraId="7BB19ED1" w14:textId="77777777" w:rsidR="002B4566" w:rsidRPr="002B4566" w:rsidRDefault="002B4566" w:rsidP="002B4566">
      <w:pPr>
        <w:spacing w:after="0" w:line="240" w:lineRule="auto"/>
        <w:rPr>
          <w:rFonts w:cstheme="majorHAnsi"/>
          <w:bCs/>
          <w:sz w:val="22"/>
        </w:rPr>
      </w:pPr>
    </w:p>
    <w:p w14:paraId="6826AE3C" w14:textId="77777777" w:rsidR="002B4566" w:rsidRPr="002B4566" w:rsidRDefault="002B4566" w:rsidP="002B4566">
      <w:pPr>
        <w:spacing w:after="0" w:line="240" w:lineRule="auto"/>
        <w:rPr>
          <w:rFonts w:cstheme="majorHAnsi"/>
          <w:bCs/>
          <w:sz w:val="22"/>
        </w:rPr>
      </w:pPr>
      <w:r w:rsidRPr="002B4566">
        <w:rPr>
          <w:rFonts w:cstheme="majorHAnsi"/>
          <w:bCs/>
          <w:sz w:val="22"/>
        </w:rPr>
        <w:t xml:space="preserve">From grassroots clubs to national initiatives, Cricket Wales is committed to developing people and culture, supporting thriving clubs, revolutionising the women’s and girls’ game, providing fit for purpose facilities, and creating captivating ways to engage with cricket. Their long-term focuses on transforming lives and communities through cricket by enhancing opportunities, wellbeing, and sustainability. As leaders in ethical governance, safeguarding, and equality, diversity, and inclusion, Cricket Wales strives to ensure that every individual in the cricketing community can flourish and feel they truly belong. </w:t>
      </w:r>
    </w:p>
    <w:p w14:paraId="2EF72CCF" w14:textId="77777777" w:rsidR="002B4566" w:rsidRPr="002B4566" w:rsidRDefault="002B4566" w:rsidP="002B4566">
      <w:pPr>
        <w:spacing w:after="0" w:line="240" w:lineRule="auto"/>
        <w:rPr>
          <w:rFonts w:cstheme="majorHAnsi"/>
          <w:bCs/>
          <w:sz w:val="22"/>
        </w:rPr>
      </w:pPr>
    </w:p>
    <w:p w14:paraId="28E8AB5F" w14:textId="4C704746" w:rsidR="002B4566" w:rsidRPr="001A4439" w:rsidRDefault="002B4566" w:rsidP="002B4566">
      <w:pPr>
        <w:spacing w:after="0" w:line="240" w:lineRule="auto"/>
        <w:rPr>
          <w:rFonts w:cstheme="majorHAnsi"/>
          <w:bCs/>
          <w:sz w:val="22"/>
        </w:rPr>
      </w:pPr>
      <w:r w:rsidRPr="001A4439">
        <w:rPr>
          <w:rFonts w:cstheme="majorHAnsi"/>
          <w:bCs/>
          <w:sz w:val="22"/>
        </w:rPr>
        <w:t xml:space="preserve">Vision and Strategy launched in June 2025 is </w:t>
      </w:r>
      <w:hyperlink r:id="rId13" w:history="1">
        <w:r w:rsidRPr="001A4439">
          <w:rPr>
            <w:color w:val="0000FF"/>
            <w:sz w:val="22"/>
            <w:u w:val="single"/>
          </w:rPr>
          <w:t>Cricket Wales – Cricket In Wales</w:t>
        </w:r>
      </w:hyperlink>
    </w:p>
    <w:p w14:paraId="01032C24" w14:textId="77777777" w:rsidR="002B4566" w:rsidRPr="002B4566" w:rsidRDefault="002B4566" w:rsidP="002B4566">
      <w:pPr>
        <w:spacing w:after="0" w:line="240" w:lineRule="auto"/>
        <w:rPr>
          <w:rFonts w:cstheme="majorHAnsi"/>
          <w:b/>
          <w:sz w:val="22"/>
        </w:rPr>
      </w:pPr>
    </w:p>
    <w:p w14:paraId="71C0FF46" w14:textId="77777777" w:rsidR="002B4566" w:rsidRDefault="002B4566" w:rsidP="002B4566">
      <w:pPr>
        <w:spacing w:after="0" w:line="240" w:lineRule="auto"/>
        <w:rPr>
          <w:rFonts w:cstheme="majorHAnsi"/>
          <w:b/>
          <w:sz w:val="22"/>
        </w:rPr>
      </w:pPr>
      <w:r w:rsidRPr="002B4566">
        <w:rPr>
          <w:rFonts w:cstheme="majorHAnsi"/>
          <w:b/>
          <w:sz w:val="22"/>
        </w:rPr>
        <w:t>Welsh Triathlon</w:t>
      </w:r>
    </w:p>
    <w:p w14:paraId="667EC122" w14:textId="77777777" w:rsidR="006A468E" w:rsidRPr="002B4566" w:rsidRDefault="006A468E" w:rsidP="002B4566">
      <w:pPr>
        <w:spacing w:after="0" w:line="240" w:lineRule="auto"/>
        <w:rPr>
          <w:rFonts w:cstheme="majorHAnsi"/>
          <w:b/>
          <w:sz w:val="22"/>
        </w:rPr>
      </w:pPr>
    </w:p>
    <w:p w14:paraId="140E01FE" w14:textId="77777777" w:rsidR="002B4566" w:rsidRPr="002B4566" w:rsidRDefault="002B4566" w:rsidP="002B4566">
      <w:pPr>
        <w:spacing w:after="0" w:line="240" w:lineRule="auto"/>
        <w:rPr>
          <w:rFonts w:cstheme="majorHAnsi"/>
          <w:bCs/>
          <w:sz w:val="22"/>
        </w:rPr>
      </w:pPr>
      <w:r w:rsidRPr="002B4566">
        <w:rPr>
          <w:rFonts w:cstheme="majorHAnsi"/>
          <w:bCs/>
          <w:sz w:val="22"/>
        </w:rPr>
        <w:t>Welsh Triathlon is the National Governing Body (NGB) for triathlon in Wales, responsible for overseeing the sport’s development, governance, and performance pathways across the country. It plays a vital role in nurturing talent, supporting grassroots participation, and promoting triathlon as a sport for all.</w:t>
      </w:r>
    </w:p>
    <w:p w14:paraId="786F18F4" w14:textId="77777777" w:rsidR="002B4566" w:rsidRPr="002B4566" w:rsidRDefault="002B4566" w:rsidP="002B4566">
      <w:pPr>
        <w:spacing w:after="0" w:line="240" w:lineRule="auto"/>
        <w:rPr>
          <w:rFonts w:cstheme="majorHAnsi"/>
          <w:bCs/>
          <w:sz w:val="22"/>
        </w:rPr>
      </w:pPr>
    </w:p>
    <w:p w14:paraId="591D44DF" w14:textId="77777777" w:rsidR="002B4566" w:rsidRPr="002B4566" w:rsidRDefault="002B4566" w:rsidP="002B4566">
      <w:pPr>
        <w:spacing w:after="0" w:line="240" w:lineRule="auto"/>
        <w:rPr>
          <w:rFonts w:cstheme="majorHAnsi"/>
          <w:bCs/>
          <w:sz w:val="22"/>
        </w:rPr>
      </w:pPr>
      <w:r w:rsidRPr="002B4566">
        <w:rPr>
          <w:rFonts w:cstheme="majorHAnsi"/>
          <w:bCs/>
          <w:sz w:val="22"/>
        </w:rPr>
        <w:lastRenderedPageBreak/>
        <w:t>Welsh Triathlon’s vision is to develop a triathlon community that enhances the well-being of current and future generations in Wales. This vision is underpinned by its strategy, which focuses on three strategic pillars:</w:t>
      </w:r>
    </w:p>
    <w:p w14:paraId="52E7FF25" w14:textId="77777777" w:rsidR="002B4566" w:rsidRPr="002B4566" w:rsidRDefault="002B4566" w:rsidP="002B4566">
      <w:pPr>
        <w:spacing w:after="0" w:line="240" w:lineRule="auto"/>
        <w:rPr>
          <w:rFonts w:cstheme="majorHAnsi"/>
          <w:bCs/>
          <w:sz w:val="22"/>
        </w:rPr>
      </w:pPr>
    </w:p>
    <w:p w14:paraId="29340A01" w14:textId="77777777" w:rsidR="002B4566" w:rsidRPr="002B4566" w:rsidRDefault="002B4566" w:rsidP="002B4566">
      <w:pPr>
        <w:numPr>
          <w:ilvl w:val="0"/>
          <w:numId w:val="9"/>
        </w:numPr>
        <w:spacing w:after="0" w:line="240" w:lineRule="auto"/>
        <w:rPr>
          <w:rFonts w:cstheme="majorHAnsi"/>
          <w:bCs/>
          <w:sz w:val="22"/>
        </w:rPr>
      </w:pPr>
      <w:r w:rsidRPr="002B4566">
        <w:rPr>
          <w:rFonts w:cstheme="majorHAnsi"/>
          <w:bCs/>
          <w:sz w:val="22"/>
        </w:rPr>
        <w:t>Success Supporting athletes to achieve their potential at all levels, from grassroots to international podiums.</w:t>
      </w:r>
    </w:p>
    <w:p w14:paraId="4C70A0DA" w14:textId="77777777" w:rsidR="002B4566" w:rsidRPr="002B4566" w:rsidRDefault="002B4566" w:rsidP="002B4566">
      <w:pPr>
        <w:numPr>
          <w:ilvl w:val="0"/>
          <w:numId w:val="9"/>
        </w:numPr>
        <w:spacing w:after="0" w:line="240" w:lineRule="auto"/>
        <w:rPr>
          <w:rFonts w:cstheme="majorHAnsi"/>
          <w:bCs/>
          <w:sz w:val="22"/>
        </w:rPr>
      </w:pPr>
      <w:r w:rsidRPr="002B4566">
        <w:rPr>
          <w:rFonts w:cstheme="majorHAnsi"/>
          <w:bCs/>
          <w:sz w:val="22"/>
        </w:rPr>
        <w:t>Inclusion Ensuring triathlon is accessible and welcoming to all, regardless of background or ability.</w:t>
      </w:r>
    </w:p>
    <w:p w14:paraId="17D7B8E5" w14:textId="77777777" w:rsidR="002B4566" w:rsidRPr="002B4566" w:rsidRDefault="002B4566" w:rsidP="002B4566">
      <w:pPr>
        <w:numPr>
          <w:ilvl w:val="0"/>
          <w:numId w:val="9"/>
        </w:numPr>
        <w:spacing w:after="0" w:line="240" w:lineRule="auto"/>
        <w:rPr>
          <w:rFonts w:cstheme="majorHAnsi"/>
          <w:bCs/>
          <w:sz w:val="22"/>
        </w:rPr>
      </w:pPr>
      <w:r w:rsidRPr="002B4566">
        <w:rPr>
          <w:rFonts w:cstheme="majorHAnsi"/>
          <w:bCs/>
          <w:sz w:val="22"/>
        </w:rPr>
        <w:t>Sustainability Building a resilient and environmentally conscious sport that contributes to the long-term health of communities.</w:t>
      </w:r>
    </w:p>
    <w:p w14:paraId="49DCD9AB" w14:textId="77777777" w:rsidR="002B4566" w:rsidRPr="002B4566" w:rsidRDefault="002B4566" w:rsidP="002B4566">
      <w:pPr>
        <w:spacing w:after="0" w:line="240" w:lineRule="auto"/>
        <w:ind w:left="720"/>
        <w:rPr>
          <w:rFonts w:cstheme="majorHAnsi"/>
          <w:bCs/>
          <w:sz w:val="22"/>
        </w:rPr>
      </w:pPr>
    </w:p>
    <w:p w14:paraId="389762F7" w14:textId="77777777" w:rsidR="002B4566" w:rsidRPr="002B4566" w:rsidRDefault="002B4566" w:rsidP="002B4566">
      <w:pPr>
        <w:spacing w:after="0" w:line="240" w:lineRule="auto"/>
        <w:rPr>
          <w:rFonts w:cstheme="majorHAnsi"/>
          <w:bCs/>
          <w:sz w:val="22"/>
        </w:rPr>
      </w:pPr>
      <w:r w:rsidRPr="002B4566">
        <w:rPr>
          <w:rFonts w:cstheme="majorHAnsi"/>
          <w:bCs/>
          <w:sz w:val="22"/>
        </w:rPr>
        <w:t>The strategy aligns with the Well-being of Future Generations (Wales) Act 2015 and Sport Wales’ Vision for Sport, aiming to tackle social inequalities and promote physical and mental well-being through sport </w:t>
      </w:r>
    </w:p>
    <w:p w14:paraId="22BC8283" w14:textId="77777777" w:rsidR="002B4566" w:rsidRPr="002B4566" w:rsidRDefault="002B4566" w:rsidP="002B4566">
      <w:pPr>
        <w:spacing w:after="0" w:line="240" w:lineRule="auto"/>
        <w:rPr>
          <w:rFonts w:cstheme="majorHAnsi"/>
          <w:bCs/>
          <w:sz w:val="22"/>
        </w:rPr>
      </w:pPr>
    </w:p>
    <w:p w14:paraId="34E79AD5" w14:textId="77777777" w:rsidR="002B4566" w:rsidRPr="002B4566" w:rsidRDefault="002B4566" w:rsidP="002B4566">
      <w:pPr>
        <w:spacing w:after="0" w:line="240" w:lineRule="auto"/>
        <w:rPr>
          <w:rFonts w:cstheme="majorHAnsi"/>
          <w:bCs/>
          <w:sz w:val="22"/>
        </w:rPr>
      </w:pPr>
      <w:r w:rsidRPr="002B4566">
        <w:rPr>
          <w:rFonts w:cstheme="majorHAnsi"/>
          <w:bCs/>
          <w:sz w:val="22"/>
        </w:rPr>
        <w:t>Welsh Triathlon works in partnership with clubs, coaches, volunteers, and event organisers to deliver a vibrant calendar of events and development opportunities. It is also home to the National Triathlon Performance Centre Wales (NTPCW), which supports elite athletes on their journey to international success.</w:t>
      </w:r>
    </w:p>
    <w:p w14:paraId="342B9C8B" w14:textId="77777777" w:rsidR="002B4566" w:rsidRDefault="002B4566" w:rsidP="002B4566">
      <w:pPr>
        <w:spacing w:after="0" w:line="240" w:lineRule="auto"/>
        <w:rPr>
          <w:rFonts w:cstheme="majorHAnsi"/>
          <w:bCs/>
          <w:sz w:val="22"/>
        </w:rPr>
      </w:pPr>
    </w:p>
    <w:p w14:paraId="0F340783" w14:textId="77777777" w:rsidR="002B4566" w:rsidRPr="002B4566" w:rsidRDefault="002B4566" w:rsidP="002B4566">
      <w:pPr>
        <w:spacing w:after="0" w:line="240" w:lineRule="auto"/>
        <w:rPr>
          <w:rFonts w:cstheme="majorHAnsi"/>
          <w:b/>
          <w:sz w:val="22"/>
        </w:rPr>
      </w:pPr>
      <w:r w:rsidRPr="002B4566">
        <w:rPr>
          <w:rFonts w:cstheme="majorHAnsi"/>
          <w:b/>
          <w:sz w:val="22"/>
        </w:rPr>
        <w:t xml:space="preserve">Golf Wales </w:t>
      </w:r>
    </w:p>
    <w:p w14:paraId="5A10EC0E" w14:textId="77777777" w:rsidR="002B4566" w:rsidRPr="002B4566" w:rsidRDefault="002B4566" w:rsidP="002B4566">
      <w:pPr>
        <w:spacing w:after="0" w:line="240" w:lineRule="auto"/>
        <w:rPr>
          <w:rFonts w:cstheme="majorHAnsi"/>
          <w:b/>
          <w:sz w:val="22"/>
        </w:rPr>
      </w:pPr>
    </w:p>
    <w:p w14:paraId="563CC028" w14:textId="77777777" w:rsidR="002B4566" w:rsidRPr="002B4566" w:rsidRDefault="002B4566" w:rsidP="002B4566">
      <w:pPr>
        <w:spacing w:after="0" w:line="240" w:lineRule="auto"/>
        <w:rPr>
          <w:rFonts w:cstheme="majorHAnsi"/>
          <w:bCs/>
          <w:sz w:val="22"/>
        </w:rPr>
      </w:pPr>
      <w:r w:rsidRPr="002B4566">
        <w:rPr>
          <w:rFonts w:cstheme="majorHAnsi"/>
          <w:bCs/>
          <w:sz w:val="22"/>
        </w:rPr>
        <w:t>Wales Golf is the national governing body for golf in Wales, committed to growing and supporting the game at every level. We provide leadership, guidance, and services to golfers and clubs across the country.</w:t>
      </w:r>
    </w:p>
    <w:p w14:paraId="73A4AE06" w14:textId="77777777" w:rsidR="002B4566" w:rsidRPr="002B4566" w:rsidRDefault="002B4566" w:rsidP="002B4566">
      <w:pPr>
        <w:spacing w:after="0" w:line="240" w:lineRule="auto"/>
        <w:rPr>
          <w:rFonts w:cstheme="majorHAnsi"/>
          <w:bCs/>
          <w:sz w:val="22"/>
        </w:rPr>
      </w:pPr>
    </w:p>
    <w:p w14:paraId="0FB500D0" w14:textId="77777777" w:rsidR="002B4566" w:rsidRPr="002B4566" w:rsidRDefault="002B4566" w:rsidP="002B4566">
      <w:pPr>
        <w:spacing w:after="0" w:line="240" w:lineRule="auto"/>
        <w:rPr>
          <w:rFonts w:cstheme="majorHAnsi"/>
          <w:bCs/>
          <w:sz w:val="22"/>
        </w:rPr>
      </w:pPr>
      <w:r w:rsidRPr="002B4566">
        <w:rPr>
          <w:rFonts w:cstheme="majorHAnsi"/>
          <w:bCs/>
          <w:sz w:val="22"/>
        </w:rPr>
        <w:t>Our work spans grassroots development to high performance, helping new players get started and supporting elite athletes to reach their potential. We organise competitions for amateur golfers of all ages and abilities, and work closely with clubs to improve facilities, access funding, and build sustainable futures.</w:t>
      </w:r>
    </w:p>
    <w:p w14:paraId="2DECDCF1" w14:textId="77777777" w:rsidR="002B4566" w:rsidRPr="002B4566" w:rsidRDefault="002B4566" w:rsidP="002B4566">
      <w:pPr>
        <w:spacing w:after="0" w:line="240" w:lineRule="auto"/>
        <w:rPr>
          <w:rFonts w:cstheme="majorHAnsi"/>
          <w:bCs/>
          <w:sz w:val="22"/>
        </w:rPr>
      </w:pPr>
      <w:r w:rsidRPr="002B4566">
        <w:rPr>
          <w:rFonts w:cstheme="majorHAnsi"/>
          <w:bCs/>
          <w:sz w:val="22"/>
        </w:rPr>
        <w:t>Golf in Wales is becoming more accessible and diverse, and we’re helping to drive that change. Our purpose is to secure golf's position as a thriving sport both now and into the future, and our values, which inform everything we do, indicate our commitment to benefit anyone who wishes to access our sport: fun, real, inclusive, collaborative, and excellence.</w:t>
      </w:r>
    </w:p>
    <w:p w14:paraId="72E4D7EC" w14:textId="77777777" w:rsidR="002B4566" w:rsidRPr="002B4566" w:rsidRDefault="002B4566" w:rsidP="002B4566">
      <w:pPr>
        <w:spacing w:after="0" w:line="240" w:lineRule="auto"/>
        <w:rPr>
          <w:rFonts w:cstheme="majorHAnsi"/>
          <w:bCs/>
          <w:sz w:val="22"/>
        </w:rPr>
      </w:pPr>
    </w:p>
    <w:p w14:paraId="503C78C9" w14:textId="77777777" w:rsidR="002B4566" w:rsidRPr="002B4566" w:rsidRDefault="002B4566" w:rsidP="002B4566">
      <w:pPr>
        <w:spacing w:after="0" w:line="240" w:lineRule="auto"/>
        <w:rPr>
          <w:rFonts w:cstheme="majorHAnsi"/>
          <w:bCs/>
          <w:sz w:val="22"/>
        </w:rPr>
      </w:pPr>
      <w:r w:rsidRPr="002B4566">
        <w:rPr>
          <w:rFonts w:cstheme="majorHAnsi"/>
          <w:bCs/>
          <w:sz w:val="22"/>
        </w:rPr>
        <w:t>Our vision of golf as a sport for fun, for sport, for life is driven by our strategy, Everyone’s Game.</w:t>
      </w:r>
    </w:p>
    <w:p w14:paraId="3AF2A132" w14:textId="77777777" w:rsidR="002B4566" w:rsidRDefault="002B4566" w:rsidP="002B4566">
      <w:pPr>
        <w:spacing w:after="0" w:line="240" w:lineRule="auto"/>
        <w:rPr>
          <w:rFonts w:cstheme="majorHAnsi"/>
          <w:b/>
          <w:sz w:val="22"/>
        </w:rPr>
      </w:pPr>
    </w:p>
    <w:p w14:paraId="1276B247" w14:textId="77777777" w:rsidR="006A468E" w:rsidRPr="002B4566" w:rsidRDefault="006A468E" w:rsidP="002B4566">
      <w:pPr>
        <w:spacing w:after="0" w:line="240" w:lineRule="auto"/>
        <w:rPr>
          <w:rFonts w:cstheme="majorHAnsi"/>
          <w:b/>
          <w:sz w:val="22"/>
        </w:rPr>
      </w:pPr>
    </w:p>
    <w:p w14:paraId="091EBD68" w14:textId="77777777" w:rsidR="002B4566" w:rsidRPr="001A4439" w:rsidRDefault="002B4566" w:rsidP="00380B5C">
      <w:pPr>
        <w:pStyle w:val="Heading3"/>
        <w:rPr>
          <w:rFonts w:eastAsia="Cambria"/>
          <w:sz w:val="28"/>
          <w:szCs w:val="28"/>
        </w:rPr>
      </w:pPr>
      <w:r w:rsidRPr="001A4439">
        <w:rPr>
          <w:sz w:val="28"/>
          <w:szCs w:val="28"/>
        </w:rPr>
        <w:t>SECTION 2: INFORMATION AND INSTRUCTIONS TO TENDER</w:t>
      </w:r>
    </w:p>
    <w:p w14:paraId="7B54E1C5" w14:textId="77777777" w:rsidR="002B4566" w:rsidRPr="002B4566" w:rsidRDefault="002B4566" w:rsidP="002B4566">
      <w:pPr>
        <w:keepNext/>
        <w:spacing w:after="0" w:line="240" w:lineRule="auto"/>
        <w:ind w:left="360" w:hanging="360"/>
        <w:jc w:val="both"/>
        <w:outlineLvl w:val="7"/>
        <w:rPr>
          <w:rFonts w:eastAsia="Times New Roman" w:cstheme="majorHAnsi"/>
          <w:b/>
          <w:bCs/>
          <w:color w:val="000000"/>
          <w:sz w:val="22"/>
        </w:rPr>
      </w:pPr>
    </w:p>
    <w:p w14:paraId="3516E056" w14:textId="539FAAF9" w:rsidR="005874C5" w:rsidRPr="005874C5" w:rsidRDefault="005874C5" w:rsidP="002B4566">
      <w:pPr>
        <w:keepNext/>
        <w:spacing w:after="0" w:line="240" w:lineRule="auto"/>
        <w:ind w:left="360" w:hanging="360"/>
        <w:jc w:val="both"/>
        <w:outlineLvl w:val="7"/>
        <w:rPr>
          <w:rFonts w:eastAsia="Times New Roman" w:cstheme="majorHAnsi"/>
          <w:b/>
          <w:bCs/>
          <w:szCs w:val="24"/>
        </w:rPr>
      </w:pPr>
      <w:r w:rsidRPr="005874C5">
        <w:rPr>
          <w:rFonts w:eastAsia="Times New Roman" w:cstheme="majorHAnsi"/>
          <w:b/>
          <w:bCs/>
          <w:color w:val="000000"/>
          <w:szCs w:val="24"/>
        </w:rPr>
        <w:t>Tender Specification</w:t>
      </w:r>
    </w:p>
    <w:p w14:paraId="271C7CE6" w14:textId="77777777" w:rsidR="002B4566" w:rsidRPr="002B4566" w:rsidRDefault="002B4566" w:rsidP="002B4566">
      <w:pPr>
        <w:spacing w:after="0" w:line="240" w:lineRule="auto"/>
        <w:jc w:val="center"/>
        <w:rPr>
          <w:rFonts w:eastAsia="Cambria" w:cstheme="majorHAnsi"/>
          <w:b/>
          <w:sz w:val="22"/>
        </w:rPr>
      </w:pPr>
    </w:p>
    <w:p w14:paraId="0AF05A07" w14:textId="77777777" w:rsidR="002B4566" w:rsidRPr="002B4566" w:rsidRDefault="002B4566" w:rsidP="002B4566">
      <w:pPr>
        <w:spacing w:after="0" w:line="240" w:lineRule="auto"/>
        <w:rPr>
          <w:rFonts w:eastAsia="Cambria" w:cstheme="majorHAnsi"/>
          <w:bCs/>
          <w:sz w:val="22"/>
        </w:rPr>
      </w:pPr>
      <w:r w:rsidRPr="002B4566">
        <w:rPr>
          <w:rFonts w:eastAsia="Cambria" w:cstheme="majorHAnsi"/>
          <w:bCs/>
          <w:sz w:val="22"/>
        </w:rPr>
        <w:t xml:space="preserve">We would be looking for work to be completed by </w:t>
      </w:r>
      <w:r w:rsidRPr="002B4566">
        <w:rPr>
          <w:rFonts w:eastAsia="Cambria" w:cstheme="majorHAnsi"/>
          <w:sz w:val="22"/>
        </w:rPr>
        <w:t>End of February 2026</w:t>
      </w:r>
      <w:r w:rsidRPr="002B4566">
        <w:rPr>
          <w:rFonts w:eastAsia="Cambria" w:cstheme="majorHAnsi"/>
          <w:bCs/>
          <w:sz w:val="22"/>
        </w:rPr>
        <w:t>.  Hours of work to be determined in tender submissions.</w:t>
      </w:r>
    </w:p>
    <w:p w14:paraId="41BA7A30" w14:textId="77777777" w:rsidR="002B4566" w:rsidRPr="002B4566" w:rsidRDefault="002B4566" w:rsidP="002B4566">
      <w:pPr>
        <w:spacing w:after="0" w:line="240" w:lineRule="auto"/>
        <w:rPr>
          <w:rFonts w:eastAsia="Cambria" w:cstheme="majorHAnsi"/>
          <w:b/>
          <w:sz w:val="22"/>
        </w:rPr>
      </w:pPr>
    </w:p>
    <w:p w14:paraId="29EE4D65" w14:textId="77777777" w:rsidR="002B4566" w:rsidRPr="002B4566" w:rsidRDefault="002B4566" w:rsidP="002B4566">
      <w:pPr>
        <w:pBdr>
          <w:bottom w:val="single" w:sz="4" w:space="1" w:color="auto"/>
        </w:pBdr>
        <w:spacing w:after="0" w:line="240" w:lineRule="auto"/>
        <w:rPr>
          <w:rFonts w:cstheme="majorHAnsi"/>
          <w:b/>
          <w:sz w:val="22"/>
        </w:rPr>
      </w:pPr>
      <w:r w:rsidRPr="002B4566">
        <w:rPr>
          <w:rFonts w:cstheme="majorHAnsi"/>
          <w:b/>
          <w:sz w:val="22"/>
        </w:rPr>
        <w:t>TIMESCALES</w:t>
      </w:r>
    </w:p>
    <w:p w14:paraId="361BD9E2" w14:textId="77777777" w:rsidR="002B4566" w:rsidRPr="002B4566" w:rsidRDefault="002B4566" w:rsidP="002B4566">
      <w:pPr>
        <w:spacing w:after="0" w:line="240" w:lineRule="auto"/>
        <w:rPr>
          <w:rFonts w:cstheme="majorHAnsi"/>
          <w:sz w:val="22"/>
        </w:rPr>
      </w:pPr>
      <w:r w:rsidRPr="002B4566">
        <w:rPr>
          <w:rFonts w:eastAsia="Verdana" w:cstheme="majorHAnsi"/>
          <w:sz w:val="22"/>
        </w:rPr>
        <w:t>This is the tender submission timescales:</w:t>
      </w:r>
    </w:p>
    <w:p w14:paraId="658283CC" w14:textId="77777777" w:rsidR="002B4566" w:rsidRPr="002B4566" w:rsidRDefault="002B4566" w:rsidP="002B4566">
      <w:pPr>
        <w:pStyle w:val="ListParagraph"/>
        <w:numPr>
          <w:ilvl w:val="1"/>
          <w:numId w:val="12"/>
        </w:numPr>
        <w:spacing w:after="0" w:line="240" w:lineRule="auto"/>
        <w:ind w:left="993" w:hanging="567"/>
        <w:rPr>
          <w:rFonts w:eastAsia="Verdana" w:cstheme="majorHAnsi"/>
          <w:sz w:val="22"/>
        </w:rPr>
      </w:pPr>
      <w:r w:rsidRPr="002B4566">
        <w:rPr>
          <w:rFonts w:eastAsia="Verdana" w:cstheme="majorHAnsi"/>
          <w:sz w:val="22"/>
        </w:rPr>
        <w:t xml:space="preserve">Deadline for tender submissions is </w:t>
      </w:r>
      <w:r w:rsidRPr="002B4566">
        <w:rPr>
          <w:rFonts w:eastAsia="Verdana" w:cstheme="majorHAnsi"/>
          <w:b/>
          <w:bCs/>
          <w:sz w:val="22"/>
        </w:rPr>
        <w:t>12 noon on Monday 1</w:t>
      </w:r>
      <w:r w:rsidRPr="002B4566">
        <w:rPr>
          <w:rFonts w:eastAsia="Verdana" w:cstheme="majorHAnsi"/>
          <w:b/>
          <w:bCs/>
          <w:sz w:val="22"/>
          <w:vertAlign w:val="superscript"/>
        </w:rPr>
        <w:t>st</w:t>
      </w:r>
      <w:r w:rsidRPr="002B4566">
        <w:rPr>
          <w:rFonts w:eastAsia="Verdana" w:cstheme="majorHAnsi"/>
          <w:b/>
          <w:bCs/>
          <w:sz w:val="22"/>
        </w:rPr>
        <w:t xml:space="preserve"> September 2025</w:t>
      </w:r>
    </w:p>
    <w:p w14:paraId="5B071B00" w14:textId="77777777" w:rsidR="002B4566" w:rsidRPr="002B4566" w:rsidRDefault="002B4566" w:rsidP="002B4566">
      <w:pPr>
        <w:pStyle w:val="ListParagraph"/>
        <w:numPr>
          <w:ilvl w:val="1"/>
          <w:numId w:val="12"/>
        </w:numPr>
        <w:spacing w:after="0" w:line="240" w:lineRule="auto"/>
        <w:ind w:left="993" w:hanging="567"/>
        <w:rPr>
          <w:rFonts w:eastAsia="Verdana" w:cstheme="majorHAnsi"/>
          <w:sz w:val="22"/>
        </w:rPr>
      </w:pPr>
      <w:r w:rsidRPr="002B4566">
        <w:rPr>
          <w:rFonts w:eastAsia="Verdana" w:cstheme="majorHAnsi"/>
          <w:sz w:val="22"/>
        </w:rPr>
        <w:lastRenderedPageBreak/>
        <w:t>Shortlisted individuals / organisations invited to talk through tender on either 11</w:t>
      </w:r>
      <w:r w:rsidRPr="002B4566">
        <w:rPr>
          <w:rFonts w:eastAsia="Verdana" w:cstheme="majorHAnsi"/>
          <w:sz w:val="22"/>
          <w:vertAlign w:val="superscript"/>
        </w:rPr>
        <w:t>th</w:t>
      </w:r>
      <w:r w:rsidRPr="002B4566">
        <w:rPr>
          <w:rFonts w:eastAsia="Verdana" w:cstheme="majorHAnsi"/>
          <w:sz w:val="22"/>
        </w:rPr>
        <w:t xml:space="preserve"> or 12</w:t>
      </w:r>
      <w:r w:rsidRPr="002B4566">
        <w:rPr>
          <w:rFonts w:eastAsia="Verdana" w:cstheme="majorHAnsi"/>
          <w:sz w:val="22"/>
          <w:vertAlign w:val="superscript"/>
        </w:rPr>
        <w:t>th</w:t>
      </w:r>
      <w:r w:rsidRPr="002B4566">
        <w:rPr>
          <w:rFonts w:eastAsia="Verdana" w:cstheme="majorHAnsi"/>
          <w:sz w:val="22"/>
        </w:rPr>
        <w:t xml:space="preserve"> September 2025</w:t>
      </w:r>
    </w:p>
    <w:p w14:paraId="3AA3AC70" w14:textId="77777777" w:rsidR="002B4566" w:rsidRPr="002B4566" w:rsidRDefault="002B4566" w:rsidP="002B4566">
      <w:pPr>
        <w:pStyle w:val="ListParagraph"/>
        <w:numPr>
          <w:ilvl w:val="1"/>
          <w:numId w:val="12"/>
        </w:numPr>
        <w:spacing w:after="0" w:line="240" w:lineRule="auto"/>
        <w:ind w:left="993" w:hanging="567"/>
        <w:rPr>
          <w:rFonts w:eastAsia="Verdana" w:cstheme="majorHAnsi"/>
          <w:sz w:val="22"/>
        </w:rPr>
      </w:pPr>
      <w:r w:rsidRPr="002B4566">
        <w:rPr>
          <w:rFonts w:eastAsia="Verdana" w:cstheme="majorHAnsi"/>
          <w:sz w:val="22"/>
        </w:rPr>
        <w:t>Award of tender – by 16</w:t>
      </w:r>
      <w:r w:rsidRPr="002B4566">
        <w:rPr>
          <w:rFonts w:eastAsia="Verdana" w:cstheme="majorHAnsi"/>
          <w:sz w:val="22"/>
          <w:vertAlign w:val="superscript"/>
        </w:rPr>
        <w:t>th</w:t>
      </w:r>
      <w:r w:rsidRPr="002B4566">
        <w:rPr>
          <w:rFonts w:eastAsia="Verdana" w:cstheme="majorHAnsi"/>
          <w:sz w:val="22"/>
        </w:rPr>
        <w:t xml:space="preserve"> September 2025</w:t>
      </w:r>
    </w:p>
    <w:p w14:paraId="341B0B92" w14:textId="77777777" w:rsidR="002B4566" w:rsidRPr="002B4566" w:rsidRDefault="002B4566" w:rsidP="002B4566">
      <w:pPr>
        <w:pStyle w:val="ListParagraph"/>
        <w:numPr>
          <w:ilvl w:val="1"/>
          <w:numId w:val="12"/>
        </w:numPr>
        <w:spacing w:after="0" w:line="240" w:lineRule="auto"/>
        <w:ind w:left="993" w:hanging="567"/>
        <w:rPr>
          <w:rFonts w:eastAsia="Verdana" w:cstheme="majorHAnsi"/>
          <w:sz w:val="22"/>
        </w:rPr>
      </w:pPr>
      <w:r w:rsidRPr="002B4566">
        <w:rPr>
          <w:rFonts w:eastAsia="Verdana" w:cstheme="majorHAnsi"/>
          <w:sz w:val="22"/>
        </w:rPr>
        <w:t>Review of work with Sport Wales – approx. every 3 weeks.</w:t>
      </w:r>
    </w:p>
    <w:p w14:paraId="0C97B370" w14:textId="77777777" w:rsidR="002B4566" w:rsidRPr="002B4566" w:rsidRDefault="002B4566" w:rsidP="002B4566">
      <w:pPr>
        <w:spacing w:after="0" w:line="240" w:lineRule="auto"/>
        <w:rPr>
          <w:rFonts w:cstheme="majorHAnsi"/>
          <w:b/>
          <w:sz w:val="22"/>
          <w:u w:val="single"/>
        </w:rPr>
      </w:pPr>
    </w:p>
    <w:p w14:paraId="32CB8989" w14:textId="77777777" w:rsidR="002B4566" w:rsidRPr="002B4566" w:rsidRDefault="002B4566" w:rsidP="002B4566">
      <w:pPr>
        <w:spacing w:after="0" w:line="240" w:lineRule="auto"/>
        <w:jc w:val="both"/>
        <w:rPr>
          <w:rFonts w:cstheme="majorHAnsi"/>
          <w:sz w:val="22"/>
        </w:rPr>
      </w:pPr>
      <w:r w:rsidRPr="002B4566">
        <w:rPr>
          <w:rFonts w:cstheme="majorHAnsi"/>
          <w:sz w:val="22"/>
        </w:rPr>
        <w:t>You must ensure that the submission of your tender fully meets the requirements laid down in this document (section 4).</w:t>
      </w:r>
    </w:p>
    <w:p w14:paraId="456808F0" w14:textId="77777777" w:rsidR="002B4566" w:rsidRPr="002B4566" w:rsidRDefault="002B4566" w:rsidP="002B4566">
      <w:pPr>
        <w:spacing w:after="0" w:line="240" w:lineRule="auto"/>
        <w:jc w:val="both"/>
        <w:rPr>
          <w:rFonts w:cstheme="majorHAnsi"/>
          <w:sz w:val="22"/>
        </w:rPr>
      </w:pPr>
    </w:p>
    <w:p w14:paraId="432BB38F" w14:textId="77777777" w:rsidR="002B4566" w:rsidRPr="002B4566" w:rsidRDefault="002B4566" w:rsidP="002B4566">
      <w:pPr>
        <w:spacing w:after="0" w:line="240" w:lineRule="auto"/>
        <w:jc w:val="both"/>
        <w:rPr>
          <w:rFonts w:cstheme="majorHAnsi"/>
          <w:sz w:val="22"/>
        </w:rPr>
      </w:pPr>
      <w:r w:rsidRPr="002B4566">
        <w:rPr>
          <w:rFonts w:cstheme="majorHAnsi"/>
          <w:sz w:val="22"/>
        </w:rPr>
        <w:t>As a minimum requirement, answers to the weighted questions in section 4 to be entered in the relevant places. Any additional information can also be submitted but will not form part of the weighted question marking.</w:t>
      </w:r>
    </w:p>
    <w:p w14:paraId="7E943CA7" w14:textId="77777777" w:rsidR="002B4566" w:rsidRPr="002B4566" w:rsidRDefault="002B4566" w:rsidP="002B4566">
      <w:pPr>
        <w:spacing w:after="0" w:line="240" w:lineRule="auto"/>
        <w:jc w:val="both"/>
        <w:rPr>
          <w:rFonts w:cstheme="majorHAnsi"/>
          <w:sz w:val="22"/>
        </w:rPr>
      </w:pPr>
    </w:p>
    <w:p w14:paraId="17E7CC5B" w14:textId="77777777" w:rsidR="002B4566" w:rsidRPr="002B4566" w:rsidRDefault="002B4566" w:rsidP="002B4566">
      <w:pPr>
        <w:spacing w:after="0" w:line="240" w:lineRule="auto"/>
        <w:rPr>
          <w:rFonts w:cstheme="majorHAnsi"/>
          <w:b/>
          <w:bCs/>
          <w:sz w:val="22"/>
        </w:rPr>
      </w:pPr>
      <w:r w:rsidRPr="002B4566">
        <w:rPr>
          <w:rFonts w:cstheme="majorHAnsi"/>
          <w:b/>
          <w:bCs/>
          <w:sz w:val="22"/>
        </w:rPr>
        <w:t>You will be scored against the criteria listed in the table in section 4.</w:t>
      </w:r>
    </w:p>
    <w:p w14:paraId="329771F0" w14:textId="7509F9FA" w:rsidR="002B4566" w:rsidRDefault="00B91E48" w:rsidP="002B4566">
      <w:pPr>
        <w:spacing w:after="0" w:line="240" w:lineRule="auto"/>
        <w:rPr>
          <w:rFonts w:cstheme="majorHAnsi"/>
          <w:b/>
          <w:bCs/>
          <w:sz w:val="22"/>
        </w:rPr>
      </w:pPr>
      <w:r>
        <w:rPr>
          <w:rFonts w:cstheme="majorHAnsi"/>
          <w:b/>
          <w:bCs/>
          <w:sz w:val="22"/>
        </w:rPr>
        <w:t xml:space="preserve">Shortlisted </w:t>
      </w:r>
      <w:r w:rsidR="001336E4">
        <w:rPr>
          <w:rFonts w:cstheme="majorHAnsi"/>
          <w:b/>
          <w:bCs/>
          <w:sz w:val="22"/>
        </w:rPr>
        <w:t xml:space="preserve">individuals/organisations </w:t>
      </w:r>
      <w:r w:rsidR="002B4566" w:rsidRPr="002B4566">
        <w:rPr>
          <w:rFonts w:cstheme="majorHAnsi"/>
          <w:b/>
          <w:bCs/>
          <w:sz w:val="22"/>
        </w:rPr>
        <w:t>will also be called for interview following your submission</w:t>
      </w:r>
      <w:r w:rsidR="001B619E">
        <w:rPr>
          <w:rFonts w:cstheme="majorHAnsi"/>
          <w:b/>
          <w:bCs/>
          <w:sz w:val="22"/>
        </w:rPr>
        <w:t xml:space="preserve"> to clarify responses within the tender.</w:t>
      </w:r>
    </w:p>
    <w:p w14:paraId="54B6C145" w14:textId="77777777" w:rsidR="005874C5" w:rsidRPr="002B4566" w:rsidRDefault="005874C5" w:rsidP="002B4566">
      <w:pPr>
        <w:spacing w:after="0" w:line="240" w:lineRule="auto"/>
        <w:rPr>
          <w:rFonts w:cstheme="majorHAnsi"/>
          <w:sz w:val="22"/>
        </w:rPr>
      </w:pPr>
    </w:p>
    <w:p w14:paraId="76FAC479" w14:textId="77777777" w:rsidR="002B4566" w:rsidRPr="002B4566" w:rsidRDefault="002B4566" w:rsidP="002B4566">
      <w:pPr>
        <w:spacing w:after="0" w:line="240" w:lineRule="auto"/>
        <w:jc w:val="both"/>
        <w:rPr>
          <w:rFonts w:eastAsia="Times New Roman" w:cstheme="majorHAnsi"/>
          <w:sz w:val="22"/>
          <w:lang w:eastAsia="en-GB"/>
        </w:rPr>
      </w:pPr>
      <w:r w:rsidRPr="002B4566">
        <w:rPr>
          <w:rFonts w:eastAsia="Verdana" w:cstheme="majorHAnsi"/>
          <w:sz w:val="22"/>
        </w:rPr>
        <w:t>The contract will start on, or around the 22</w:t>
      </w:r>
      <w:r w:rsidRPr="002B4566">
        <w:rPr>
          <w:rFonts w:eastAsia="Verdana" w:cstheme="majorHAnsi"/>
          <w:sz w:val="22"/>
          <w:vertAlign w:val="superscript"/>
        </w:rPr>
        <w:t>nd</w:t>
      </w:r>
      <w:r w:rsidRPr="002B4566">
        <w:rPr>
          <w:rFonts w:eastAsia="Verdana" w:cstheme="majorHAnsi"/>
          <w:sz w:val="22"/>
        </w:rPr>
        <w:t xml:space="preserve"> September 2025 </w:t>
      </w:r>
      <w:r w:rsidRPr="002B4566">
        <w:rPr>
          <w:rFonts w:eastAsia="Cambria" w:cstheme="majorHAnsi"/>
          <w:sz w:val="22"/>
        </w:rPr>
        <w:t xml:space="preserve">for a period of 6 months. </w:t>
      </w:r>
    </w:p>
    <w:p w14:paraId="0D505051" w14:textId="77777777" w:rsidR="002B4566" w:rsidRPr="002B4566" w:rsidRDefault="002B4566" w:rsidP="002B4566">
      <w:pPr>
        <w:spacing w:after="0" w:line="240" w:lineRule="auto"/>
        <w:rPr>
          <w:rFonts w:cstheme="majorHAnsi"/>
          <w:b/>
          <w:sz w:val="22"/>
        </w:rPr>
      </w:pPr>
    </w:p>
    <w:p w14:paraId="2487649D" w14:textId="0E7DF545" w:rsidR="00BC20AA" w:rsidRDefault="00BC20AA" w:rsidP="002B4566">
      <w:pPr>
        <w:spacing w:after="0" w:line="240" w:lineRule="auto"/>
        <w:rPr>
          <w:rFonts w:cstheme="majorHAnsi"/>
          <w:b/>
          <w:sz w:val="22"/>
        </w:rPr>
      </w:pPr>
      <w:r>
        <w:rPr>
          <w:rFonts w:cstheme="majorHAnsi"/>
          <w:b/>
          <w:sz w:val="22"/>
        </w:rPr>
        <w:t>Payment</w:t>
      </w:r>
    </w:p>
    <w:p w14:paraId="760985B9" w14:textId="77777777" w:rsidR="00BC20AA" w:rsidRPr="002B4566" w:rsidRDefault="00BC20AA" w:rsidP="002B4566">
      <w:pPr>
        <w:spacing w:after="0" w:line="240" w:lineRule="auto"/>
        <w:rPr>
          <w:rFonts w:cstheme="majorHAnsi"/>
          <w:sz w:val="22"/>
        </w:rPr>
      </w:pPr>
    </w:p>
    <w:p w14:paraId="15AA1478" w14:textId="77777777" w:rsidR="002B4566" w:rsidRPr="002B4566" w:rsidRDefault="002B4566" w:rsidP="002B4566">
      <w:pPr>
        <w:spacing w:after="0" w:line="240" w:lineRule="auto"/>
        <w:rPr>
          <w:rFonts w:cstheme="majorHAnsi"/>
          <w:sz w:val="22"/>
        </w:rPr>
      </w:pPr>
      <w:r w:rsidRPr="002B4566">
        <w:rPr>
          <w:rFonts w:cstheme="majorHAnsi"/>
          <w:sz w:val="22"/>
        </w:rPr>
        <w:t xml:space="preserve">Payment will be made according to a schedule to be agreed between Sport Wales and the successful contractor(s). Payment for work completed to the satisfaction of Sport Wales will be made within 30 days of receipt of a correctly submitted invoice. </w:t>
      </w:r>
    </w:p>
    <w:p w14:paraId="38DFEC7A" w14:textId="77777777" w:rsidR="002B4566" w:rsidRPr="002B4566" w:rsidRDefault="002B4566" w:rsidP="002B4566">
      <w:pPr>
        <w:spacing w:after="0" w:line="240" w:lineRule="auto"/>
        <w:rPr>
          <w:rFonts w:cstheme="majorHAnsi"/>
          <w:sz w:val="22"/>
        </w:rPr>
      </w:pPr>
      <w:r w:rsidRPr="002B4566">
        <w:rPr>
          <w:rFonts w:cstheme="majorHAnsi"/>
          <w:sz w:val="22"/>
        </w:rPr>
        <w:t>No employee of the contractor shall be considered a salaried appointment to Sport Wales, however paid.</w:t>
      </w:r>
    </w:p>
    <w:p w14:paraId="017FD699" w14:textId="77777777" w:rsidR="002B4566" w:rsidRPr="002B4566" w:rsidRDefault="002B4566" w:rsidP="002B4566">
      <w:pPr>
        <w:spacing w:after="0" w:line="240" w:lineRule="auto"/>
        <w:jc w:val="both"/>
        <w:rPr>
          <w:rFonts w:cstheme="majorHAnsi"/>
          <w:b/>
          <w:sz w:val="22"/>
          <w:u w:val="single"/>
        </w:rPr>
      </w:pPr>
    </w:p>
    <w:p w14:paraId="205849A1" w14:textId="77777777" w:rsidR="002B4566" w:rsidRPr="002B4566" w:rsidRDefault="002B4566" w:rsidP="002B4566">
      <w:pPr>
        <w:spacing w:after="0" w:line="240" w:lineRule="auto"/>
        <w:jc w:val="both"/>
        <w:rPr>
          <w:rFonts w:cstheme="majorHAnsi"/>
          <w:b/>
          <w:sz w:val="22"/>
        </w:rPr>
      </w:pPr>
      <w:r w:rsidRPr="002B4566">
        <w:rPr>
          <w:rFonts w:cstheme="majorHAnsi"/>
          <w:b/>
          <w:sz w:val="22"/>
        </w:rPr>
        <w:t>SUBMISSION REQUIREMENTS</w:t>
      </w:r>
    </w:p>
    <w:p w14:paraId="760D791B" w14:textId="77777777" w:rsidR="002B4566" w:rsidRPr="002B4566" w:rsidRDefault="002B4566" w:rsidP="002B4566">
      <w:pPr>
        <w:spacing w:after="0" w:line="240" w:lineRule="auto"/>
        <w:jc w:val="both"/>
        <w:rPr>
          <w:rFonts w:cstheme="majorHAnsi"/>
          <w:color w:val="FF0000"/>
          <w:sz w:val="22"/>
        </w:rPr>
      </w:pPr>
    </w:p>
    <w:p w14:paraId="7DEC016B" w14:textId="77777777" w:rsidR="002B4566" w:rsidRPr="002B4566" w:rsidRDefault="002B4566" w:rsidP="002B4566">
      <w:pPr>
        <w:spacing w:after="0" w:line="240" w:lineRule="auto"/>
        <w:jc w:val="both"/>
        <w:rPr>
          <w:rFonts w:cstheme="majorHAnsi"/>
          <w:sz w:val="22"/>
        </w:rPr>
      </w:pPr>
      <w:r w:rsidRPr="002B4566">
        <w:rPr>
          <w:rFonts w:cstheme="majorHAnsi"/>
          <w:sz w:val="22"/>
        </w:rPr>
        <w:t>Tenders should be submitted to Sport Wales via Sell2Wales. All candidates must follow the pro forma layout detailed below (Section 4) regarding both information supplied and structure of presented information.</w:t>
      </w:r>
    </w:p>
    <w:p w14:paraId="61FF7129" w14:textId="77777777" w:rsidR="002B4566" w:rsidRPr="002B4566" w:rsidRDefault="002B4566" w:rsidP="002B4566">
      <w:pPr>
        <w:spacing w:after="0" w:line="240" w:lineRule="auto"/>
        <w:jc w:val="both"/>
        <w:rPr>
          <w:rFonts w:cstheme="majorHAnsi"/>
          <w:sz w:val="22"/>
        </w:rPr>
      </w:pPr>
      <w:r w:rsidRPr="002B4566">
        <w:rPr>
          <w:rFonts w:cstheme="majorHAnsi"/>
          <w:sz w:val="22"/>
        </w:rPr>
        <w:t xml:space="preserve">Tenderers must submit their tender by responding to the selection criteria outlined in section 4 with any supporting documentation via Sell2Wales by </w:t>
      </w:r>
      <w:r w:rsidRPr="002B4566">
        <w:rPr>
          <w:rFonts w:cstheme="majorHAnsi"/>
          <w:b/>
          <w:bCs/>
          <w:sz w:val="22"/>
        </w:rPr>
        <w:t>12 noon on Monday 1</w:t>
      </w:r>
      <w:r w:rsidRPr="002B4566">
        <w:rPr>
          <w:rFonts w:cstheme="majorHAnsi"/>
          <w:b/>
          <w:bCs/>
          <w:sz w:val="22"/>
          <w:vertAlign w:val="superscript"/>
        </w:rPr>
        <w:t>st</w:t>
      </w:r>
      <w:r w:rsidRPr="002B4566">
        <w:rPr>
          <w:rFonts w:cstheme="majorHAnsi"/>
          <w:b/>
          <w:bCs/>
          <w:sz w:val="22"/>
        </w:rPr>
        <w:t xml:space="preserve"> September 2025.  Entries received after this time will not be considered. </w:t>
      </w:r>
    </w:p>
    <w:p w14:paraId="1FA52583" w14:textId="77777777" w:rsidR="002B4566" w:rsidRPr="002B4566" w:rsidRDefault="002B4566" w:rsidP="002B4566">
      <w:pPr>
        <w:spacing w:after="0" w:line="240" w:lineRule="auto"/>
        <w:jc w:val="both"/>
        <w:rPr>
          <w:rFonts w:cstheme="majorHAnsi"/>
          <w:color w:val="FF0000"/>
          <w:sz w:val="22"/>
        </w:rPr>
      </w:pPr>
    </w:p>
    <w:p w14:paraId="1D9CD07C" w14:textId="77777777" w:rsidR="002B4566" w:rsidRPr="002B4566" w:rsidRDefault="002B4566" w:rsidP="002B4566">
      <w:pPr>
        <w:spacing w:after="0" w:line="240" w:lineRule="auto"/>
        <w:rPr>
          <w:rFonts w:cstheme="majorHAnsi"/>
          <w:sz w:val="22"/>
        </w:rPr>
      </w:pPr>
      <w:r w:rsidRPr="002B4566">
        <w:rPr>
          <w:rFonts w:cstheme="majorHAnsi"/>
          <w:sz w:val="22"/>
        </w:rPr>
        <w:t xml:space="preserve">To comply with Sport Wales’s regulations for the submission of tenders, you must ensure your tender is submitted in accordance with the following requirements.  Failure to do so, which includes not having uploaded or submitted your tender by the closing time, is likely to invalidate your tender.  </w:t>
      </w:r>
    </w:p>
    <w:p w14:paraId="23F6D9E0" w14:textId="77777777" w:rsidR="002B4566" w:rsidRPr="002B4566" w:rsidRDefault="002B4566" w:rsidP="002B4566">
      <w:pPr>
        <w:spacing w:after="0" w:line="240" w:lineRule="auto"/>
        <w:rPr>
          <w:rFonts w:cstheme="majorHAnsi"/>
          <w:sz w:val="22"/>
        </w:rPr>
      </w:pPr>
    </w:p>
    <w:p w14:paraId="71844CDC" w14:textId="5D92C1EC" w:rsidR="00BC20AA" w:rsidRPr="002B4566" w:rsidRDefault="00BC20AA" w:rsidP="002B4566">
      <w:pPr>
        <w:spacing w:after="0" w:line="240" w:lineRule="auto"/>
        <w:jc w:val="both"/>
        <w:rPr>
          <w:rFonts w:cstheme="majorHAnsi"/>
          <w:b/>
          <w:sz w:val="22"/>
        </w:rPr>
      </w:pPr>
      <w:r>
        <w:rPr>
          <w:rFonts w:cstheme="majorHAnsi"/>
          <w:b/>
          <w:sz w:val="22"/>
        </w:rPr>
        <w:t>Communication with Sport Wales</w:t>
      </w:r>
    </w:p>
    <w:p w14:paraId="3B6CEE1E" w14:textId="77777777" w:rsidR="002B4566" w:rsidRPr="002B4566" w:rsidRDefault="002B4566" w:rsidP="002B4566">
      <w:pPr>
        <w:spacing w:after="0" w:line="240" w:lineRule="auto"/>
        <w:jc w:val="both"/>
        <w:rPr>
          <w:rFonts w:cstheme="majorHAnsi"/>
          <w:sz w:val="22"/>
        </w:rPr>
      </w:pPr>
    </w:p>
    <w:p w14:paraId="5CF7C9DE" w14:textId="77777777" w:rsidR="002B4566" w:rsidRPr="002B4566" w:rsidRDefault="002B4566" w:rsidP="002B4566">
      <w:pPr>
        <w:spacing w:after="0" w:line="240" w:lineRule="auto"/>
        <w:jc w:val="both"/>
        <w:rPr>
          <w:rFonts w:cstheme="majorHAnsi"/>
          <w:sz w:val="22"/>
        </w:rPr>
      </w:pPr>
      <w:r w:rsidRPr="002B4566">
        <w:rPr>
          <w:rFonts w:cstheme="majorHAnsi"/>
          <w:sz w:val="22"/>
        </w:rPr>
        <w:t>All requests for further information, clarification or any other approach to Sport Wales in respect of this tender must be made via the Sell2Wales portal.</w:t>
      </w:r>
    </w:p>
    <w:p w14:paraId="290822BD" w14:textId="77777777" w:rsidR="002B4566" w:rsidRPr="002B4566" w:rsidRDefault="002B4566" w:rsidP="002B4566">
      <w:pPr>
        <w:spacing w:after="0" w:line="240" w:lineRule="auto"/>
        <w:jc w:val="both"/>
        <w:rPr>
          <w:rFonts w:cstheme="majorHAnsi"/>
          <w:b/>
          <w:sz w:val="22"/>
        </w:rPr>
      </w:pPr>
    </w:p>
    <w:p w14:paraId="07D024DB" w14:textId="37208716" w:rsidR="00BC20AA" w:rsidRPr="002B4566" w:rsidRDefault="00BC20AA" w:rsidP="002B4566">
      <w:pPr>
        <w:spacing w:after="0" w:line="240" w:lineRule="auto"/>
        <w:jc w:val="both"/>
        <w:rPr>
          <w:rFonts w:cstheme="majorHAnsi"/>
          <w:b/>
          <w:sz w:val="22"/>
        </w:rPr>
      </w:pPr>
      <w:r>
        <w:rPr>
          <w:rFonts w:cstheme="majorHAnsi"/>
          <w:b/>
          <w:sz w:val="22"/>
        </w:rPr>
        <w:t>Contract Term and End</w:t>
      </w:r>
    </w:p>
    <w:p w14:paraId="2BEE901D" w14:textId="77777777" w:rsidR="002B4566" w:rsidRPr="002B4566" w:rsidRDefault="002B4566" w:rsidP="002B4566">
      <w:pPr>
        <w:spacing w:after="0" w:line="240" w:lineRule="auto"/>
        <w:jc w:val="both"/>
        <w:rPr>
          <w:rFonts w:cstheme="majorHAnsi"/>
          <w:sz w:val="22"/>
          <w:highlight w:val="yellow"/>
        </w:rPr>
      </w:pPr>
    </w:p>
    <w:p w14:paraId="7A1B7303" w14:textId="77777777" w:rsidR="002B4566" w:rsidRPr="002B4566" w:rsidRDefault="002B4566" w:rsidP="002B4566">
      <w:pPr>
        <w:spacing w:after="0" w:line="240" w:lineRule="auto"/>
        <w:jc w:val="both"/>
        <w:rPr>
          <w:rFonts w:cstheme="majorHAnsi"/>
          <w:sz w:val="22"/>
        </w:rPr>
      </w:pPr>
      <w:r w:rsidRPr="002B4566">
        <w:rPr>
          <w:rFonts w:cstheme="majorHAnsi"/>
          <w:sz w:val="22"/>
        </w:rPr>
        <w:t>The contract term will run for a maximum of 6 months from 15</w:t>
      </w:r>
      <w:r w:rsidRPr="002B4566">
        <w:rPr>
          <w:rFonts w:cstheme="majorHAnsi"/>
          <w:sz w:val="22"/>
          <w:vertAlign w:val="superscript"/>
        </w:rPr>
        <w:t>th</w:t>
      </w:r>
      <w:r w:rsidRPr="002B4566">
        <w:rPr>
          <w:rFonts w:cstheme="majorHAnsi"/>
          <w:sz w:val="22"/>
        </w:rPr>
        <w:t xml:space="preserve"> September 2025</w:t>
      </w:r>
    </w:p>
    <w:p w14:paraId="0A182910" w14:textId="77777777" w:rsidR="002B4566" w:rsidRPr="002B4566" w:rsidRDefault="002B4566" w:rsidP="002B4566">
      <w:pPr>
        <w:spacing w:after="0" w:line="240" w:lineRule="auto"/>
        <w:jc w:val="both"/>
        <w:rPr>
          <w:rFonts w:cstheme="majorHAnsi"/>
          <w:sz w:val="22"/>
        </w:rPr>
      </w:pPr>
    </w:p>
    <w:p w14:paraId="5BEBFEBD" w14:textId="77777777" w:rsidR="002B4566" w:rsidRPr="002B4566" w:rsidRDefault="002B4566" w:rsidP="002B4566">
      <w:pPr>
        <w:spacing w:after="0" w:line="240" w:lineRule="auto"/>
        <w:jc w:val="both"/>
        <w:rPr>
          <w:rFonts w:cstheme="majorHAnsi"/>
          <w:sz w:val="22"/>
        </w:rPr>
      </w:pPr>
      <w:r w:rsidRPr="002B4566">
        <w:rPr>
          <w:rFonts w:cstheme="majorHAnsi"/>
          <w:sz w:val="22"/>
        </w:rPr>
        <w:t>Any contract which may be awarded will be transacted in accordance with Sport Wales’s terms and conditions of contract. (Refer to section 3)</w:t>
      </w:r>
    </w:p>
    <w:p w14:paraId="07986DC8" w14:textId="77777777" w:rsidR="002B4566" w:rsidRPr="002B4566" w:rsidRDefault="002B4566" w:rsidP="002B4566">
      <w:pPr>
        <w:spacing w:after="0" w:line="240" w:lineRule="auto"/>
        <w:jc w:val="both"/>
        <w:rPr>
          <w:rFonts w:cstheme="majorHAnsi"/>
          <w:b/>
          <w:sz w:val="22"/>
        </w:rPr>
      </w:pPr>
    </w:p>
    <w:p w14:paraId="1142E00F" w14:textId="27A3AEB5" w:rsidR="00BC20AA" w:rsidRPr="002B4566" w:rsidRDefault="00BC20AA" w:rsidP="002B4566">
      <w:pPr>
        <w:spacing w:after="0" w:line="240" w:lineRule="auto"/>
        <w:jc w:val="both"/>
        <w:rPr>
          <w:rFonts w:cstheme="majorHAnsi"/>
          <w:b/>
          <w:sz w:val="22"/>
        </w:rPr>
      </w:pPr>
      <w:r>
        <w:rPr>
          <w:rFonts w:cstheme="majorHAnsi"/>
          <w:b/>
          <w:sz w:val="22"/>
        </w:rPr>
        <w:t>Criteria for selection and Award</w:t>
      </w:r>
    </w:p>
    <w:p w14:paraId="233AE444" w14:textId="77777777" w:rsidR="002B4566" w:rsidRPr="002B4566" w:rsidRDefault="002B4566" w:rsidP="002B4566">
      <w:pPr>
        <w:spacing w:after="0" w:line="240" w:lineRule="auto"/>
        <w:jc w:val="both"/>
        <w:rPr>
          <w:rFonts w:cstheme="majorHAnsi"/>
          <w:b/>
          <w:sz w:val="22"/>
        </w:rPr>
      </w:pPr>
    </w:p>
    <w:p w14:paraId="2553BB7A" w14:textId="77777777" w:rsidR="002B4566" w:rsidRPr="002B4566" w:rsidRDefault="002B4566" w:rsidP="002B4566">
      <w:pPr>
        <w:spacing w:after="0" w:line="240" w:lineRule="auto"/>
        <w:jc w:val="both"/>
        <w:rPr>
          <w:rFonts w:cstheme="majorHAnsi"/>
          <w:sz w:val="22"/>
        </w:rPr>
      </w:pPr>
      <w:r w:rsidRPr="002B4566">
        <w:rPr>
          <w:rFonts w:cstheme="majorHAnsi"/>
          <w:sz w:val="22"/>
        </w:rPr>
        <w:t xml:space="preserve">Any contract awarded because of this tender will be awarded to the provider, who is able to successfully demonstrate the ability to provide an efficient, competent, reliable and cost-effective solution to our requirements. </w:t>
      </w:r>
    </w:p>
    <w:p w14:paraId="184C08B2" w14:textId="77777777" w:rsidR="002B4566" w:rsidRPr="002B4566" w:rsidRDefault="002B4566" w:rsidP="002B4566">
      <w:pPr>
        <w:spacing w:after="0" w:line="240" w:lineRule="auto"/>
        <w:jc w:val="both"/>
        <w:rPr>
          <w:rFonts w:cstheme="majorHAnsi"/>
          <w:b/>
          <w:sz w:val="22"/>
          <w:u w:val="single"/>
        </w:rPr>
      </w:pPr>
    </w:p>
    <w:p w14:paraId="37F6522E" w14:textId="77777777" w:rsidR="002B4566" w:rsidRPr="002B4566" w:rsidRDefault="002B4566" w:rsidP="002B4566">
      <w:pPr>
        <w:spacing w:after="0" w:line="240" w:lineRule="auto"/>
        <w:jc w:val="both"/>
        <w:rPr>
          <w:rFonts w:cstheme="majorHAnsi"/>
          <w:b/>
          <w:sz w:val="22"/>
        </w:rPr>
      </w:pPr>
      <w:r w:rsidRPr="002B4566">
        <w:rPr>
          <w:rFonts w:cstheme="majorHAnsi"/>
          <w:b/>
          <w:sz w:val="22"/>
        </w:rPr>
        <w:t>Breakdown of scoring</w:t>
      </w:r>
    </w:p>
    <w:p w14:paraId="7FBB8D6B" w14:textId="77777777" w:rsidR="002B4566" w:rsidRPr="002B4566" w:rsidRDefault="002B4566" w:rsidP="002B4566">
      <w:pPr>
        <w:spacing w:after="0" w:line="240" w:lineRule="auto"/>
        <w:jc w:val="both"/>
        <w:rPr>
          <w:rFonts w:cstheme="majorHAnsi"/>
          <w:sz w:val="22"/>
        </w:rPr>
      </w:pPr>
    </w:p>
    <w:p w14:paraId="592D327D" w14:textId="77777777" w:rsidR="002B4566" w:rsidRPr="002B4566" w:rsidRDefault="002B4566" w:rsidP="002B4566">
      <w:pPr>
        <w:spacing w:after="0" w:line="240" w:lineRule="auto"/>
        <w:jc w:val="both"/>
        <w:rPr>
          <w:rFonts w:cstheme="majorHAnsi"/>
          <w:sz w:val="22"/>
        </w:rPr>
      </w:pPr>
      <w:r w:rsidRPr="002B4566">
        <w:rPr>
          <w:rFonts w:cstheme="majorHAnsi"/>
          <w:sz w:val="22"/>
        </w:rPr>
        <w:t xml:space="preserve">The scoring will be evaluated by a panel comprising employees of the Sport System Directorate: </w:t>
      </w:r>
    </w:p>
    <w:p w14:paraId="35F6BF8D" w14:textId="77777777" w:rsidR="002B4566" w:rsidRPr="002B4566" w:rsidRDefault="002B4566" w:rsidP="002B4566">
      <w:pPr>
        <w:spacing w:after="0" w:line="240" w:lineRule="auto"/>
        <w:jc w:val="both"/>
        <w:rPr>
          <w:rFonts w:cstheme="majorHAnsi"/>
          <w:sz w:val="22"/>
        </w:rPr>
      </w:pPr>
    </w:p>
    <w:p w14:paraId="561F4B67" w14:textId="77777777" w:rsidR="002B4566" w:rsidRPr="002B4566" w:rsidRDefault="002B4566" w:rsidP="002B4566">
      <w:pPr>
        <w:spacing w:after="0" w:line="240" w:lineRule="auto"/>
        <w:rPr>
          <w:rFonts w:cstheme="majorHAnsi"/>
          <w:sz w:val="22"/>
        </w:rPr>
      </w:pPr>
      <w:r w:rsidRPr="002B4566">
        <w:rPr>
          <w:rFonts w:cstheme="majorHAnsi"/>
          <w:sz w:val="22"/>
        </w:rPr>
        <w:t xml:space="preserve">The contract will be awarded to the candidate(s) who can successfully demonstrate the ability to deliver the most economically advantageous tender. The evaluation of tenders will be based on a split of 20% for fees and charges (Commercial Response) and 80% on the quality (Service Provision and Experience). </w:t>
      </w:r>
    </w:p>
    <w:p w14:paraId="099C9DB1" w14:textId="77777777" w:rsidR="002B4566" w:rsidRPr="002B4566" w:rsidRDefault="002B4566" w:rsidP="002B4566">
      <w:pPr>
        <w:spacing w:after="0" w:line="240" w:lineRule="auto"/>
        <w:rPr>
          <w:rFonts w:cstheme="majorHAnsi"/>
          <w:sz w:val="22"/>
          <w:lang w:val="en-US"/>
        </w:rPr>
      </w:pPr>
      <w:r w:rsidRPr="002B4566">
        <w:rPr>
          <w:rFonts w:cstheme="majorHAnsi"/>
          <w:sz w:val="22"/>
          <w:lang w:val="en-US"/>
        </w:rPr>
        <w:t>Tender costs are to be submitted excluding VAT.</w:t>
      </w:r>
    </w:p>
    <w:p w14:paraId="34E2B61D" w14:textId="77777777" w:rsidR="002B4566" w:rsidRPr="002B4566" w:rsidRDefault="002B4566" w:rsidP="002B4566">
      <w:pPr>
        <w:spacing w:after="0" w:line="240" w:lineRule="auto"/>
        <w:jc w:val="both"/>
        <w:rPr>
          <w:rFonts w:cstheme="majorHAnsi"/>
          <w:sz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3738"/>
      </w:tblGrid>
      <w:tr w:rsidR="002B4566" w:rsidRPr="002B4566" w14:paraId="0056E8E8" w14:textId="77777777" w:rsidTr="00A74562">
        <w:trPr>
          <w:jc w:val="center"/>
        </w:trPr>
        <w:tc>
          <w:tcPr>
            <w:tcW w:w="4621" w:type="dxa"/>
            <w:shd w:val="clear" w:color="auto" w:fill="97E9E1"/>
          </w:tcPr>
          <w:p w14:paraId="78715158" w14:textId="77777777" w:rsidR="002B4566" w:rsidRPr="002B4566" w:rsidRDefault="002B4566" w:rsidP="002B4566">
            <w:pPr>
              <w:spacing w:after="0" w:line="240" w:lineRule="auto"/>
              <w:jc w:val="both"/>
              <w:rPr>
                <w:rFonts w:cstheme="majorHAnsi"/>
                <w:sz w:val="22"/>
              </w:rPr>
            </w:pPr>
            <w:r w:rsidRPr="002B4566">
              <w:rPr>
                <w:rFonts w:cstheme="majorHAnsi"/>
                <w:sz w:val="22"/>
              </w:rPr>
              <w:t>Section</w:t>
            </w:r>
          </w:p>
        </w:tc>
        <w:tc>
          <w:tcPr>
            <w:tcW w:w="3738" w:type="dxa"/>
            <w:shd w:val="clear" w:color="auto" w:fill="97E9E1"/>
          </w:tcPr>
          <w:p w14:paraId="2E4AA2DE" w14:textId="77777777" w:rsidR="002B4566" w:rsidRPr="002B4566" w:rsidRDefault="002B4566" w:rsidP="002B4566">
            <w:pPr>
              <w:spacing w:after="0" w:line="240" w:lineRule="auto"/>
              <w:jc w:val="center"/>
              <w:rPr>
                <w:rFonts w:cstheme="majorHAnsi"/>
                <w:sz w:val="22"/>
              </w:rPr>
            </w:pPr>
            <w:r w:rsidRPr="002B4566">
              <w:rPr>
                <w:rFonts w:cstheme="majorHAnsi"/>
                <w:sz w:val="22"/>
              </w:rPr>
              <w:t xml:space="preserve">Percentage weighting </w:t>
            </w:r>
          </w:p>
        </w:tc>
      </w:tr>
      <w:tr w:rsidR="002B4566" w:rsidRPr="002B4566" w14:paraId="4707A241" w14:textId="77777777" w:rsidTr="00BC20AA">
        <w:trPr>
          <w:jc w:val="center"/>
        </w:trPr>
        <w:tc>
          <w:tcPr>
            <w:tcW w:w="4621" w:type="dxa"/>
          </w:tcPr>
          <w:p w14:paraId="2131BFFC" w14:textId="77777777" w:rsidR="002B4566" w:rsidRPr="002B4566" w:rsidRDefault="002B4566" w:rsidP="002B4566">
            <w:pPr>
              <w:spacing w:after="0" w:line="240" w:lineRule="auto"/>
              <w:jc w:val="both"/>
              <w:rPr>
                <w:rFonts w:cstheme="majorHAnsi"/>
                <w:sz w:val="22"/>
              </w:rPr>
            </w:pPr>
            <w:r w:rsidRPr="002B4566">
              <w:rPr>
                <w:rFonts w:cstheme="majorHAnsi"/>
                <w:sz w:val="22"/>
              </w:rPr>
              <w:t>Quality (Service Provision &amp; Experience)</w:t>
            </w:r>
          </w:p>
        </w:tc>
        <w:tc>
          <w:tcPr>
            <w:tcW w:w="3738" w:type="dxa"/>
          </w:tcPr>
          <w:p w14:paraId="0C9EE6C4" w14:textId="77777777" w:rsidR="002B4566" w:rsidRPr="002B4566" w:rsidRDefault="002B4566" w:rsidP="002B4566">
            <w:pPr>
              <w:spacing w:after="0" w:line="240" w:lineRule="auto"/>
              <w:jc w:val="center"/>
              <w:rPr>
                <w:rFonts w:cstheme="majorHAnsi"/>
                <w:sz w:val="22"/>
              </w:rPr>
            </w:pPr>
            <w:r w:rsidRPr="002B4566">
              <w:rPr>
                <w:rFonts w:cstheme="majorHAnsi"/>
                <w:sz w:val="22"/>
              </w:rPr>
              <w:t>80%</w:t>
            </w:r>
          </w:p>
        </w:tc>
      </w:tr>
      <w:tr w:rsidR="002B4566" w:rsidRPr="002B4566" w14:paraId="0B87E343" w14:textId="77777777" w:rsidTr="00BC20AA">
        <w:trPr>
          <w:jc w:val="center"/>
        </w:trPr>
        <w:tc>
          <w:tcPr>
            <w:tcW w:w="4621" w:type="dxa"/>
          </w:tcPr>
          <w:p w14:paraId="0AE8622C" w14:textId="77777777" w:rsidR="002B4566" w:rsidRPr="002B4566" w:rsidRDefault="002B4566" w:rsidP="002B4566">
            <w:pPr>
              <w:spacing w:after="0" w:line="240" w:lineRule="auto"/>
              <w:jc w:val="both"/>
              <w:rPr>
                <w:rFonts w:cstheme="majorHAnsi"/>
                <w:sz w:val="22"/>
              </w:rPr>
            </w:pPr>
            <w:r w:rsidRPr="002B4566">
              <w:rPr>
                <w:rFonts w:cstheme="majorHAnsi"/>
                <w:sz w:val="22"/>
              </w:rPr>
              <w:t>Commercial (Fees &amp; Charges)</w:t>
            </w:r>
          </w:p>
        </w:tc>
        <w:tc>
          <w:tcPr>
            <w:tcW w:w="3738" w:type="dxa"/>
          </w:tcPr>
          <w:p w14:paraId="100ADB33" w14:textId="77777777" w:rsidR="002B4566" w:rsidRPr="002B4566" w:rsidRDefault="002B4566" w:rsidP="002B4566">
            <w:pPr>
              <w:spacing w:after="0" w:line="240" w:lineRule="auto"/>
              <w:jc w:val="center"/>
              <w:rPr>
                <w:rFonts w:cstheme="majorHAnsi"/>
                <w:sz w:val="22"/>
              </w:rPr>
            </w:pPr>
            <w:r w:rsidRPr="002B4566">
              <w:rPr>
                <w:rFonts w:cstheme="majorHAnsi"/>
                <w:sz w:val="22"/>
              </w:rPr>
              <w:t>20%</w:t>
            </w:r>
          </w:p>
        </w:tc>
      </w:tr>
      <w:tr w:rsidR="002B4566" w:rsidRPr="002B4566" w14:paraId="0938DC8F" w14:textId="77777777" w:rsidTr="00BC20AA">
        <w:trPr>
          <w:trHeight w:val="293"/>
          <w:jc w:val="center"/>
        </w:trPr>
        <w:tc>
          <w:tcPr>
            <w:tcW w:w="4621" w:type="dxa"/>
          </w:tcPr>
          <w:p w14:paraId="77262980" w14:textId="77777777" w:rsidR="002B4566" w:rsidRPr="002B4566" w:rsidRDefault="002B4566" w:rsidP="002B4566">
            <w:pPr>
              <w:spacing w:after="0" w:line="240" w:lineRule="auto"/>
              <w:jc w:val="both"/>
              <w:rPr>
                <w:rFonts w:cstheme="majorHAnsi"/>
                <w:b/>
                <w:sz w:val="22"/>
              </w:rPr>
            </w:pPr>
            <w:r w:rsidRPr="002B4566">
              <w:rPr>
                <w:rFonts w:cstheme="majorHAnsi"/>
                <w:b/>
                <w:sz w:val="22"/>
              </w:rPr>
              <w:t>Total</w:t>
            </w:r>
          </w:p>
        </w:tc>
        <w:tc>
          <w:tcPr>
            <w:tcW w:w="3738" w:type="dxa"/>
          </w:tcPr>
          <w:p w14:paraId="0E12FB21" w14:textId="77777777" w:rsidR="002B4566" w:rsidRPr="002B4566" w:rsidRDefault="002B4566" w:rsidP="002B4566">
            <w:pPr>
              <w:spacing w:after="0" w:line="240" w:lineRule="auto"/>
              <w:jc w:val="center"/>
              <w:rPr>
                <w:rFonts w:cstheme="majorHAnsi"/>
                <w:b/>
                <w:sz w:val="22"/>
              </w:rPr>
            </w:pPr>
            <w:r w:rsidRPr="002B4566">
              <w:rPr>
                <w:rFonts w:cstheme="majorHAnsi"/>
                <w:b/>
                <w:sz w:val="22"/>
              </w:rPr>
              <w:t>100%</w:t>
            </w:r>
          </w:p>
        </w:tc>
      </w:tr>
    </w:tbl>
    <w:p w14:paraId="65721CEF" w14:textId="77777777" w:rsidR="002B4566" w:rsidRPr="002B4566" w:rsidRDefault="002B4566" w:rsidP="002B4566">
      <w:pPr>
        <w:spacing w:after="0" w:line="240" w:lineRule="auto"/>
        <w:jc w:val="both"/>
        <w:rPr>
          <w:rFonts w:cstheme="majorHAnsi"/>
          <w:b/>
          <w:sz w:val="22"/>
        </w:rPr>
      </w:pPr>
    </w:p>
    <w:p w14:paraId="65CCE57F" w14:textId="77777777" w:rsidR="002B4566" w:rsidRPr="002B4566" w:rsidRDefault="002B4566" w:rsidP="002B4566">
      <w:pPr>
        <w:spacing w:after="0" w:line="240" w:lineRule="auto"/>
        <w:jc w:val="both"/>
        <w:rPr>
          <w:rFonts w:cstheme="majorHAnsi"/>
          <w:b/>
          <w:sz w:val="22"/>
        </w:rPr>
      </w:pPr>
      <w:r w:rsidRPr="002B4566">
        <w:rPr>
          <w:rFonts w:cstheme="majorHAnsi"/>
          <w:b/>
          <w:sz w:val="22"/>
        </w:rPr>
        <w:t>Payment Terms and Conditions</w:t>
      </w:r>
    </w:p>
    <w:p w14:paraId="008D2FD4" w14:textId="77777777" w:rsidR="002B4566" w:rsidRPr="002B4566" w:rsidRDefault="002B4566" w:rsidP="002B4566">
      <w:pPr>
        <w:spacing w:after="0" w:line="240" w:lineRule="auto"/>
        <w:jc w:val="both"/>
        <w:rPr>
          <w:rFonts w:cstheme="majorHAnsi"/>
          <w:b/>
          <w:sz w:val="22"/>
        </w:rPr>
      </w:pPr>
    </w:p>
    <w:p w14:paraId="437080B4" w14:textId="77777777" w:rsidR="002B4566" w:rsidRPr="002B4566" w:rsidRDefault="002B4566" w:rsidP="002B4566">
      <w:pPr>
        <w:spacing w:after="0" w:line="240" w:lineRule="auto"/>
        <w:jc w:val="both"/>
        <w:rPr>
          <w:rFonts w:cstheme="majorHAnsi"/>
          <w:sz w:val="22"/>
        </w:rPr>
      </w:pPr>
      <w:r w:rsidRPr="002B4566">
        <w:rPr>
          <w:rFonts w:cstheme="majorHAnsi"/>
          <w:sz w:val="22"/>
        </w:rPr>
        <w:t>Sport Wales will apply 30 days payment terms to this award. In your tender response please confirm acceptance of these payment terms.</w:t>
      </w:r>
    </w:p>
    <w:p w14:paraId="4E064512" w14:textId="77777777" w:rsidR="002B4566" w:rsidRPr="002B4566" w:rsidRDefault="002B4566" w:rsidP="002B4566">
      <w:pPr>
        <w:spacing w:after="0" w:line="240" w:lineRule="auto"/>
        <w:jc w:val="both"/>
        <w:rPr>
          <w:rFonts w:cstheme="majorHAnsi"/>
          <w:b/>
          <w:sz w:val="22"/>
        </w:rPr>
      </w:pPr>
    </w:p>
    <w:p w14:paraId="61949403" w14:textId="77777777" w:rsidR="002B4566" w:rsidRPr="002B4566" w:rsidRDefault="002B4566" w:rsidP="002B4566">
      <w:pPr>
        <w:spacing w:after="0" w:line="240" w:lineRule="auto"/>
        <w:jc w:val="both"/>
        <w:rPr>
          <w:rFonts w:cstheme="majorHAnsi"/>
          <w:b/>
          <w:bCs/>
          <w:sz w:val="22"/>
        </w:rPr>
      </w:pPr>
      <w:r w:rsidRPr="002B4566">
        <w:rPr>
          <w:rFonts w:cstheme="majorHAnsi"/>
          <w:b/>
          <w:bCs/>
          <w:sz w:val="22"/>
        </w:rPr>
        <w:t>Confidentiality</w:t>
      </w:r>
    </w:p>
    <w:p w14:paraId="1BFF1414" w14:textId="77777777" w:rsidR="002B4566" w:rsidRPr="002B4566" w:rsidRDefault="002B4566" w:rsidP="002B4566">
      <w:pPr>
        <w:spacing w:after="0" w:line="240" w:lineRule="auto"/>
        <w:jc w:val="both"/>
        <w:rPr>
          <w:rFonts w:cstheme="majorHAnsi"/>
          <w:b/>
          <w:sz w:val="22"/>
        </w:rPr>
      </w:pPr>
    </w:p>
    <w:p w14:paraId="23B206B4" w14:textId="77777777" w:rsidR="002B4566" w:rsidRPr="002B4566" w:rsidRDefault="002B4566" w:rsidP="002B4566">
      <w:pPr>
        <w:spacing w:after="0" w:line="240" w:lineRule="auto"/>
        <w:jc w:val="both"/>
        <w:rPr>
          <w:rFonts w:cstheme="majorHAnsi"/>
          <w:sz w:val="22"/>
        </w:rPr>
      </w:pPr>
      <w:r w:rsidRPr="002B4566">
        <w:rPr>
          <w:rFonts w:cstheme="majorHAnsi"/>
          <w:sz w:val="22"/>
        </w:rPr>
        <w:t>As part of your tender submission, you should provide a statement of assurance of confidentiality and independence. This will not be scored but the existence of a suitable statement will be a condition of award.</w:t>
      </w:r>
    </w:p>
    <w:p w14:paraId="7FB7ED25" w14:textId="77777777" w:rsidR="002B4566" w:rsidRPr="002B4566" w:rsidRDefault="002B4566" w:rsidP="002B4566">
      <w:pPr>
        <w:spacing w:after="0" w:line="240" w:lineRule="auto"/>
        <w:contextualSpacing/>
        <w:rPr>
          <w:rFonts w:cstheme="majorHAnsi"/>
          <w:sz w:val="22"/>
        </w:rPr>
      </w:pPr>
    </w:p>
    <w:p w14:paraId="4E11A8C4" w14:textId="77777777" w:rsidR="002B4566" w:rsidRDefault="002B4566" w:rsidP="002B4566">
      <w:pPr>
        <w:spacing w:after="0" w:line="240" w:lineRule="auto"/>
        <w:rPr>
          <w:rFonts w:cstheme="majorHAnsi"/>
          <w:sz w:val="22"/>
        </w:rPr>
      </w:pPr>
      <w:r w:rsidRPr="002B4566">
        <w:rPr>
          <w:rFonts w:cstheme="majorHAnsi"/>
          <w:sz w:val="22"/>
        </w:rPr>
        <w:t>Tenderers are reminded that any relevant conflicts of interest that arise in relation to this tender should be revealed during the tender process and that failure to do so will result in the termination of the contract.</w:t>
      </w:r>
    </w:p>
    <w:p w14:paraId="70CC2464" w14:textId="77777777" w:rsidR="005E57E1" w:rsidRPr="002B4566" w:rsidRDefault="005E57E1" w:rsidP="002B4566">
      <w:pPr>
        <w:spacing w:after="0" w:line="240" w:lineRule="auto"/>
        <w:rPr>
          <w:rFonts w:cstheme="majorHAnsi"/>
          <w:sz w:val="22"/>
        </w:rPr>
      </w:pPr>
    </w:p>
    <w:p w14:paraId="168438A7" w14:textId="77777777" w:rsidR="002B4566" w:rsidRPr="002B4566" w:rsidRDefault="002B4566" w:rsidP="002B4566">
      <w:pPr>
        <w:spacing w:after="0" w:line="240" w:lineRule="auto"/>
        <w:rPr>
          <w:rFonts w:cstheme="majorHAnsi"/>
          <w:sz w:val="22"/>
        </w:rPr>
      </w:pPr>
      <w:r w:rsidRPr="002B4566">
        <w:rPr>
          <w:rFonts w:cstheme="majorHAnsi"/>
          <w:sz w:val="22"/>
        </w:rPr>
        <w:t>This specification document sets out Sport Wales’s current service requirement. It is possible that during the life of the contract changes will arise, for example in the nature and volume of the work and the timescale or other requirements. Changes to the Specification will be implemented by issuing written amendments to all those affected by the changes.</w:t>
      </w:r>
    </w:p>
    <w:p w14:paraId="697E2326" w14:textId="77777777" w:rsidR="002B4566" w:rsidRDefault="002B4566" w:rsidP="002B4566">
      <w:pPr>
        <w:spacing w:after="0" w:line="240" w:lineRule="auto"/>
        <w:contextualSpacing/>
        <w:rPr>
          <w:rFonts w:cs="Calibri"/>
          <w:b/>
          <w:sz w:val="22"/>
        </w:rPr>
      </w:pPr>
    </w:p>
    <w:p w14:paraId="2A160891" w14:textId="77777777" w:rsidR="00BC20AA" w:rsidRPr="002B4566" w:rsidRDefault="00BC20AA" w:rsidP="002B4566">
      <w:pPr>
        <w:spacing w:after="0" w:line="240" w:lineRule="auto"/>
        <w:contextualSpacing/>
        <w:rPr>
          <w:rFonts w:cs="Calibri"/>
          <w:b/>
          <w:sz w:val="22"/>
        </w:rPr>
      </w:pPr>
    </w:p>
    <w:p w14:paraId="271769C2" w14:textId="77777777" w:rsidR="002B4566" w:rsidRPr="001A4439" w:rsidRDefault="002B4566" w:rsidP="00380B5C">
      <w:pPr>
        <w:pStyle w:val="Heading3"/>
        <w:rPr>
          <w:sz w:val="28"/>
          <w:szCs w:val="28"/>
        </w:rPr>
      </w:pPr>
      <w:r w:rsidRPr="001A4439">
        <w:rPr>
          <w:sz w:val="28"/>
          <w:szCs w:val="28"/>
        </w:rPr>
        <w:t>SECTION 3: CONDITIONS OF TENDER</w:t>
      </w:r>
    </w:p>
    <w:p w14:paraId="4841021B" w14:textId="77777777" w:rsidR="002B4566" w:rsidRPr="002B4566" w:rsidRDefault="002B4566" w:rsidP="002B4566">
      <w:pPr>
        <w:spacing w:after="0" w:line="240" w:lineRule="auto"/>
        <w:ind w:left="720" w:hanging="720"/>
        <w:jc w:val="both"/>
        <w:rPr>
          <w:rFonts w:cs="Calibri"/>
          <w:b/>
          <w:sz w:val="22"/>
          <w:u w:val="single"/>
        </w:rPr>
      </w:pPr>
    </w:p>
    <w:p w14:paraId="00FA9C5B" w14:textId="77777777" w:rsidR="002B4566" w:rsidRPr="002B4566" w:rsidRDefault="002B4566" w:rsidP="002B4566">
      <w:pPr>
        <w:tabs>
          <w:tab w:val="left" w:pos="5103"/>
        </w:tabs>
        <w:spacing w:after="0" w:line="240" w:lineRule="auto"/>
        <w:jc w:val="both"/>
        <w:rPr>
          <w:rFonts w:cs="Calibri"/>
          <w:sz w:val="22"/>
        </w:rPr>
      </w:pPr>
      <w:r w:rsidRPr="002B4566">
        <w:rPr>
          <w:rFonts w:cs="Calibri"/>
          <w:sz w:val="22"/>
        </w:rPr>
        <w:t>By submitting a tender, you are acknowledging and agreeing in full to the following conditions:</w:t>
      </w:r>
    </w:p>
    <w:p w14:paraId="294CFAAB" w14:textId="77777777" w:rsidR="002B4566" w:rsidRPr="002B4566" w:rsidRDefault="002B4566" w:rsidP="002B4566">
      <w:pPr>
        <w:tabs>
          <w:tab w:val="left" w:pos="5103"/>
        </w:tabs>
        <w:spacing w:after="0" w:line="240" w:lineRule="auto"/>
        <w:jc w:val="both"/>
        <w:rPr>
          <w:rFonts w:cs="Calibri"/>
          <w:sz w:val="22"/>
        </w:rPr>
      </w:pPr>
    </w:p>
    <w:p w14:paraId="09394107"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lastRenderedPageBreak/>
        <w:t>The contents and requirements of the tender documentation have been read, understood and, where required, complied with.</w:t>
      </w:r>
    </w:p>
    <w:p w14:paraId="74804C6B" w14:textId="77777777" w:rsidR="002B4566" w:rsidRPr="002B4566" w:rsidRDefault="002B4566" w:rsidP="002B4566">
      <w:pPr>
        <w:tabs>
          <w:tab w:val="left" w:pos="1418"/>
        </w:tabs>
        <w:spacing w:after="0" w:line="240" w:lineRule="auto"/>
        <w:ind w:left="1080"/>
        <w:jc w:val="both"/>
        <w:rPr>
          <w:rFonts w:cs="Calibri"/>
          <w:sz w:val="22"/>
        </w:rPr>
      </w:pPr>
    </w:p>
    <w:p w14:paraId="7900A721"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This is a bona-fide tender, and that the prices and / or sums herein have not been adjusted or unfairly influenced by any arrangements or agreements with any third party.</w:t>
      </w:r>
    </w:p>
    <w:p w14:paraId="2918A822" w14:textId="77777777" w:rsidR="002B4566" w:rsidRPr="002B4566" w:rsidRDefault="002B4566" w:rsidP="002B4566">
      <w:pPr>
        <w:tabs>
          <w:tab w:val="left" w:pos="1418"/>
        </w:tabs>
        <w:spacing w:after="0" w:line="240" w:lineRule="auto"/>
        <w:ind w:left="1080"/>
        <w:jc w:val="both"/>
        <w:rPr>
          <w:rFonts w:cs="Calibri"/>
          <w:sz w:val="22"/>
        </w:rPr>
      </w:pPr>
    </w:p>
    <w:p w14:paraId="31F6DFAB"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You have not nor will not prior to any contract award communicate with others except the tendering organisation with regard to the tendered amount or specific details thereof except where the disclosure of this information is required to obtain information in support of our bid.</w:t>
      </w:r>
    </w:p>
    <w:p w14:paraId="66EF6940" w14:textId="77777777" w:rsidR="002B4566" w:rsidRPr="002B4566" w:rsidRDefault="002B4566" w:rsidP="002B4566">
      <w:pPr>
        <w:tabs>
          <w:tab w:val="left" w:pos="1418"/>
        </w:tabs>
        <w:spacing w:after="0" w:line="240" w:lineRule="auto"/>
        <w:ind w:left="1080"/>
        <w:jc w:val="both"/>
        <w:rPr>
          <w:rFonts w:cs="Calibri"/>
          <w:sz w:val="22"/>
        </w:rPr>
      </w:pPr>
    </w:p>
    <w:p w14:paraId="09A5BD0E"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You have not and will not enter into any arrangement or agreement that could lead to others not submitting a tender or influence the tendered amount submitted by others.</w:t>
      </w:r>
    </w:p>
    <w:p w14:paraId="36527EC7" w14:textId="77777777" w:rsidR="002B4566" w:rsidRPr="002B4566" w:rsidRDefault="002B4566" w:rsidP="002B4566">
      <w:pPr>
        <w:tabs>
          <w:tab w:val="left" w:pos="1418"/>
        </w:tabs>
        <w:spacing w:after="0" w:line="240" w:lineRule="auto"/>
        <w:ind w:left="1080"/>
        <w:jc w:val="both"/>
        <w:rPr>
          <w:rFonts w:cs="Calibri"/>
          <w:sz w:val="22"/>
        </w:rPr>
      </w:pPr>
    </w:p>
    <w:p w14:paraId="15D67715" w14:textId="77777777" w:rsidR="002B4566" w:rsidRPr="002B4566" w:rsidRDefault="002B4566" w:rsidP="002B4566">
      <w:pPr>
        <w:numPr>
          <w:ilvl w:val="1"/>
          <w:numId w:val="11"/>
        </w:numPr>
        <w:spacing w:after="0" w:line="240" w:lineRule="auto"/>
        <w:jc w:val="both"/>
        <w:rPr>
          <w:rFonts w:cs="Calibri"/>
          <w:sz w:val="22"/>
        </w:rPr>
      </w:pPr>
      <w:r w:rsidRPr="002B4566">
        <w:rPr>
          <w:rFonts w:cs="Calibri"/>
          <w:sz w:val="22"/>
        </w:rPr>
        <w:t>You have not and will not offer any inducement, financial or otherwise, directly or indirectly to any person or third party in any way to influence any tender submitted or part thereof.</w:t>
      </w:r>
    </w:p>
    <w:p w14:paraId="5FA30B7C" w14:textId="77777777" w:rsidR="002B4566" w:rsidRPr="002B4566" w:rsidRDefault="002B4566" w:rsidP="002B4566">
      <w:pPr>
        <w:pStyle w:val="ListParagraph"/>
        <w:spacing w:after="0" w:line="240" w:lineRule="auto"/>
        <w:jc w:val="both"/>
        <w:rPr>
          <w:rFonts w:cs="Calibri"/>
          <w:sz w:val="22"/>
        </w:rPr>
      </w:pPr>
    </w:p>
    <w:p w14:paraId="0CFC905B"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The principles and requirements of this certificate have or will have as soon as reasonably practicable been brought to the attention of any and all sub-contractors, suppliers or associates connected with this tender.</w:t>
      </w:r>
    </w:p>
    <w:p w14:paraId="503AB3A5" w14:textId="77777777" w:rsidR="002B4566" w:rsidRPr="002B4566" w:rsidRDefault="002B4566" w:rsidP="002B4566">
      <w:pPr>
        <w:pStyle w:val="ListParagraph"/>
        <w:spacing w:after="0" w:line="240" w:lineRule="auto"/>
        <w:jc w:val="both"/>
        <w:rPr>
          <w:rFonts w:cs="Calibri"/>
          <w:sz w:val="22"/>
        </w:rPr>
      </w:pPr>
    </w:p>
    <w:p w14:paraId="770AB0CE"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You are hereby offering to enter into a contract with Sport Wales in accordance with the requirements contained in this tender and for the costs and charges contained in your tender response.</w:t>
      </w:r>
    </w:p>
    <w:p w14:paraId="702DD64E" w14:textId="77777777" w:rsidR="002B4566" w:rsidRPr="002B4566" w:rsidRDefault="002B4566" w:rsidP="002B4566">
      <w:pPr>
        <w:pStyle w:val="ListParagraph"/>
        <w:spacing w:after="0" w:line="240" w:lineRule="auto"/>
        <w:jc w:val="both"/>
        <w:rPr>
          <w:rFonts w:cs="Calibri"/>
          <w:sz w:val="22"/>
        </w:rPr>
      </w:pPr>
    </w:p>
    <w:p w14:paraId="298357C3" w14:textId="77777777" w:rsidR="002B4566" w:rsidRPr="002B4566" w:rsidRDefault="002B4566" w:rsidP="002B4566">
      <w:pPr>
        <w:numPr>
          <w:ilvl w:val="1"/>
          <w:numId w:val="11"/>
        </w:numPr>
        <w:tabs>
          <w:tab w:val="left" w:pos="1418"/>
        </w:tabs>
        <w:spacing w:after="0" w:line="240" w:lineRule="auto"/>
        <w:jc w:val="both"/>
        <w:rPr>
          <w:rFonts w:cs="Calibri"/>
          <w:sz w:val="22"/>
        </w:rPr>
      </w:pPr>
      <w:r w:rsidRPr="002B4566">
        <w:rPr>
          <w:rFonts w:cs="Calibri"/>
          <w:sz w:val="22"/>
        </w:rPr>
        <w:t>Any and all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41D23EB9" w14:textId="77777777" w:rsidR="00255868" w:rsidRPr="00662D33" w:rsidRDefault="00255868" w:rsidP="001B4DAF">
      <w:pPr>
        <w:rPr>
          <w:szCs w:val="24"/>
        </w:rPr>
      </w:pPr>
    </w:p>
    <w:p w14:paraId="5981B937" w14:textId="77777777" w:rsidR="00EF5648" w:rsidRDefault="00EF5648" w:rsidP="00867EC3"/>
    <w:p w14:paraId="266CC8F0" w14:textId="77777777" w:rsidR="00EF5648" w:rsidRDefault="00EF5648" w:rsidP="00867EC3"/>
    <w:p w14:paraId="6AC49709" w14:textId="77777777" w:rsidR="00EF5648" w:rsidRDefault="00EF5648" w:rsidP="00867EC3"/>
    <w:p w14:paraId="2FE84892" w14:textId="77777777" w:rsidR="00EF5648" w:rsidRDefault="00EF5648" w:rsidP="00867EC3"/>
    <w:p w14:paraId="7149BF66" w14:textId="77777777" w:rsidR="00EF5648" w:rsidRDefault="00EF5648" w:rsidP="00867EC3"/>
    <w:p w14:paraId="4F04B0B2" w14:textId="77777777" w:rsidR="008525E0" w:rsidRDefault="008525E0" w:rsidP="00867EC3">
      <w:pPr>
        <w:sectPr w:rsidR="008525E0" w:rsidSect="00662D33">
          <w:pgSz w:w="11906" w:h="16838"/>
          <w:pgMar w:top="1134" w:right="1134" w:bottom="1843" w:left="1134" w:header="709" w:footer="709" w:gutter="0"/>
          <w:cols w:space="708"/>
          <w:docGrid w:linePitch="360"/>
        </w:sectPr>
      </w:pPr>
    </w:p>
    <w:p w14:paraId="6E178060" w14:textId="77777777" w:rsidR="001D3204" w:rsidRPr="001A4439" w:rsidRDefault="001D3204" w:rsidP="001D3204">
      <w:pPr>
        <w:pStyle w:val="Heading3"/>
        <w:rPr>
          <w:sz w:val="28"/>
          <w:szCs w:val="28"/>
        </w:rPr>
      </w:pPr>
      <w:r w:rsidRPr="001A4439">
        <w:rPr>
          <w:sz w:val="28"/>
          <w:szCs w:val="28"/>
        </w:rPr>
        <w:lastRenderedPageBreak/>
        <w:t>SECTION 4</w:t>
      </w:r>
    </w:p>
    <w:p w14:paraId="16A4C6AF" w14:textId="77777777" w:rsidR="001D3204" w:rsidRPr="00D42349" w:rsidRDefault="001D3204" w:rsidP="001D3204">
      <w:pPr>
        <w:spacing w:after="480"/>
        <w:contextualSpacing/>
        <w:rPr>
          <w:rFonts w:ascii="Verdana" w:hAnsi="Verdana"/>
          <w:b/>
          <w:sz w:val="22"/>
          <w:u w:val="single"/>
        </w:rPr>
      </w:pPr>
    </w:p>
    <w:p w14:paraId="4A66D8F4" w14:textId="77777777" w:rsidR="001D3204" w:rsidRPr="00D04876" w:rsidRDefault="001D3204" w:rsidP="001D3204">
      <w:pPr>
        <w:spacing w:after="480"/>
        <w:contextualSpacing/>
        <w:rPr>
          <w:b/>
          <w:sz w:val="22"/>
        </w:rPr>
      </w:pPr>
      <w:r w:rsidRPr="00D04876">
        <w:rPr>
          <w:b/>
          <w:sz w:val="22"/>
        </w:rPr>
        <w:t>REQUIREMENT DETAILS &amp; RESPONSE</w:t>
      </w:r>
    </w:p>
    <w:p w14:paraId="669DD703" w14:textId="77777777" w:rsidR="001D3204" w:rsidRPr="001D3204" w:rsidRDefault="001D3204" w:rsidP="001D3204">
      <w:pPr>
        <w:spacing w:after="480"/>
        <w:contextualSpacing/>
        <w:rPr>
          <w:rFonts w:cs="Calibri"/>
          <w:sz w:val="22"/>
        </w:rPr>
      </w:pPr>
    </w:p>
    <w:p w14:paraId="504E8E24" w14:textId="77777777" w:rsidR="001D3204" w:rsidRPr="001D3204" w:rsidRDefault="001D3204" w:rsidP="001D3204">
      <w:pPr>
        <w:spacing w:after="480"/>
        <w:contextualSpacing/>
        <w:rPr>
          <w:rFonts w:cs="Calibri"/>
          <w:b/>
          <w:sz w:val="22"/>
        </w:rPr>
      </w:pPr>
      <w:r w:rsidRPr="001D3204">
        <w:rPr>
          <w:rFonts w:cs="Calibri"/>
          <w:b/>
          <w:sz w:val="22"/>
        </w:rPr>
        <w:t>Service Provision and Experience:</w:t>
      </w:r>
    </w:p>
    <w:p w14:paraId="26F7D0FB" w14:textId="77777777" w:rsidR="001D3204" w:rsidRPr="001D3204" w:rsidRDefault="001D3204" w:rsidP="001D3204">
      <w:pPr>
        <w:rPr>
          <w:sz w:val="22"/>
        </w:rPr>
      </w:pPr>
      <w:r w:rsidRPr="001D3204">
        <w:rPr>
          <w:sz w:val="22"/>
        </w:rPr>
        <w:t>This section has a weight of 80%. The responses to these questions will be scored by an evaluation panel using the score guidance 0, 1, 3 or 5 (0 being the lowest and 5 being the highest), using the matrix detailed below.</w:t>
      </w:r>
    </w:p>
    <w:tbl>
      <w:tblPr>
        <w:tblW w:w="4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1307"/>
      </w:tblGrid>
      <w:tr w:rsidR="001D3204" w:rsidRPr="001D3204" w14:paraId="1535AD77" w14:textId="77777777" w:rsidTr="00F306B6">
        <w:trPr>
          <w:trHeight w:val="288"/>
          <w:jc w:val="center"/>
        </w:trPr>
        <w:tc>
          <w:tcPr>
            <w:tcW w:w="710" w:type="pct"/>
            <w:shd w:val="clear" w:color="auto" w:fill="97E9E1"/>
            <w:noWrap/>
            <w:vAlign w:val="center"/>
            <w:hideMark/>
          </w:tcPr>
          <w:p w14:paraId="3557D810" w14:textId="77777777" w:rsidR="001D3204" w:rsidRPr="001D3204" w:rsidRDefault="001D3204" w:rsidP="006F6A17">
            <w:pPr>
              <w:rPr>
                <w:b/>
                <w:bCs/>
                <w:sz w:val="22"/>
              </w:rPr>
            </w:pPr>
            <w:r w:rsidRPr="001D3204">
              <w:rPr>
                <w:b/>
                <w:bCs/>
                <w:sz w:val="22"/>
              </w:rPr>
              <w:t>Score 0 where</w:t>
            </w:r>
          </w:p>
        </w:tc>
        <w:tc>
          <w:tcPr>
            <w:tcW w:w="4290" w:type="pct"/>
            <w:vAlign w:val="center"/>
            <w:hideMark/>
          </w:tcPr>
          <w:p w14:paraId="0608A885" w14:textId="77777777" w:rsidR="001D3204" w:rsidRPr="001D3204" w:rsidRDefault="001D3204" w:rsidP="001B5282">
            <w:pPr>
              <w:rPr>
                <w:b/>
                <w:bCs/>
                <w:sz w:val="22"/>
              </w:rPr>
            </w:pPr>
            <w:r w:rsidRPr="001D3204">
              <w:rPr>
                <w:b/>
                <w:bCs/>
                <w:sz w:val="22"/>
              </w:rPr>
              <w:t>No response or response not relevant to the question or question not answered</w:t>
            </w:r>
          </w:p>
        </w:tc>
      </w:tr>
      <w:tr w:rsidR="001D3204" w:rsidRPr="001D3204" w14:paraId="44CC7E80" w14:textId="77777777" w:rsidTr="00F306B6">
        <w:trPr>
          <w:trHeight w:val="288"/>
          <w:jc w:val="center"/>
        </w:trPr>
        <w:tc>
          <w:tcPr>
            <w:tcW w:w="710" w:type="pct"/>
            <w:shd w:val="clear" w:color="auto" w:fill="97E9E1"/>
            <w:noWrap/>
            <w:vAlign w:val="center"/>
            <w:hideMark/>
          </w:tcPr>
          <w:p w14:paraId="474C7C15" w14:textId="77777777" w:rsidR="001D3204" w:rsidRPr="001D3204" w:rsidRDefault="001D3204" w:rsidP="006F6A17">
            <w:pPr>
              <w:rPr>
                <w:b/>
                <w:bCs/>
                <w:sz w:val="22"/>
              </w:rPr>
            </w:pPr>
            <w:r w:rsidRPr="001D3204">
              <w:rPr>
                <w:b/>
                <w:bCs/>
                <w:sz w:val="22"/>
              </w:rPr>
              <w:t>Score 1 where</w:t>
            </w:r>
          </w:p>
        </w:tc>
        <w:tc>
          <w:tcPr>
            <w:tcW w:w="4290" w:type="pct"/>
            <w:vAlign w:val="center"/>
            <w:hideMark/>
          </w:tcPr>
          <w:p w14:paraId="5C4100E7" w14:textId="77777777" w:rsidR="001D3204" w:rsidRPr="001D3204" w:rsidRDefault="001D3204" w:rsidP="001B5282">
            <w:pPr>
              <w:rPr>
                <w:sz w:val="22"/>
              </w:rPr>
            </w:pPr>
            <w:r w:rsidRPr="001D3204">
              <w:rPr>
                <w:b/>
                <w:bCs/>
                <w:sz w:val="22"/>
              </w:rPr>
              <w:t xml:space="preserve">Poor Response </w:t>
            </w:r>
            <w:r w:rsidRPr="001D3204">
              <w:rPr>
                <w:sz w:val="22"/>
              </w:rPr>
              <w:t>- Answer has partially addressed the question but lacks evidence of provision sought. Lack of real understanding of the requirement or evidence of the ability to deliver</w:t>
            </w:r>
          </w:p>
        </w:tc>
      </w:tr>
      <w:tr w:rsidR="001D3204" w:rsidRPr="001D3204" w14:paraId="617554B6" w14:textId="77777777" w:rsidTr="00F306B6">
        <w:trPr>
          <w:trHeight w:val="288"/>
          <w:jc w:val="center"/>
        </w:trPr>
        <w:tc>
          <w:tcPr>
            <w:tcW w:w="710" w:type="pct"/>
            <w:shd w:val="clear" w:color="auto" w:fill="97E9E1"/>
            <w:noWrap/>
            <w:vAlign w:val="center"/>
            <w:hideMark/>
          </w:tcPr>
          <w:p w14:paraId="741DD382" w14:textId="77777777" w:rsidR="001D3204" w:rsidRPr="001D3204" w:rsidRDefault="001D3204" w:rsidP="006F6A17">
            <w:pPr>
              <w:rPr>
                <w:b/>
                <w:bCs/>
                <w:sz w:val="22"/>
              </w:rPr>
            </w:pPr>
            <w:r w:rsidRPr="001D3204">
              <w:rPr>
                <w:b/>
                <w:bCs/>
                <w:sz w:val="22"/>
              </w:rPr>
              <w:t>Score 3 where</w:t>
            </w:r>
          </w:p>
        </w:tc>
        <w:tc>
          <w:tcPr>
            <w:tcW w:w="4290" w:type="pct"/>
            <w:vAlign w:val="center"/>
            <w:hideMark/>
          </w:tcPr>
          <w:p w14:paraId="3748085B" w14:textId="77777777" w:rsidR="001D3204" w:rsidRPr="001D3204" w:rsidRDefault="001D3204" w:rsidP="001B5282">
            <w:pPr>
              <w:rPr>
                <w:sz w:val="22"/>
              </w:rPr>
            </w:pPr>
            <w:r w:rsidRPr="001D3204">
              <w:rPr>
                <w:b/>
                <w:bCs/>
                <w:sz w:val="22"/>
              </w:rPr>
              <w:t>Acceptable Response</w:t>
            </w:r>
            <w:r w:rsidRPr="001D3204">
              <w:rPr>
                <w:sz w:val="22"/>
              </w:rPr>
              <w:t xml:space="preserve"> - The response complies with the question and provides evidence requested</w:t>
            </w:r>
          </w:p>
        </w:tc>
      </w:tr>
      <w:tr w:rsidR="001D3204" w:rsidRPr="001D3204" w14:paraId="1D7A385F" w14:textId="77777777" w:rsidTr="00F306B6">
        <w:trPr>
          <w:trHeight w:val="300"/>
          <w:jc w:val="center"/>
        </w:trPr>
        <w:tc>
          <w:tcPr>
            <w:tcW w:w="710" w:type="pct"/>
            <w:shd w:val="clear" w:color="auto" w:fill="97E9E1"/>
            <w:noWrap/>
            <w:vAlign w:val="center"/>
            <w:hideMark/>
          </w:tcPr>
          <w:p w14:paraId="6D3FB929" w14:textId="77777777" w:rsidR="001D3204" w:rsidRPr="001D3204" w:rsidRDefault="001D3204" w:rsidP="006F6A17">
            <w:pPr>
              <w:rPr>
                <w:b/>
                <w:bCs/>
                <w:sz w:val="22"/>
              </w:rPr>
            </w:pPr>
            <w:r w:rsidRPr="001D3204">
              <w:rPr>
                <w:b/>
                <w:bCs/>
                <w:sz w:val="22"/>
              </w:rPr>
              <w:t>Score 5 where</w:t>
            </w:r>
          </w:p>
        </w:tc>
        <w:tc>
          <w:tcPr>
            <w:tcW w:w="4290" w:type="pct"/>
            <w:vAlign w:val="center"/>
            <w:hideMark/>
          </w:tcPr>
          <w:p w14:paraId="40AF3B14" w14:textId="77777777" w:rsidR="001D3204" w:rsidRPr="001D3204" w:rsidRDefault="001D3204" w:rsidP="001B5282">
            <w:pPr>
              <w:rPr>
                <w:sz w:val="22"/>
              </w:rPr>
            </w:pPr>
            <w:r w:rsidRPr="001D3204">
              <w:rPr>
                <w:b/>
                <w:bCs/>
                <w:sz w:val="22"/>
              </w:rPr>
              <w:t>Excellent Response</w:t>
            </w:r>
            <w:r w:rsidRPr="001D3204">
              <w:rPr>
                <w:sz w:val="22"/>
              </w:rPr>
              <w:t xml:space="preserve"> – addresses the question directly with clear evidence to support answers. The tenderer demonstrates that they can meet or exceed the requirement</w:t>
            </w:r>
          </w:p>
        </w:tc>
      </w:tr>
    </w:tbl>
    <w:p w14:paraId="58FD8516" w14:textId="77777777" w:rsidR="00913914" w:rsidRDefault="00913914" w:rsidP="00913914">
      <w:pPr>
        <w:spacing w:after="0" w:line="240" w:lineRule="auto"/>
        <w:rPr>
          <w:sz w:val="22"/>
        </w:rPr>
      </w:pPr>
    </w:p>
    <w:p w14:paraId="1F753C09" w14:textId="437ACC54" w:rsidR="001D3204" w:rsidRPr="001D3204" w:rsidRDefault="001D3204" w:rsidP="00913914">
      <w:pPr>
        <w:spacing w:after="0" w:line="240" w:lineRule="auto"/>
        <w:rPr>
          <w:sz w:val="22"/>
        </w:rPr>
      </w:pPr>
      <w:r w:rsidRPr="001D3204">
        <w:rPr>
          <w:sz w:val="22"/>
        </w:rPr>
        <w:t xml:space="preserve">The score for each question will be multiplied by the weight to provide a weighted score. The total weighted score will then be apportioned to the overall quality score (80%). </w:t>
      </w:r>
    </w:p>
    <w:p w14:paraId="6F8CF19E" w14:textId="77777777" w:rsidR="001D3204" w:rsidRPr="001D3204" w:rsidRDefault="001D3204" w:rsidP="00913914">
      <w:pPr>
        <w:spacing w:after="0" w:line="240" w:lineRule="auto"/>
        <w:rPr>
          <w:sz w:val="22"/>
        </w:rPr>
      </w:pPr>
    </w:p>
    <w:p w14:paraId="0D1E3E20" w14:textId="77777777" w:rsidR="001D3204" w:rsidRPr="001D3204" w:rsidRDefault="001D3204" w:rsidP="00913914">
      <w:pPr>
        <w:spacing w:after="0" w:line="240" w:lineRule="auto"/>
        <w:rPr>
          <w:b/>
          <w:sz w:val="22"/>
        </w:rPr>
      </w:pPr>
      <w:r w:rsidRPr="001D3204">
        <w:rPr>
          <w:b/>
          <w:sz w:val="22"/>
        </w:rPr>
        <w:t>Commercial:</w:t>
      </w:r>
    </w:p>
    <w:p w14:paraId="5C4211B0" w14:textId="77777777" w:rsidR="001D3204" w:rsidRPr="001D3204" w:rsidRDefault="001D3204" w:rsidP="00913914">
      <w:pPr>
        <w:spacing w:after="0" w:line="240" w:lineRule="auto"/>
        <w:rPr>
          <w:sz w:val="22"/>
        </w:rPr>
      </w:pPr>
    </w:p>
    <w:p w14:paraId="6DAD7263" w14:textId="77777777" w:rsidR="001D3204" w:rsidRPr="001D3204" w:rsidRDefault="001D3204" w:rsidP="00913914">
      <w:pPr>
        <w:spacing w:after="0" w:line="240" w:lineRule="auto"/>
        <w:rPr>
          <w:sz w:val="22"/>
        </w:rPr>
      </w:pPr>
      <w:r w:rsidRPr="001D3204">
        <w:rPr>
          <w:sz w:val="22"/>
        </w:rPr>
        <w:t>The lowest priced bid received will be awarded the maximum weight (20%). All other bids will be scored proportionally against the winning bid.</w:t>
      </w:r>
    </w:p>
    <w:p w14:paraId="320A3DEC" w14:textId="77777777" w:rsidR="001D3204" w:rsidRPr="001D3204" w:rsidRDefault="001D3204" w:rsidP="00913914">
      <w:pPr>
        <w:spacing w:after="0" w:line="240" w:lineRule="auto"/>
        <w:rPr>
          <w:sz w:val="22"/>
        </w:rPr>
      </w:pPr>
    </w:p>
    <w:p w14:paraId="4DF6473F" w14:textId="77777777" w:rsidR="001D3204" w:rsidRDefault="001D3204" w:rsidP="00913914">
      <w:pPr>
        <w:spacing w:after="0" w:line="240" w:lineRule="auto"/>
        <w:rPr>
          <w:sz w:val="22"/>
        </w:rPr>
      </w:pPr>
      <w:r w:rsidRPr="001D3204">
        <w:rPr>
          <w:sz w:val="22"/>
        </w:rPr>
        <w:t xml:space="preserve">Please ensure that you answer each question directly. </w:t>
      </w:r>
    </w:p>
    <w:p w14:paraId="7E171DB9" w14:textId="77777777" w:rsidR="00913914" w:rsidRDefault="00913914" w:rsidP="00913914">
      <w:pPr>
        <w:spacing w:after="0" w:line="240" w:lineRule="auto"/>
        <w:rPr>
          <w:sz w:val="22"/>
        </w:rPr>
      </w:pPr>
    </w:p>
    <w:p w14:paraId="5C9E0829" w14:textId="77777777" w:rsidR="007968E7" w:rsidRDefault="007968E7" w:rsidP="00913914">
      <w:pPr>
        <w:spacing w:after="0" w:line="240" w:lineRule="auto"/>
        <w:rPr>
          <w:sz w:val="22"/>
        </w:rPr>
      </w:pPr>
    </w:p>
    <w:p w14:paraId="1E35922E" w14:textId="77777777" w:rsidR="007968E7" w:rsidRDefault="007968E7" w:rsidP="00913914">
      <w:pPr>
        <w:spacing w:after="0" w:line="240" w:lineRule="auto"/>
        <w:rPr>
          <w:sz w:val="22"/>
        </w:rPr>
      </w:pPr>
    </w:p>
    <w:p w14:paraId="0D70938B" w14:textId="77777777" w:rsidR="007968E7" w:rsidRDefault="007968E7" w:rsidP="00913914">
      <w:pPr>
        <w:spacing w:after="0" w:line="240" w:lineRule="auto"/>
        <w:rPr>
          <w:sz w:val="22"/>
        </w:rPr>
      </w:pPr>
    </w:p>
    <w:p w14:paraId="478E158B" w14:textId="77777777" w:rsidR="007968E7" w:rsidRDefault="007968E7" w:rsidP="00913914">
      <w:pPr>
        <w:spacing w:after="0" w:line="240" w:lineRule="auto"/>
        <w:rPr>
          <w:sz w:val="22"/>
        </w:rPr>
      </w:pPr>
    </w:p>
    <w:p w14:paraId="344DB285" w14:textId="77777777" w:rsidR="007968E7" w:rsidRDefault="007968E7" w:rsidP="00913914">
      <w:pPr>
        <w:spacing w:after="0" w:line="240" w:lineRule="auto"/>
        <w:rPr>
          <w:sz w:val="22"/>
        </w:rPr>
      </w:pPr>
    </w:p>
    <w:p w14:paraId="0DEB47A8" w14:textId="77777777" w:rsidR="007968E7" w:rsidRDefault="007968E7" w:rsidP="00913914">
      <w:pPr>
        <w:spacing w:after="0" w:line="240" w:lineRule="auto"/>
        <w:rPr>
          <w:sz w:val="22"/>
        </w:rPr>
      </w:pPr>
    </w:p>
    <w:p w14:paraId="3234214B" w14:textId="77777777" w:rsidR="007968E7" w:rsidRPr="001D3204" w:rsidRDefault="007968E7" w:rsidP="00913914">
      <w:pPr>
        <w:spacing w:after="0" w:line="240" w:lineRule="auto"/>
        <w:rPr>
          <w:sz w:val="22"/>
        </w:rPr>
      </w:pPr>
    </w:p>
    <w:tbl>
      <w:tblPr>
        <w:tblW w:w="13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32"/>
        <w:gridCol w:w="6516"/>
        <w:gridCol w:w="1320"/>
        <w:gridCol w:w="1320"/>
      </w:tblGrid>
      <w:tr w:rsidR="001D3204" w:rsidRPr="001D3204" w14:paraId="3AB51ECA" w14:textId="77777777" w:rsidTr="00F306B6">
        <w:trPr>
          <w:trHeight w:val="454"/>
          <w:jc w:val="center"/>
        </w:trPr>
        <w:tc>
          <w:tcPr>
            <w:tcW w:w="4536" w:type="dxa"/>
            <w:gridSpan w:val="2"/>
            <w:shd w:val="clear" w:color="auto" w:fill="F2F2F2"/>
            <w:vAlign w:val="center"/>
          </w:tcPr>
          <w:p w14:paraId="49A54257" w14:textId="467E4F4E" w:rsidR="001D3204" w:rsidRPr="001D3204" w:rsidRDefault="001D3204" w:rsidP="00FA1383">
            <w:pPr>
              <w:rPr>
                <w:rFonts w:cs="Arial"/>
                <w:b/>
                <w:sz w:val="22"/>
              </w:rPr>
            </w:pPr>
            <w:r w:rsidRPr="001D3204">
              <w:rPr>
                <w:rFonts w:cs="Arial"/>
                <w:b/>
                <w:sz w:val="22"/>
              </w:rPr>
              <w:lastRenderedPageBreak/>
              <w:t>Question Text</w:t>
            </w:r>
          </w:p>
        </w:tc>
        <w:tc>
          <w:tcPr>
            <w:tcW w:w="6516" w:type="dxa"/>
            <w:shd w:val="clear" w:color="auto" w:fill="F2F2F2"/>
            <w:vAlign w:val="center"/>
          </w:tcPr>
          <w:p w14:paraId="63EED19B" w14:textId="77777777" w:rsidR="001D3204" w:rsidRPr="001D3204" w:rsidRDefault="001D3204" w:rsidP="00D04876">
            <w:pPr>
              <w:jc w:val="center"/>
              <w:rPr>
                <w:rFonts w:cs="Arial"/>
                <w:b/>
                <w:sz w:val="22"/>
              </w:rPr>
            </w:pPr>
            <w:r w:rsidRPr="001D3204">
              <w:rPr>
                <w:rFonts w:cs="Arial"/>
                <w:b/>
                <w:sz w:val="22"/>
              </w:rPr>
              <w:t>Answer</w:t>
            </w:r>
          </w:p>
        </w:tc>
        <w:tc>
          <w:tcPr>
            <w:tcW w:w="1320" w:type="dxa"/>
            <w:shd w:val="clear" w:color="auto" w:fill="F2F2F2"/>
            <w:vAlign w:val="center"/>
          </w:tcPr>
          <w:p w14:paraId="5BEC0485" w14:textId="77777777" w:rsidR="001D3204" w:rsidRPr="001D3204" w:rsidRDefault="001D3204" w:rsidP="007968E7">
            <w:pPr>
              <w:jc w:val="center"/>
              <w:rPr>
                <w:rFonts w:cs="Arial"/>
                <w:b/>
                <w:sz w:val="22"/>
              </w:rPr>
            </w:pPr>
            <w:r w:rsidRPr="001D3204">
              <w:rPr>
                <w:rFonts w:cs="Arial"/>
                <w:b/>
                <w:sz w:val="22"/>
              </w:rPr>
              <w:t>Question Score</w:t>
            </w:r>
          </w:p>
        </w:tc>
        <w:tc>
          <w:tcPr>
            <w:tcW w:w="1320" w:type="dxa"/>
            <w:shd w:val="clear" w:color="auto" w:fill="F2F2F2"/>
            <w:vAlign w:val="center"/>
          </w:tcPr>
          <w:p w14:paraId="08763AA9" w14:textId="77777777" w:rsidR="001D3204" w:rsidRPr="001D3204" w:rsidRDefault="001D3204" w:rsidP="007968E7">
            <w:pPr>
              <w:jc w:val="center"/>
              <w:rPr>
                <w:rFonts w:cs="Arial"/>
                <w:b/>
                <w:sz w:val="22"/>
              </w:rPr>
            </w:pPr>
            <w:r w:rsidRPr="001D3204">
              <w:rPr>
                <w:rFonts w:cs="Arial"/>
                <w:b/>
                <w:sz w:val="22"/>
              </w:rPr>
              <w:t>Question Weight</w:t>
            </w:r>
          </w:p>
        </w:tc>
      </w:tr>
      <w:tr w:rsidR="001D3204" w:rsidRPr="001D3204" w14:paraId="127D6454" w14:textId="77777777" w:rsidTr="00F306B6">
        <w:trPr>
          <w:trHeight w:val="170"/>
          <w:jc w:val="center"/>
        </w:trPr>
        <w:tc>
          <w:tcPr>
            <w:tcW w:w="13692" w:type="dxa"/>
            <w:gridSpan w:val="5"/>
            <w:shd w:val="clear" w:color="auto" w:fill="97E9E1"/>
          </w:tcPr>
          <w:p w14:paraId="516B0A77" w14:textId="77777777" w:rsidR="001D3204" w:rsidRPr="001D3204" w:rsidRDefault="001D3204" w:rsidP="00634A5E">
            <w:pPr>
              <w:rPr>
                <w:rFonts w:cs="Arial"/>
                <w:b/>
                <w:sz w:val="22"/>
              </w:rPr>
            </w:pPr>
            <w:r w:rsidRPr="001D3204">
              <w:rPr>
                <w:rFonts w:cs="Arial"/>
                <w:b/>
                <w:sz w:val="22"/>
              </w:rPr>
              <w:t>SERVICE PROVISION AND EXPERIENCE (80%)</w:t>
            </w:r>
          </w:p>
        </w:tc>
      </w:tr>
      <w:tr w:rsidR="001D3204" w:rsidRPr="001D3204" w14:paraId="58B61B1A" w14:textId="77777777" w:rsidTr="00F306B6">
        <w:trPr>
          <w:jc w:val="center"/>
        </w:trPr>
        <w:tc>
          <w:tcPr>
            <w:tcW w:w="4504" w:type="dxa"/>
          </w:tcPr>
          <w:p w14:paraId="0054F49C" w14:textId="77777777" w:rsidR="001D3204" w:rsidRDefault="001D3204" w:rsidP="007968E7">
            <w:pPr>
              <w:spacing w:after="120"/>
              <w:rPr>
                <w:rFonts w:cstheme="majorBidi"/>
                <w:sz w:val="22"/>
              </w:rPr>
            </w:pPr>
            <w:r w:rsidRPr="001D3204">
              <w:rPr>
                <w:rFonts w:cs="Arial"/>
                <w:sz w:val="22"/>
              </w:rPr>
              <w:t>1.</w:t>
            </w:r>
            <w:r w:rsidRPr="001D3204">
              <w:rPr>
                <w:rFonts w:cstheme="majorBidi"/>
                <w:b/>
                <w:bCs/>
                <w:sz w:val="22"/>
              </w:rPr>
              <w:t xml:space="preserve"> </w:t>
            </w:r>
            <w:r w:rsidRPr="001D3204">
              <w:rPr>
                <w:rFonts w:cstheme="majorBidi"/>
                <w:sz w:val="22"/>
              </w:rPr>
              <w:t>Please provide details of your background, knowledge and areas of expertise related to this topic area</w:t>
            </w:r>
          </w:p>
          <w:p w14:paraId="6A31CBE8" w14:textId="154E9E17" w:rsidR="007968E7" w:rsidRPr="001D3204" w:rsidRDefault="007968E7" w:rsidP="007968E7">
            <w:pPr>
              <w:spacing w:after="120"/>
              <w:rPr>
                <w:rFonts w:cs="Arial"/>
                <w:sz w:val="22"/>
              </w:rPr>
            </w:pPr>
          </w:p>
        </w:tc>
        <w:tc>
          <w:tcPr>
            <w:tcW w:w="6548" w:type="dxa"/>
            <w:gridSpan w:val="2"/>
          </w:tcPr>
          <w:p w14:paraId="13686537" w14:textId="77777777" w:rsidR="001D3204" w:rsidRPr="001D3204" w:rsidRDefault="001D3204" w:rsidP="00634A5E">
            <w:pPr>
              <w:ind w:left="720"/>
              <w:contextualSpacing/>
              <w:rPr>
                <w:rFonts w:cs="Arial"/>
                <w:sz w:val="22"/>
              </w:rPr>
            </w:pPr>
          </w:p>
        </w:tc>
        <w:tc>
          <w:tcPr>
            <w:tcW w:w="1320" w:type="dxa"/>
            <w:vAlign w:val="center"/>
          </w:tcPr>
          <w:p w14:paraId="26FFB1F8"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3A5B3968" w14:textId="77777777" w:rsidR="001D3204" w:rsidRPr="001D3204" w:rsidRDefault="001D3204" w:rsidP="00634A5E">
            <w:pPr>
              <w:jc w:val="center"/>
              <w:rPr>
                <w:rFonts w:cs="Arial"/>
                <w:b/>
                <w:sz w:val="22"/>
              </w:rPr>
            </w:pPr>
            <w:r w:rsidRPr="001D3204">
              <w:rPr>
                <w:rFonts w:cs="Arial"/>
                <w:b/>
                <w:sz w:val="22"/>
              </w:rPr>
              <w:t>3</w:t>
            </w:r>
          </w:p>
        </w:tc>
      </w:tr>
      <w:tr w:rsidR="001D3204" w:rsidRPr="001D3204" w14:paraId="19376F17" w14:textId="77777777" w:rsidTr="00F306B6">
        <w:trPr>
          <w:jc w:val="center"/>
        </w:trPr>
        <w:tc>
          <w:tcPr>
            <w:tcW w:w="4504" w:type="dxa"/>
          </w:tcPr>
          <w:p w14:paraId="40D0CB34" w14:textId="77777777" w:rsidR="001D3204" w:rsidRDefault="001D3204" w:rsidP="00634A5E">
            <w:pPr>
              <w:spacing w:after="120"/>
              <w:rPr>
                <w:rFonts w:cs="Arial"/>
                <w:sz w:val="22"/>
              </w:rPr>
            </w:pPr>
            <w:r w:rsidRPr="001D3204">
              <w:rPr>
                <w:rFonts w:cs="Arial"/>
                <w:sz w:val="22"/>
              </w:rPr>
              <w:t>2, Please outline how this work would be delivered and the methodology you would use</w:t>
            </w:r>
          </w:p>
          <w:p w14:paraId="5D3AA9DB" w14:textId="77777777" w:rsidR="007968E7" w:rsidRPr="001D3204" w:rsidRDefault="007968E7" w:rsidP="00634A5E">
            <w:pPr>
              <w:spacing w:after="120"/>
              <w:rPr>
                <w:rFonts w:cs="Arial"/>
                <w:sz w:val="22"/>
              </w:rPr>
            </w:pPr>
          </w:p>
        </w:tc>
        <w:tc>
          <w:tcPr>
            <w:tcW w:w="6548" w:type="dxa"/>
            <w:gridSpan w:val="2"/>
          </w:tcPr>
          <w:p w14:paraId="2E93289A" w14:textId="77777777" w:rsidR="001D3204" w:rsidRPr="001D3204" w:rsidRDefault="001D3204" w:rsidP="00634A5E">
            <w:pPr>
              <w:ind w:left="720"/>
              <w:contextualSpacing/>
              <w:rPr>
                <w:rFonts w:cs="Arial"/>
                <w:sz w:val="22"/>
              </w:rPr>
            </w:pPr>
          </w:p>
        </w:tc>
        <w:tc>
          <w:tcPr>
            <w:tcW w:w="1320" w:type="dxa"/>
            <w:vAlign w:val="center"/>
          </w:tcPr>
          <w:p w14:paraId="5E8960F4"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575955A5" w14:textId="77777777" w:rsidR="001D3204" w:rsidRPr="001D3204" w:rsidRDefault="001D3204" w:rsidP="00634A5E">
            <w:pPr>
              <w:jc w:val="center"/>
              <w:rPr>
                <w:rFonts w:cs="Arial"/>
                <w:b/>
                <w:sz w:val="22"/>
              </w:rPr>
            </w:pPr>
            <w:r w:rsidRPr="001D3204">
              <w:rPr>
                <w:rFonts w:cs="Arial"/>
                <w:b/>
                <w:sz w:val="22"/>
              </w:rPr>
              <w:t>3</w:t>
            </w:r>
          </w:p>
        </w:tc>
      </w:tr>
      <w:tr w:rsidR="001D3204" w:rsidRPr="001D3204" w14:paraId="362B343E" w14:textId="77777777" w:rsidTr="00F306B6">
        <w:trPr>
          <w:jc w:val="center"/>
        </w:trPr>
        <w:tc>
          <w:tcPr>
            <w:tcW w:w="4504" w:type="dxa"/>
          </w:tcPr>
          <w:p w14:paraId="183E1366" w14:textId="77777777" w:rsidR="001D3204" w:rsidRDefault="001D3204" w:rsidP="007968E7">
            <w:pPr>
              <w:spacing w:after="120"/>
              <w:rPr>
                <w:rFonts w:cstheme="majorHAnsi"/>
                <w:sz w:val="22"/>
              </w:rPr>
            </w:pPr>
            <w:r w:rsidRPr="001D3204">
              <w:rPr>
                <w:rFonts w:cs="Arial"/>
                <w:sz w:val="22"/>
              </w:rPr>
              <w:t xml:space="preserve">3. </w:t>
            </w:r>
            <w:r w:rsidRPr="001D3204">
              <w:rPr>
                <w:rFonts w:cstheme="majorHAnsi"/>
                <w:sz w:val="22"/>
              </w:rPr>
              <w:t>Please list any relevant contracts (with examples), including references, that you currently or previously have had in Wales / UK relevant to the work areas.</w:t>
            </w:r>
          </w:p>
          <w:p w14:paraId="5FE77637" w14:textId="77C915F8" w:rsidR="007968E7" w:rsidRPr="001D3204" w:rsidRDefault="007968E7" w:rsidP="007968E7">
            <w:pPr>
              <w:spacing w:after="120"/>
              <w:rPr>
                <w:rFonts w:cs="Arial"/>
                <w:sz w:val="22"/>
                <w:highlight w:val="yellow"/>
              </w:rPr>
            </w:pPr>
          </w:p>
        </w:tc>
        <w:tc>
          <w:tcPr>
            <w:tcW w:w="6548" w:type="dxa"/>
            <w:gridSpan w:val="2"/>
          </w:tcPr>
          <w:p w14:paraId="4DAEF42C" w14:textId="77777777" w:rsidR="001D3204" w:rsidRPr="001D3204" w:rsidRDefault="001D3204" w:rsidP="00634A5E">
            <w:pPr>
              <w:ind w:left="720"/>
              <w:contextualSpacing/>
              <w:rPr>
                <w:rFonts w:cs="Arial"/>
                <w:sz w:val="22"/>
              </w:rPr>
            </w:pPr>
          </w:p>
        </w:tc>
        <w:tc>
          <w:tcPr>
            <w:tcW w:w="1320" w:type="dxa"/>
            <w:vAlign w:val="center"/>
          </w:tcPr>
          <w:p w14:paraId="4BDA0DCE"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07507F2A" w14:textId="77777777" w:rsidR="001D3204" w:rsidRPr="001D3204" w:rsidRDefault="001D3204" w:rsidP="00634A5E">
            <w:pPr>
              <w:jc w:val="center"/>
              <w:rPr>
                <w:rFonts w:cs="Arial"/>
                <w:b/>
                <w:sz w:val="22"/>
              </w:rPr>
            </w:pPr>
            <w:r w:rsidRPr="001D3204">
              <w:rPr>
                <w:rFonts w:cs="Arial"/>
                <w:b/>
                <w:sz w:val="22"/>
              </w:rPr>
              <w:t>2</w:t>
            </w:r>
          </w:p>
        </w:tc>
      </w:tr>
      <w:tr w:rsidR="001D3204" w:rsidRPr="001D3204" w14:paraId="0769E3A6" w14:textId="77777777" w:rsidTr="00F306B6">
        <w:trPr>
          <w:jc w:val="center"/>
        </w:trPr>
        <w:tc>
          <w:tcPr>
            <w:tcW w:w="4504" w:type="dxa"/>
          </w:tcPr>
          <w:p w14:paraId="327FFB07" w14:textId="77777777" w:rsidR="001D3204" w:rsidRPr="001D3204" w:rsidRDefault="001D3204" w:rsidP="00634A5E">
            <w:pPr>
              <w:spacing w:after="120"/>
              <w:rPr>
                <w:rFonts w:cstheme="majorHAnsi"/>
                <w:sz w:val="22"/>
              </w:rPr>
            </w:pPr>
            <w:r w:rsidRPr="001D3204">
              <w:rPr>
                <w:rFonts w:cs="Arial"/>
                <w:sz w:val="22"/>
              </w:rPr>
              <w:t xml:space="preserve">4. </w:t>
            </w:r>
            <w:r w:rsidRPr="001D3204">
              <w:rPr>
                <w:rFonts w:cstheme="majorHAnsi"/>
                <w:sz w:val="22"/>
              </w:rPr>
              <w:t>Please outline how you would ensure a high level of quality is maintained throughout all your work, including, where appropriate, the qualifications of those staff you intend to deploy.</w:t>
            </w:r>
          </w:p>
          <w:p w14:paraId="72CE0079" w14:textId="77777777" w:rsidR="001D3204" w:rsidRPr="001D3204" w:rsidRDefault="001D3204" w:rsidP="00634A5E">
            <w:pPr>
              <w:jc w:val="both"/>
              <w:rPr>
                <w:rFonts w:cs="Arial"/>
                <w:sz w:val="22"/>
              </w:rPr>
            </w:pPr>
            <w:r w:rsidRPr="001D3204">
              <w:rPr>
                <w:rFonts w:cstheme="majorHAnsi"/>
                <w:sz w:val="22"/>
              </w:rPr>
              <w:t>Please supply CVs / biographies of consultants who will be providing the work.</w:t>
            </w:r>
          </w:p>
        </w:tc>
        <w:tc>
          <w:tcPr>
            <w:tcW w:w="6548" w:type="dxa"/>
            <w:gridSpan w:val="2"/>
          </w:tcPr>
          <w:p w14:paraId="63F5265A" w14:textId="77777777" w:rsidR="001D3204" w:rsidRPr="001D3204" w:rsidRDefault="001D3204" w:rsidP="00634A5E">
            <w:pPr>
              <w:ind w:left="720"/>
              <w:contextualSpacing/>
              <w:rPr>
                <w:rFonts w:cs="Arial"/>
                <w:sz w:val="22"/>
              </w:rPr>
            </w:pPr>
          </w:p>
        </w:tc>
        <w:tc>
          <w:tcPr>
            <w:tcW w:w="1320" w:type="dxa"/>
            <w:vAlign w:val="center"/>
          </w:tcPr>
          <w:p w14:paraId="4ECD4966"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3485ADD0" w14:textId="77777777" w:rsidR="001D3204" w:rsidRPr="001D3204" w:rsidRDefault="001D3204" w:rsidP="00634A5E">
            <w:pPr>
              <w:jc w:val="center"/>
              <w:rPr>
                <w:rFonts w:cs="Arial"/>
                <w:b/>
                <w:sz w:val="22"/>
              </w:rPr>
            </w:pPr>
            <w:r w:rsidRPr="001D3204">
              <w:rPr>
                <w:rFonts w:cs="Arial"/>
                <w:b/>
                <w:sz w:val="22"/>
              </w:rPr>
              <w:t>2</w:t>
            </w:r>
          </w:p>
        </w:tc>
      </w:tr>
      <w:tr w:rsidR="001D3204" w:rsidRPr="001D3204" w14:paraId="16AAC9D0" w14:textId="77777777" w:rsidTr="00F306B6">
        <w:trPr>
          <w:jc w:val="center"/>
        </w:trPr>
        <w:tc>
          <w:tcPr>
            <w:tcW w:w="4504" w:type="dxa"/>
          </w:tcPr>
          <w:p w14:paraId="044F1E0A" w14:textId="77777777" w:rsidR="001D3204" w:rsidRPr="001D3204" w:rsidRDefault="001D3204" w:rsidP="00634A5E">
            <w:pPr>
              <w:jc w:val="both"/>
              <w:rPr>
                <w:rFonts w:cs="Arial"/>
                <w:sz w:val="22"/>
              </w:rPr>
            </w:pPr>
            <w:r w:rsidRPr="001D3204">
              <w:rPr>
                <w:rFonts w:cs="Arial"/>
                <w:sz w:val="22"/>
              </w:rPr>
              <w:t xml:space="preserve">5. </w:t>
            </w:r>
            <w:r w:rsidRPr="001D3204">
              <w:rPr>
                <w:rFonts w:cstheme="majorHAnsi"/>
                <w:sz w:val="22"/>
              </w:rPr>
              <w:t>Please outline how you would manage any potential conflicts of interest.</w:t>
            </w:r>
          </w:p>
        </w:tc>
        <w:tc>
          <w:tcPr>
            <w:tcW w:w="6548" w:type="dxa"/>
            <w:gridSpan w:val="2"/>
          </w:tcPr>
          <w:p w14:paraId="6A402B17" w14:textId="77777777" w:rsidR="001D3204" w:rsidRPr="001D3204" w:rsidRDefault="001D3204" w:rsidP="00634A5E">
            <w:pPr>
              <w:ind w:left="720"/>
              <w:contextualSpacing/>
              <w:rPr>
                <w:rFonts w:cs="Arial"/>
                <w:sz w:val="22"/>
              </w:rPr>
            </w:pPr>
          </w:p>
        </w:tc>
        <w:tc>
          <w:tcPr>
            <w:tcW w:w="1320" w:type="dxa"/>
            <w:vAlign w:val="center"/>
          </w:tcPr>
          <w:p w14:paraId="3AC1F9CE"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3E99359E" w14:textId="77777777" w:rsidR="001D3204" w:rsidRPr="001D3204" w:rsidRDefault="001D3204" w:rsidP="00634A5E">
            <w:pPr>
              <w:jc w:val="center"/>
              <w:rPr>
                <w:rFonts w:cs="Arial"/>
                <w:b/>
                <w:sz w:val="22"/>
              </w:rPr>
            </w:pPr>
            <w:r w:rsidRPr="001D3204">
              <w:rPr>
                <w:rFonts w:cs="Arial"/>
                <w:b/>
                <w:sz w:val="22"/>
              </w:rPr>
              <w:t>1</w:t>
            </w:r>
          </w:p>
        </w:tc>
      </w:tr>
      <w:tr w:rsidR="001D3204" w:rsidRPr="001D3204" w14:paraId="6196E972" w14:textId="77777777" w:rsidTr="00F306B6">
        <w:trPr>
          <w:jc w:val="center"/>
        </w:trPr>
        <w:tc>
          <w:tcPr>
            <w:tcW w:w="4504" w:type="dxa"/>
          </w:tcPr>
          <w:p w14:paraId="5A0A7D79" w14:textId="4610A2CB" w:rsidR="001D3204" w:rsidRPr="001D3204" w:rsidRDefault="001D3204" w:rsidP="005F03F9">
            <w:pPr>
              <w:rPr>
                <w:rFonts w:cs="Arial"/>
                <w:sz w:val="22"/>
              </w:rPr>
            </w:pPr>
            <w:r w:rsidRPr="001D3204">
              <w:rPr>
                <w:rFonts w:cs="Arial"/>
                <w:sz w:val="22"/>
              </w:rPr>
              <w:lastRenderedPageBreak/>
              <w:t>6. Sport Wales is committed to addressing inequalities within sport. Please outline what steps you have taken to ensure equal opportunities for all within your organisation.</w:t>
            </w:r>
          </w:p>
        </w:tc>
        <w:tc>
          <w:tcPr>
            <w:tcW w:w="6548" w:type="dxa"/>
            <w:gridSpan w:val="2"/>
          </w:tcPr>
          <w:p w14:paraId="5F7C610C" w14:textId="77777777" w:rsidR="001D3204" w:rsidRPr="001D3204" w:rsidRDefault="001D3204" w:rsidP="00634A5E">
            <w:pPr>
              <w:ind w:left="720"/>
              <w:contextualSpacing/>
              <w:rPr>
                <w:rFonts w:cs="Arial"/>
                <w:sz w:val="22"/>
              </w:rPr>
            </w:pPr>
          </w:p>
        </w:tc>
        <w:tc>
          <w:tcPr>
            <w:tcW w:w="1320" w:type="dxa"/>
            <w:vAlign w:val="center"/>
          </w:tcPr>
          <w:p w14:paraId="41A3FE3F"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4B5D9E83" w14:textId="77777777" w:rsidR="001D3204" w:rsidRPr="001D3204" w:rsidRDefault="001D3204" w:rsidP="00634A5E">
            <w:pPr>
              <w:jc w:val="center"/>
              <w:rPr>
                <w:rFonts w:cs="Arial"/>
                <w:b/>
                <w:sz w:val="22"/>
              </w:rPr>
            </w:pPr>
            <w:r w:rsidRPr="001D3204">
              <w:rPr>
                <w:rFonts w:cs="Arial"/>
                <w:b/>
                <w:sz w:val="22"/>
              </w:rPr>
              <w:t>1</w:t>
            </w:r>
          </w:p>
        </w:tc>
      </w:tr>
      <w:tr w:rsidR="001D3204" w:rsidRPr="001D3204" w14:paraId="483A048B" w14:textId="77777777" w:rsidTr="00F306B6">
        <w:trPr>
          <w:trHeight w:val="397"/>
          <w:jc w:val="center"/>
        </w:trPr>
        <w:tc>
          <w:tcPr>
            <w:tcW w:w="13692" w:type="dxa"/>
            <w:gridSpan w:val="5"/>
            <w:tcBorders>
              <w:top w:val="single" w:sz="4" w:space="0" w:color="auto"/>
            </w:tcBorders>
            <w:shd w:val="clear" w:color="auto" w:fill="97E9E1"/>
          </w:tcPr>
          <w:p w14:paraId="75869CCB" w14:textId="77777777" w:rsidR="001D3204" w:rsidRPr="001D3204" w:rsidRDefault="001D3204" w:rsidP="00634A5E">
            <w:pPr>
              <w:contextualSpacing/>
              <w:jc w:val="both"/>
              <w:rPr>
                <w:rFonts w:cs="Arial"/>
                <w:sz w:val="22"/>
              </w:rPr>
            </w:pPr>
            <w:r w:rsidRPr="001D3204">
              <w:rPr>
                <w:rFonts w:cs="Arial"/>
                <w:b/>
                <w:sz w:val="22"/>
              </w:rPr>
              <w:t>COMMERCIAL RESPONSE (20%)</w:t>
            </w:r>
          </w:p>
        </w:tc>
      </w:tr>
      <w:tr w:rsidR="001D3204" w:rsidRPr="001D3204" w14:paraId="71175123" w14:textId="77777777" w:rsidTr="00F306B6">
        <w:trPr>
          <w:jc w:val="center"/>
        </w:trPr>
        <w:tc>
          <w:tcPr>
            <w:tcW w:w="4504" w:type="dxa"/>
          </w:tcPr>
          <w:p w14:paraId="74CD1871" w14:textId="77777777" w:rsidR="001D3204" w:rsidRPr="001D3204" w:rsidRDefault="001D3204" w:rsidP="00634A5E">
            <w:pPr>
              <w:spacing w:after="120"/>
              <w:rPr>
                <w:rFonts w:cstheme="majorHAnsi"/>
                <w:sz w:val="22"/>
              </w:rPr>
            </w:pPr>
            <w:r w:rsidRPr="001D3204">
              <w:rPr>
                <w:rFonts w:cs="Arial"/>
                <w:sz w:val="22"/>
              </w:rPr>
              <w:t xml:space="preserve">1. </w:t>
            </w:r>
            <w:r w:rsidRPr="001D3204">
              <w:rPr>
                <w:rFonts w:cstheme="majorHAnsi"/>
                <w:sz w:val="22"/>
              </w:rPr>
              <w:t xml:space="preserve">Please provide the consultant daily rate based on a 6 month contract </w:t>
            </w:r>
          </w:p>
          <w:p w14:paraId="7B2F9FFB" w14:textId="77777777" w:rsidR="001D3204" w:rsidRPr="001D3204" w:rsidRDefault="001D3204" w:rsidP="00634A5E">
            <w:pPr>
              <w:spacing w:after="480"/>
              <w:contextualSpacing/>
              <w:rPr>
                <w:rFonts w:cs="Calibri"/>
                <w:b/>
                <w:sz w:val="22"/>
              </w:rPr>
            </w:pPr>
            <w:r w:rsidRPr="001D3204">
              <w:rPr>
                <w:rFonts w:cstheme="majorHAnsi"/>
                <w:b/>
                <w:sz w:val="22"/>
              </w:rPr>
              <w:t>Travel and Subsistence will be subject to agreement</w:t>
            </w:r>
            <w:r w:rsidRPr="001D3204">
              <w:rPr>
                <w:rFonts w:cstheme="majorHAnsi"/>
                <w:b/>
                <w:bCs/>
                <w:sz w:val="22"/>
              </w:rPr>
              <w:t>.</w:t>
            </w:r>
          </w:p>
        </w:tc>
        <w:tc>
          <w:tcPr>
            <w:tcW w:w="6548" w:type="dxa"/>
            <w:gridSpan w:val="2"/>
          </w:tcPr>
          <w:p w14:paraId="6D1966FA" w14:textId="77777777" w:rsidR="001D3204" w:rsidRPr="001D3204" w:rsidRDefault="001D3204" w:rsidP="00634A5E">
            <w:pPr>
              <w:ind w:left="720"/>
              <w:contextualSpacing/>
              <w:rPr>
                <w:rFonts w:cs="Arial"/>
                <w:sz w:val="22"/>
              </w:rPr>
            </w:pPr>
          </w:p>
        </w:tc>
        <w:tc>
          <w:tcPr>
            <w:tcW w:w="1320" w:type="dxa"/>
            <w:vAlign w:val="center"/>
          </w:tcPr>
          <w:p w14:paraId="02907C56" w14:textId="77777777" w:rsidR="001D3204" w:rsidRPr="001D3204" w:rsidRDefault="001D3204" w:rsidP="00634A5E">
            <w:pPr>
              <w:jc w:val="center"/>
              <w:rPr>
                <w:rFonts w:cs="Arial"/>
                <w:b/>
                <w:sz w:val="22"/>
              </w:rPr>
            </w:pPr>
            <w:r w:rsidRPr="001D3204">
              <w:rPr>
                <w:rFonts w:cs="Arial"/>
                <w:b/>
                <w:sz w:val="22"/>
              </w:rPr>
              <w:t>5</w:t>
            </w:r>
          </w:p>
        </w:tc>
        <w:tc>
          <w:tcPr>
            <w:tcW w:w="1320" w:type="dxa"/>
            <w:vAlign w:val="center"/>
          </w:tcPr>
          <w:p w14:paraId="7BFE97ED" w14:textId="77777777" w:rsidR="001D3204" w:rsidRPr="001D3204" w:rsidRDefault="001D3204" w:rsidP="00634A5E">
            <w:pPr>
              <w:jc w:val="center"/>
              <w:rPr>
                <w:rFonts w:cs="Arial"/>
                <w:b/>
                <w:sz w:val="22"/>
              </w:rPr>
            </w:pPr>
            <w:r w:rsidRPr="001D3204">
              <w:rPr>
                <w:rFonts w:cs="Arial"/>
                <w:b/>
                <w:sz w:val="22"/>
              </w:rPr>
              <w:t>1</w:t>
            </w:r>
          </w:p>
        </w:tc>
      </w:tr>
    </w:tbl>
    <w:p w14:paraId="2690AE2B" w14:textId="77777777" w:rsidR="001D3204" w:rsidRPr="001D3204" w:rsidRDefault="001D3204" w:rsidP="001D3204">
      <w:pPr>
        <w:spacing w:after="480"/>
        <w:contextualSpacing/>
        <w:rPr>
          <w:rFonts w:cs="Calibri"/>
          <w:sz w:val="22"/>
        </w:rPr>
      </w:pPr>
    </w:p>
    <w:p w14:paraId="1776643E" w14:textId="77777777" w:rsidR="001D3204" w:rsidRPr="001D3204" w:rsidRDefault="001D3204" w:rsidP="001D3204">
      <w:pPr>
        <w:spacing w:after="480"/>
        <w:contextualSpacing/>
        <w:rPr>
          <w:rFonts w:cs="Calibri"/>
          <w:b/>
          <w:sz w:val="22"/>
        </w:rPr>
      </w:pPr>
    </w:p>
    <w:p w14:paraId="0B29083B" w14:textId="77777777" w:rsidR="00EF5648" w:rsidRPr="001D3204" w:rsidRDefault="00EF5648" w:rsidP="00867EC3"/>
    <w:sectPr w:rsidR="00EF5648" w:rsidRPr="001D3204" w:rsidSect="008525E0">
      <w:pgSz w:w="16838" w:h="11906" w:orient="landscape"/>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etaPro-Normal">
    <w:altName w:val="Arial"/>
    <w:panose1 w:val="00000000000000000000"/>
    <w:charset w:val="00"/>
    <w:family w:val="swiss"/>
    <w:notTrueType/>
    <w:pitch w:val="default"/>
    <w:sig w:usb0="00000003" w:usb1="00000000" w:usb2="00000000" w:usb3="00000000" w:csb0="00000001" w:csb1="00000000"/>
  </w:font>
  <w:font w:name="Montserrat Black">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171F"/>
    <w:multiLevelType w:val="multilevel"/>
    <w:tmpl w:val="4328EA52"/>
    <w:lvl w:ilvl="0">
      <w:start w:val="5"/>
      <w:numFmt w:val="decimal"/>
      <w:lvlText w:val="%1."/>
      <w:lvlJc w:val="left"/>
      <w:pPr>
        <w:ind w:left="360" w:hanging="360"/>
      </w:pPr>
      <w:rPr>
        <w:rFonts w:hint="default"/>
        <w:b w:val="0"/>
        <w:i w:val="0"/>
      </w:rPr>
    </w:lvl>
    <w:lvl w:ilvl="1">
      <w:start w:val="1"/>
      <w:numFmt w:val="lowerLetter"/>
      <w:lvlText w:val="%2."/>
      <w:lvlJc w:val="left"/>
      <w:pPr>
        <w:ind w:left="792" w:hanging="432"/>
      </w:pPr>
      <w:rPr>
        <w:rFonts w:hint="default"/>
        <w:b w:val="0"/>
        <w:i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F1386E"/>
    <w:multiLevelType w:val="multilevel"/>
    <w:tmpl w:val="4296F0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9003F"/>
    <w:multiLevelType w:val="hybridMultilevel"/>
    <w:tmpl w:val="640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0F2F"/>
    <w:multiLevelType w:val="hybridMultilevel"/>
    <w:tmpl w:val="7BC0E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4420449A"/>
    <w:multiLevelType w:val="hybridMultilevel"/>
    <w:tmpl w:val="2F62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6546E"/>
    <w:multiLevelType w:val="hybridMultilevel"/>
    <w:tmpl w:val="736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E452B"/>
    <w:multiLevelType w:val="hybridMultilevel"/>
    <w:tmpl w:val="26504C44"/>
    <w:lvl w:ilvl="0" w:tplc="91AC0C3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13648C"/>
    <w:multiLevelType w:val="multilevel"/>
    <w:tmpl w:val="5406C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92B79"/>
    <w:multiLevelType w:val="hybridMultilevel"/>
    <w:tmpl w:val="0C5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50AED"/>
    <w:multiLevelType w:val="hybridMultilevel"/>
    <w:tmpl w:val="BA70CEA2"/>
    <w:lvl w:ilvl="0" w:tplc="38601AF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456461">
    <w:abstractNumId w:val="7"/>
  </w:num>
  <w:num w:numId="2" w16cid:durableId="779566732">
    <w:abstractNumId w:val="5"/>
  </w:num>
  <w:num w:numId="3" w16cid:durableId="1034312679">
    <w:abstractNumId w:val="1"/>
  </w:num>
  <w:num w:numId="4" w16cid:durableId="402796102">
    <w:abstractNumId w:val="11"/>
  </w:num>
  <w:num w:numId="5" w16cid:durableId="788862448">
    <w:abstractNumId w:val="6"/>
  </w:num>
  <w:num w:numId="6" w16cid:durableId="1383674808">
    <w:abstractNumId w:val="8"/>
  </w:num>
  <w:num w:numId="7" w16cid:durableId="41444713">
    <w:abstractNumId w:val="12"/>
  </w:num>
  <w:num w:numId="8" w16cid:durableId="929503123">
    <w:abstractNumId w:val="3"/>
  </w:num>
  <w:num w:numId="9" w16cid:durableId="206720349">
    <w:abstractNumId w:val="10"/>
  </w:num>
  <w:num w:numId="10" w16cid:durableId="9260107">
    <w:abstractNumId w:val="2"/>
  </w:num>
  <w:num w:numId="11" w16cid:durableId="1925723986">
    <w:abstractNumId w:val="4"/>
  </w:num>
  <w:num w:numId="12" w16cid:durableId="370569464">
    <w:abstractNumId w:val="0"/>
  </w:num>
  <w:num w:numId="13" w16cid:durableId="463037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A1"/>
    <w:rsid w:val="00053AFA"/>
    <w:rsid w:val="00057BEA"/>
    <w:rsid w:val="000E401C"/>
    <w:rsid w:val="000F3F31"/>
    <w:rsid w:val="001336E4"/>
    <w:rsid w:val="00142259"/>
    <w:rsid w:val="001A4439"/>
    <w:rsid w:val="001B4DAF"/>
    <w:rsid w:val="001B5282"/>
    <w:rsid w:val="001B619E"/>
    <w:rsid w:val="001D3204"/>
    <w:rsid w:val="001F1BA1"/>
    <w:rsid w:val="00252FFF"/>
    <w:rsid w:val="00255868"/>
    <w:rsid w:val="002727B3"/>
    <w:rsid w:val="002B4566"/>
    <w:rsid w:val="002B7A58"/>
    <w:rsid w:val="002D31DC"/>
    <w:rsid w:val="002F26DF"/>
    <w:rsid w:val="002F5285"/>
    <w:rsid w:val="00315AD5"/>
    <w:rsid w:val="00346F57"/>
    <w:rsid w:val="00380B5C"/>
    <w:rsid w:val="003F6EF6"/>
    <w:rsid w:val="0046049F"/>
    <w:rsid w:val="00483176"/>
    <w:rsid w:val="004A6F2F"/>
    <w:rsid w:val="004F3905"/>
    <w:rsid w:val="00513EA6"/>
    <w:rsid w:val="005874C5"/>
    <w:rsid w:val="005E47A6"/>
    <w:rsid w:val="005E57E1"/>
    <w:rsid w:val="005F03F9"/>
    <w:rsid w:val="006135C7"/>
    <w:rsid w:val="00662D33"/>
    <w:rsid w:val="0067573C"/>
    <w:rsid w:val="006A468E"/>
    <w:rsid w:val="006B3E00"/>
    <w:rsid w:val="006D7547"/>
    <w:rsid w:val="006F03C1"/>
    <w:rsid w:val="006F6A17"/>
    <w:rsid w:val="00707049"/>
    <w:rsid w:val="007968E7"/>
    <w:rsid w:val="007C60F4"/>
    <w:rsid w:val="00843F55"/>
    <w:rsid w:val="008525E0"/>
    <w:rsid w:val="00867EC3"/>
    <w:rsid w:val="008B0EED"/>
    <w:rsid w:val="008D460B"/>
    <w:rsid w:val="00913914"/>
    <w:rsid w:val="00951B02"/>
    <w:rsid w:val="009B799F"/>
    <w:rsid w:val="009D5FA4"/>
    <w:rsid w:val="00A74562"/>
    <w:rsid w:val="00A81616"/>
    <w:rsid w:val="00AC44C7"/>
    <w:rsid w:val="00AD73D3"/>
    <w:rsid w:val="00AE5DA9"/>
    <w:rsid w:val="00B325B5"/>
    <w:rsid w:val="00B91E48"/>
    <w:rsid w:val="00BC20AA"/>
    <w:rsid w:val="00BD1B99"/>
    <w:rsid w:val="00BE5685"/>
    <w:rsid w:val="00C1070E"/>
    <w:rsid w:val="00C76FA1"/>
    <w:rsid w:val="00D04876"/>
    <w:rsid w:val="00D52560"/>
    <w:rsid w:val="00D54344"/>
    <w:rsid w:val="00DC55BB"/>
    <w:rsid w:val="00E46218"/>
    <w:rsid w:val="00E53D33"/>
    <w:rsid w:val="00E56B70"/>
    <w:rsid w:val="00EF5648"/>
    <w:rsid w:val="00F306B6"/>
    <w:rsid w:val="00F804F8"/>
    <w:rsid w:val="00F907C0"/>
    <w:rsid w:val="00F9347D"/>
    <w:rsid w:val="00FA1383"/>
    <w:rsid w:val="00FF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6B2A"/>
  <w15:chartTrackingRefBased/>
  <w15:docId w15:val="{2358A038-1BCE-481D-9C16-10AD3C6C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1"/>
    <w:qFormat/>
    <w:rsid w:val="001B4DAF"/>
    <w:pPr>
      <w:spacing w:after="0" w:line="240" w:lineRule="auto"/>
    </w:pPr>
    <w:rPr>
      <w:sz w:val="20"/>
    </w:rPr>
  </w:style>
  <w:style w:type="paragraph" w:styleId="ListParagraph">
    <w:name w:val="List Paragraph"/>
    <w:basedOn w:val="Normal"/>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Hyperlink">
    <w:name w:val="Hyperlink"/>
    <w:rsid w:val="00255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icketin.wales/cricket-w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hockeywales.org.uk%2F&amp;data=05%7C02%7C%7C1411437e3ef6481dbb5a08ddc45d3154%7C2f330f7e01a94876a1d2de73e4e9ded8%7C1%7C0%7C638882626755420841%7CUnknown%7CTWFpbGZsb3d8eyJFbXB0eU1hcGkiOnRydWUsIlYiOiIwLjAuMDAwMCIsIlAiOiJXaW4zMiIsIkFOIjoiTWFpbCIsIldUIjoyfQ%3D%3D%7C0%7C%7C%7C&amp;sdata=S2YXsLLhlouBmoSorkzBp6xSCRN32OnR47jGdPgQvI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ort.w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96630C-A535-4485-8D03-AB81212A98BE}"/>
</file>

<file path=customXml/itemProps2.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3.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f2873b2d-abc0-432b-bc7c-fc10582b505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Obrien</dc:creator>
  <cp:keywords/>
  <dc:description/>
  <cp:lastModifiedBy>Susie Osborne</cp:lastModifiedBy>
  <cp:revision>15</cp:revision>
  <dcterms:created xsi:type="dcterms:W3CDTF">2025-08-01T12:41:00Z</dcterms:created>
  <dcterms:modified xsi:type="dcterms:W3CDTF">2025-08-04T12:33:00Z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Order">
    <vt:r8>2984500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