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14C749" w14:textId="353C9816" w:rsidR="0083456C" w:rsidRPr="009D0878" w:rsidRDefault="009D0878" w:rsidP="009D0878">
      <w:pPr>
        <w:jc w:val="center"/>
        <w:rPr>
          <w:rFonts w:asciiTheme="majorHAnsi" w:hAnsiTheme="majorHAnsi" w:cstheme="majorHAnsi"/>
          <w:b/>
          <w:bCs/>
          <w:sz w:val="28"/>
          <w:szCs w:val="28"/>
        </w:rPr>
      </w:pPr>
      <w:r w:rsidRPr="009D0878">
        <w:rPr>
          <w:rFonts w:asciiTheme="majorHAnsi" w:hAnsiTheme="majorHAnsi" w:cstheme="majorHAnsi"/>
          <w:b/>
          <w:bCs/>
          <w:sz w:val="28"/>
          <w:szCs w:val="28"/>
        </w:rPr>
        <w:t>PRICING SCHEDULE</w:t>
      </w:r>
    </w:p>
    <w:p w14:paraId="4CC979B3" w14:textId="2141A3AC" w:rsidR="009D0878" w:rsidRDefault="009D0878" w:rsidP="002217D8">
      <w:pPr>
        <w:jc w:val="center"/>
        <w:rPr>
          <w:rFonts w:asciiTheme="majorHAnsi" w:hAnsiTheme="majorHAnsi" w:cstheme="majorHAnsi"/>
          <w:b/>
          <w:bCs/>
          <w:sz w:val="28"/>
          <w:szCs w:val="28"/>
        </w:rPr>
      </w:pPr>
      <w:r w:rsidRPr="009D0878">
        <w:rPr>
          <w:rFonts w:asciiTheme="majorHAnsi" w:hAnsiTheme="majorHAnsi" w:cstheme="majorHAnsi"/>
          <w:b/>
          <w:bCs/>
          <w:sz w:val="28"/>
          <w:szCs w:val="28"/>
        </w:rPr>
        <w:t>WESTERN VALE COMMUNITY DAY CARE SERVICE</w:t>
      </w:r>
    </w:p>
    <w:p w14:paraId="5E51EFE8" w14:textId="77777777" w:rsidR="002217D8" w:rsidRPr="009D0878" w:rsidRDefault="002217D8" w:rsidP="002217D8">
      <w:pPr>
        <w:jc w:val="center"/>
        <w:rPr>
          <w:rFonts w:asciiTheme="majorHAnsi" w:hAnsiTheme="majorHAnsi" w:cstheme="majorHAnsi"/>
          <w:b/>
          <w:bCs/>
          <w:sz w:val="28"/>
          <w:szCs w:val="28"/>
        </w:rPr>
      </w:pPr>
    </w:p>
    <w:p w14:paraId="0B2E3C7A" w14:textId="500A8759" w:rsidR="0083456C" w:rsidRPr="00B979D8" w:rsidRDefault="006263B5" w:rsidP="002217D8">
      <w:pPr>
        <w:rPr>
          <w:rFonts w:asciiTheme="majorHAnsi" w:hAnsiTheme="majorHAnsi" w:cstheme="majorHAnsi"/>
        </w:rPr>
      </w:pPr>
      <w:r w:rsidRPr="009D0878">
        <w:rPr>
          <w:rFonts w:asciiTheme="majorHAnsi" w:hAnsiTheme="majorHAnsi" w:cstheme="majorHAnsi"/>
          <w:sz w:val="24"/>
          <w:szCs w:val="24"/>
        </w:rPr>
        <w:t>PLEASE NOTE - COMPLETION OF THIS FORM IS MANDATORY</w:t>
      </w:r>
      <w:r w:rsidRPr="00B979D8">
        <w:rPr>
          <w:rFonts w:asciiTheme="majorHAnsi" w:hAnsiTheme="majorHAnsi" w:cstheme="majorHAnsi"/>
        </w:rPr>
        <w:br/>
      </w:r>
      <w:r w:rsidRPr="00B979D8">
        <w:rPr>
          <w:rFonts w:asciiTheme="majorHAnsi" w:hAnsiTheme="majorHAnsi" w:cstheme="majorHAnsi"/>
        </w:rPr>
        <w:br/>
        <w:t>The contract price submitted must include all costs associated with delivery of the Service as set out in the Specification, including but not limited to staffing, premises, transport, meals, activities, insurance, overheads, compliance, monitoring and reporting. All prices must be exclusive of VAT.</w:t>
      </w:r>
    </w:p>
    <w:p w14:paraId="32BD3284" w14:textId="77777777" w:rsidR="008545F2" w:rsidRPr="00B979D8" w:rsidRDefault="008545F2" w:rsidP="009D0878">
      <w:pPr>
        <w:jc w:val="both"/>
        <w:rPr>
          <w:rFonts w:asciiTheme="majorHAnsi" w:hAnsiTheme="majorHAnsi" w:cstheme="majorHAnsi"/>
          <w:b/>
          <w:bCs/>
        </w:rPr>
      </w:pPr>
      <w:r w:rsidRPr="00B979D8">
        <w:rPr>
          <w:rFonts w:asciiTheme="majorHAnsi" w:hAnsiTheme="majorHAnsi" w:cstheme="majorHAnsi"/>
          <w:b/>
          <w:bCs/>
        </w:rPr>
        <w:t>Pricing Envelope and Uplift Clause</w:t>
      </w:r>
    </w:p>
    <w:p w14:paraId="3E00A2F2" w14:textId="06148C6D" w:rsidR="00BE0921" w:rsidRPr="00B979D8" w:rsidRDefault="008545F2" w:rsidP="002217D8">
      <w:pPr>
        <w:jc w:val="both"/>
        <w:rPr>
          <w:rFonts w:asciiTheme="majorHAnsi" w:hAnsiTheme="majorHAnsi" w:cstheme="majorHAnsi"/>
        </w:rPr>
      </w:pPr>
      <w:r w:rsidRPr="00B979D8">
        <w:rPr>
          <w:rFonts w:asciiTheme="majorHAnsi" w:hAnsiTheme="majorHAnsi" w:cstheme="majorHAnsi"/>
        </w:rPr>
        <w:t>The Council has set a maximum budget for this Service of £157,000 per annum (exclusive of VAT). Tenderers must ensure their total annual price does not exceed this amount. Bids submitted above this value may be deemed non-compliant and rejected.</w:t>
      </w:r>
      <w:r w:rsidRPr="00B979D8">
        <w:rPr>
          <w:rFonts w:asciiTheme="majorHAnsi" w:hAnsiTheme="majorHAnsi" w:cstheme="majorHAnsi"/>
        </w:rPr>
        <w:br/>
      </w:r>
      <w:r w:rsidRPr="00B979D8">
        <w:rPr>
          <w:rFonts w:asciiTheme="majorHAnsi" w:hAnsiTheme="majorHAnsi" w:cstheme="majorHAnsi"/>
        </w:rPr>
        <w:br/>
        <w:t>The Annual Contract Price shall remain fixed at the submitted level from contract commencement until 31 March 2027. No uplifts will be considered during this initial period. Tenderers must therefore take account of any likely costs within this period, including potential increases in the Real Living Wage and National Minimum/Living Wage.</w:t>
      </w:r>
      <w:r w:rsidRPr="00B979D8">
        <w:rPr>
          <w:rFonts w:asciiTheme="majorHAnsi" w:hAnsiTheme="majorHAnsi" w:cstheme="majorHAnsi"/>
        </w:rPr>
        <w:br/>
      </w:r>
      <w:r w:rsidRPr="00B979D8">
        <w:rPr>
          <w:rFonts w:asciiTheme="majorHAnsi" w:hAnsiTheme="majorHAnsi" w:cstheme="majorHAnsi"/>
        </w:rPr>
        <w:br/>
        <w:t>From 1 April 2027 the Council will consider uplifts to the Annual Contract Price on the following basis:</w:t>
      </w:r>
      <w:r w:rsidRPr="00B979D8">
        <w:rPr>
          <w:rFonts w:asciiTheme="majorHAnsi" w:hAnsiTheme="majorHAnsi" w:cstheme="majorHAnsi"/>
        </w:rPr>
        <w:br/>
      </w:r>
      <w:r w:rsidRPr="00B979D8">
        <w:rPr>
          <w:rFonts w:asciiTheme="majorHAnsi" w:hAnsiTheme="majorHAnsi" w:cstheme="majorHAnsi"/>
        </w:rPr>
        <w:br/>
        <w:t>1. Real Living Wage / National Minimum or Living Wage Adjustments – Where national increases in RLW/NMW demonstrably impact staffing costs, the Council will review the submitted breakdown and may agree an uplift proportionate to the additional cost.</w:t>
      </w:r>
      <w:r w:rsidR="001819C4" w:rsidRPr="00B979D8">
        <w:rPr>
          <w:rFonts w:asciiTheme="majorHAnsi" w:hAnsiTheme="majorHAnsi" w:cstheme="majorHAnsi"/>
        </w:rPr>
        <w:t xml:space="preserve"> </w:t>
      </w:r>
      <w:r w:rsidRPr="00B979D8">
        <w:rPr>
          <w:rFonts w:asciiTheme="majorHAnsi" w:hAnsiTheme="majorHAnsi" w:cstheme="majorHAnsi"/>
        </w:rPr>
        <w:t>Other uplifts may be considered as part of the Council’s annual budget-setting process</w:t>
      </w:r>
      <w:r w:rsidR="00584F60">
        <w:rPr>
          <w:rFonts w:asciiTheme="majorHAnsi" w:hAnsiTheme="majorHAnsi" w:cstheme="majorHAnsi"/>
        </w:rPr>
        <w:t>.</w:t>
      </w:r>
      <w:r w:rsidRPr="00B979D8">
        <w:rPr>
          <w:rFonts w:asciiTheme="majorHAnsi" w:hAnsiTheme="majorHAnsi" w:cstheme="majorHAnsi"/>
        </w:rPr>
        <w:t xml:space="preserve"> </w:t>
      </w:r>
      <w:r w:rsidRPr="00B979D8">
        <w:rPr>
          <w:rFonts w:asciiTheme="majorHAnsi" w:hAnsiTheme="majorHAnsi" w:cstheme="majorHAnsi"/>
        </w:rPr>
        <w:br/>
      </w:r>
    </w:p>
    <w:p w14:paraId="07D2B8AA" w14:textId="77777777" w:rsidR="0083456C" w:rsidRPr="00B979D8" w:rsidRDefault="006263B5" w:rsidP="009D0878">
      <w:pPr>
        <w:jc w:val="both"/>
        <w:rPr>
          <w:rFonts w:asciiTheme="majorHAnsi" w:hAnsiTheme="majorHAnsi" w:cstheme="majorHAnsi"/>
          <w:b/>
          <w:bCs/>
        </w:rPr>
      </w:pPr>
      <w:r w:rsidRPr="00B979D8">
        <w:rPr>
          <w:rFonts w:asciiTheme="majorHAnsi" w:hAnsiTheme="majorHAnsi" w:cstheme="majorHAnsi"/>
          <w:b/>
          <w:bCs/>
        </w:rPr>
        <w:t>Annual Contract Price</w:t>
      </w:r>
    </w:p>
    <w:tbl>
      <w:tblPr>
        <w:tblStyle w:val="TableGrid"/>
        <w:tblW w:w="0" w:type="auto"/>
        <w:tblLook w:val="04A0" w:firstRow="1" w:lastRow="0" w:firstColumn="1" w:lastColumn="0" w:noHBand="0" w:noVBand="1"/>
      </w:tblPr>
      <w:tblGrid>
        <w:gridCol w:w="4315"/>
        <w:gridCol w:w="4315"/>
      </w:tblGrid>
      <w:tr w:rsidR="0083456C" w:rsidRPr="00B979D8" w14:paraId="4C4F39A0" w14:textId="77777777">
        <w:tc>
          <w:tcPr>
            <w:tcW w:w="4320" w:type="dxa"/>
          </w:tcPr>
          <w:p w14:paraId="3A0308E8" w14:textId="77777777" w:rsidR="0083456C" w:rsidRPr="00B979D8" w:rsidRDefault="006263B5" w:rsidP="009D0878">
            <w:pPr>
              <w:spacing w:line="276" w:lineRule="auto"/>
              <w:jc w:val="both"/>
              <w:rPr>
                <w:rFonts w:asciiTheme="majorHAnsi" w:hAnsiTheme="majorHAnsi" w:cstheme="majorHAnsi"/>
                <w:b/>
                <w:bCs/>
              </w:rPr>
            </w:pPr>
            <w:r w:rsidRPr="00B979D8">
              <w:rPr>
                <w:rFonts w:asciiTheme="majorHAnsi" w:hAnsiTheme="majorHAnsi" w:cstheme="majorHAnsi"/>
                <w:b/>
                <w:bCs/>
              </w:rPr>
              <w:t>Description</w:t>
            </w:r>
          </w:p>
        </w:tc>
        <w:tc>
          <w:tcPr>
            <w:tcW w:w="4320" w:type="dxa"/>
          </w:tcPr>
          <w:p w14:paraId="21797A22" w14:textId="77777777" w:rsidR="0083456C" w:rsidRPr="00B979D8" w:rsidRDefault="006263B5" w:rsidP="009D0878">
            <w:pPr>
              <w:spacing w:line="276" w:lineRule="auto"/>
              <w:jc w:val="both"/>
              <w:rPr>
                <w:rFonts w:asciiTheme="majorHAnsi" w:hAnsiTheme="majorHAnsi" w:cstheme="majorHAnsi"/>
                <w:b/>
                <w:bCs/>
              </w:rPr>
            </w:pPr>
            <w:r w:rsidRPr="00B979D8">
              <w:rPr>
                <w:rFonts w:asciiTheme="majorHAnsi" w:hAnsiTheme="majorHAnsi" w:cstheme="majorHAnsi"/>
                <w:b/>
                <w:bCs/>
              </w:rPr>
              <w:t>Annual Price (ex VAT)</w:t>
            </w:r>
          </w:p>
        </w:tc>
      </w:tr>
      <w:tr w:rsidR="0083456C" w:rsidRPr="00B979D8" w14:paraId="705AABF7" w14:textId="77777777">
        <w:tc>
          <w:tcPr>
            <w:tcW w:w="4320" w:type="dxa"/>
          </w:tcPr>
          <w:p w14:paraId="733FF301" w14:textId="77777777" w:rsidR="00334236" w:rsidRPr="00B979D8" w:rsidRDefault="00334236" w:rsidP="009D0878">
            <w:pPr>
              <w:spacing w:line="276" w:lineRule="auto"/>
              <w:jc w:val="both"/>
              <w:rPr>
                <w:rFonts w:asciiTheme="majorHAnsi" w:hAnsiTheme="majorHAnsi" w:cstheme="majorHAnsi"/>
              </w:rPr>
            </w:pPr>
          </w:p>
          <w:p w14:paraId="6FDF40FD" w14:textId="62CD2637" w:rsidR="0083456C" w:rsidRPr="00B979D8" w:rsidRDefault="006263B5" w:rsidP="009D0878">
            <w:pPr>
              <w:spacing w:line="276" w:lineRule="auto"/>
              <w:jc w:val="both"/>
              <w:rPr>
                <w:rFonts w:asciiTheme="majorHAnsi" w:hAnsiTheme="majorHAnsi" w:cstheme="majorHAnsi"/>
              </w:rPr>
            </w:pPr>
            <w:r w:rsidRPr="00B979D8">
              <w:rPr>
                <w:rFonts w:asciiTheme="majorHAnsi" w:hAnsiTheme="majorHAnsi" w:cstheme="majorHAnsi"/>
              </w:rPr>
              <w:t>Total Annual Contract Price (inclusive of all costs required to deliver the Service)</w:t>
            </w:r>
          </w:p>
          <w:p w14:paraId="16628FB6" w14:textId="77777777" w:rsidR="00334236" w:rsidRPr="00B979D8" w:rsidRDefault="00334236" w:rsidP="009D0878">
            <w:pPr>
              <w:spacing w:line="276" w:lineRule="auto"/>
              <w:jc w:val="both"/>
              <w:rPr>
                <w:rFonts w:asciiTheme="majorHAnsi" w:hAnsiTheme="majorHAnsi" w:cstheme="majorHAnsi"/>
              </w:rPr>
            </w:pPr>
          </w:p>
        </w:tc>
        <w:tc>
          <w:tcPr>
            <w:tcW w:w="4320" w:type="dxa"/>
          </w:tcPr>
          <w:p w14:paraId="61C2D5A9" w14:textId="77777777" w:rsidR="00334236" w:rsidRPr="00B979D8" w:rsidRDefault="00334236" w:rsidP="009D0878">
            <w:pPr>
              <w:spacing w:line="276" w:lineRule="auto"/>
              <w:jc w:val="both"/>
              <w:rPr>
                <w:rFonts w:asciiTheme="majorHAnsi" w:hAnsiTheme="majorHAnsi" w:cstheme="majorHAnsi"/>
              </w:rPr>
            </w:pPr>
          </w:p>
          <w:p w14:paraId="5E2FF1C3" w14:textId="775A6432" w:rsidR="0083456C" w:rsidRPr="00B979D8" w:rsidRDefault="006263B5" w:rsidP="009D0878">
            <w:pPr>
              <w:spacing w:line="276" w:lineRule="auto"/>
              <w:jc w:val="both"/>
              <w:rPr>
                <w:rFonts w:asciiTheme="majorHAnsi" w:hAnsiTheme="majorHAnsi" w:cstheme="majorHAnsi"/>
              </w:rPr>
            </w:pPr>
            <w:r w:rsidRPr="00B979D8">
              <w:rPr>
                <w:rFonts w:asciiTheme="majorHAnsi" w:hAnsiTheme="majorHAnsi" w:cstheme="majorHAnsi"/>
              </w:rPr>
              <w:t>£__________</w:t>
            </w:r>
          </w:p>
        </w:tc>
      </w:tr>
    </w:tbl>
    <w:p w14:paraId="0EC3F3BA" w14:textId="77777777" w:rsidR="002217D8" w:rsidRDefault="002217D8" w:rsidP="009D0878">
      <w:pPr>
        <w:jc w:val="both"/>
        <w:rPr>
          <w:rFonts w:asciiTheme="majorHAnsi" w:hAnsiTheme="majorHAnsi" w:cstheme="majorHAnsi"/>
        </w:rPr>
      </w:pPr>
    </w:p>
    <w:p w14:paraId="618412AC" w14:textId="43CCBEB3" w:rsidR="0083456C" w:rsidRDefault="006263B5" w:rsidP="009D0878">
      <w:pPr>
        <w:jc w:val="both"/>
        <w:rPr>
          <w:rFonts w:asciiTheme="majorHAnsi" w:hAnsiTheme="majorHAnsi" w:cstheme="majorHAnsi"/>
        </w:rPr>
      </w:pPr>
      <w:r w:rsidRPr="00B979D8">
        <w:rPr>
          <w:rFonts w:asciiTheme="majorHAnsi" w:hAnsiTheme="majorHAnsi" w:cstheme="majorHAnsi"/>
        </w:rPr>
        <w:lastRenderedPageBreak/>
        <w:t xml:space="preserve">A detailed breakdown of staffing and non-staffing costs must also be submitted using the accompanying Excel template </w:t>
      </w:r>
      <w:r w:rsidR="002217D8" w:rsidRPr="002217D8">
        <w:rPr>
          <w:rFonts w:asciiTheme="majorHAnsi" w:hAnsiTheme="majorHAnsi" w:cstheme="majorHAnsi"/>
        </w:rPr>
        <w:t>Section H – Part 4: Pricing Schedule (</w:t>
      </w:r>
      <w:r w:rsidR="002217D8">
        <w:rPr>
          <w:rFonts w:asciiTheme="majorHAnsi" w:hAnsiTheme="majorHAnsi" w:cstheme="majorHAnsi"/>
        </w:rPr>
        <w:t>B</w:t>
      </w:r>
      <w:r w:rsidR="002217D8" w:rsidRPr="002217D8">
        <w:rPr>
          <w:rFonts w:asciiTheme="majorHAnsi" w:hAnsiTheme="majorHAnsi" w:cstheme="majorHAnsi"/>
        </w:rPr>
        <w:t>)</w:t>
      </w:r>
      <w:r w:rsidR="002217D8">
        <w:rPr>
          <w:rFonts w:asciiTheme="majorHAnsi" w:hAnsiTheme="majorHAnsi" w:cstheme="majorHAnsi"/>
        </w:rPr>
        <w:t>.</w:t>
      </w:r>
    </w:p>
    <w:p w14:paraId="7FBCBC1F" w14:textId="77777777" w:rsidR="002217D8" w:rsidRPr="00B979D8" w:rsidRDefault="002217D8" w:rsidP="009D0878">
      <w:pPr>
        <w:jc w:val="both"/>
        <w:rPr>
          <w:rFonts w:asciiTheme="majorHAnsi" w:hAnsiTheme="majorHAnsi" w:cstheme="majorHAnsi"/>
        </w:rPr>
      </w:pPr>
    </w:p>
    <w:p w14:paraId="22CD38B6" w14:textId="77777777" w:rsidR="0083456C" w:rsidRPr="00B979D8" w:rsidRDefault="006263B5" w:rsidP="009D0878">
      <w:pPr>
        <w:jc w:val="both"/>
        <w:rPr>
          <w:rFonts w:asciiTheme="majorHAnsi" w:hAnsiTheme="majorHAnsi" w:cstheme="majorHAnsi"/>
          <w:b/>
          <w:bCs/>
        </w:rPr>
      </w:pPr>
      <w:r w:rsidRPr="00B979D8">
        <w:rPr>
          <w:rFonts w:asciiTheme="majorHAnsi" w:hAnsiTheme="majorHAnsi" w:cstheme="majorHAnsi"/>
          <w:b/>
          <w:bCs/>
        </w:rPr>
        <w:t>Legal and Contractual Notes</w:t>
      </w:r>
    </w:p>
    <w:p w14:paraId="17E51C0D" w14:textId="529EB1C0" w:rsid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 xml:space="preserve">The contract will be awarded for a fixed term of </w:t>
      </w:r>
      <w:r w:rsidR="001819C4" w:rsidRPr="009D0878">
        <w:rPr>
          <w:rFonts w:asciiTheme="majorHAnsi" w:hAnsiTheme="majorHAnsi" w:cstheme="majorHAnsi"/>
        </w:rPr>
        <w:t>4</w:t>
      </w:r>
      <w:r w:rsidRPr="009D0878">
        <w:rPr>
          <w:rFonts w:asciiTheme="majorHAnsi" w:hAnsiTheme="majorHAnsi" w:cstheme="majorHAnsi"/>
        </w:rPr>
        <w:t xml:space="preserve"> years with the option to extend for up to a further </w:t>
      </w:r>
      <w:r w:rsidR="001819C4" w:rsidRPr="009D0878">
        <w:rPr>
          <w:rFonts w:asciiTheme="majorHAnsi" w:hAnsiTheme="majorHAnsi" w:cstheme="majorHAnsi"/>
        </w:rPr>
        <w:t xml:space="preserve">2 </w:t>
      </w:r>
      <w:r w:rsidRPr="009D0878">
        <w:rPr>
          <w:rFonts w:asciiTheme="majorHAnsi" w:hAnsiTheme="majorHAnsi" w:cstheme="majorHAnsi"/>
        </w:rPr>
        <w:t>years.</w:t>
      </w:r>
    </w:p>
    <w:p w14:paraId="741D24F8" w14:textId="77777777" w:rsidR="009D0878" w:rsidRPr="009D0878" w:rsidRDefault="009D0878" w:rsidP="009D0878">
      <w:pPr>
        <w:pStyle w:val="ListParagraph"/>
        <w:jc w:val="both"/>
        <w:rPr>
          <w:rFonts w:asciiTheme="majorHAnsi" w:hAnsiTheme="majorHAnsi" w:cstheme="majorHAnsi"/>
        </w:rPr>
      </w:pPr>
    </w:p>
    <w:p w14:paraId="4282436E" w14:textId="55CFBBA2" w:rsidR="009D0878"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By agreeing to the contract price, the Tenderer confirms they have taken into account all information provided in the Tender Pack, including the Service Specification and Terms &amp; Conditions.</w:t>
      </w:r>
    </w:p>
    <w:p w14:paraId="0A4FCCA8" w14:textId="1BF3BA18" w:rsidR="009D0878"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All prices must be exclusive of VAT.</w:t>
      </w:r>
    </w:p>
    <w:p w14:paraId="4F272766" w14:textId="7AFD81DB"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Prices submitted will remain valid until 31/03/202</w:t>
      </w:r>
      <w:r w:rsidR="00334236" w:rsidRPr="009D0878">
        <w:rPr>
          <w:rFonts w:asciiTheme="majorHAnsi" w:hAnsiTheme="majorHAnsi" w:cstheme="majorHAnsi"/>
        </w:rPr>
        <w:t>7</w:t>
      </w:r>
      <w:r w:rsidRPr="009D0878">
        <w:rPr>
          <w:rFonts w:asciiTheme="majorHAnsi" w:hAnsiTheme="majorHAnsi" w:cstheme="majorHAnsi"/>
        </w:rPr>
        <w:t>, with subsequent years subject to review in line with the Council’s budget setting process.</w:t>
      </w:r>
    </w:p>
    <w:p w14:paraId="49B9A7D1" w14:textId="7F4AFDF4"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Where a change in law or legislation occurs, the provisions of the Contract’s ‘Change of Law’ and ‘Change Control’ clauses shall apply.</w:t>
      </w:r>
    </w:p>
    <w:p w14:paraId="16983881" w14:textId="3867C05A" w:rsidR="00334236"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The Council reserves the right to reject Abnormally Low Tenders in accordance with the Procurement Regulations 2023.</w:t>
      </w:r>
    </w:p>
    <w:p w14:paraId="36056AFF" w14:textId="2663BED2" w:rsidR="0083456C" w:rsidRPr="009D0878" w:rsidRDefault="006263B5" w:rsidP="009D0878">
      <w:pPr>
        <w:pStyle w:val="ListParagraph"/>
        <w:numPr>
          <w:ilvl w:val="0"/>
          <w:numId w:val="13"/>
        </w:numPr>
        <w:jc w:val="both"/>
        <w:rPr>
          <w:rFonts w:asciiTheme="majorHAnsi" w:hAnsiTheme="majorHAnsi" w:cstheme="majorHAnsi"/>
        </w:rPr>
      </w:pPr>
      <w:r w:rsidRPr="009D0878">
        <w:rPr>
          <w:rFonts w:asciiTheme="majorHAnsi" w:hAnsiTheme="majorHAnsi" w:cstheme="majorHAnsi"/>
        </w:rPr>
        <w:t>The contract will be awarded to the Most Advantageous Tender (MAT), in line with the evaluation methodology outlined in the ITT.</w:t>
      </w:r>
    </w:p>
    <w:p w14:paraId="2D849DB9" w14:textId="77777777" w:rsidR="009D0878" w:rsidRPr="009D0878" w:rsidRDefault="009D0878" w:rsidP="009D0878">
      <w:pPr>
        <w:jc w:val="both"/>
        <w:rPr>
          <w:rFonts w:asciiTheme="majorHAnsi" w:hAnsiTheme="majorHAnsi" w:cstheme="majorHAnsi"/>
        </w:rPr>
      </w:pPr>
    </w:p>
    <w:p w14:paraId="08E67A0E" w14:textId="77777777" w:rsidR="0083456C" w:rsidRPr="00B979D8" w:rsidRDefault="006263B5" w:rsidP="009D0878">
      <w:pPr>
        <w:ind w:left="360"/>
        <w:jc w:val="both"/>
        <w:rPr>
          <w:rFonts w:asciiTheme="majorHAnsi" w:hAnsiTheme="majorHAnsi" w:cstheme="majorHAnsi"/>
          <w:b/>
          <w:bCs/>
        </w:rPr>
      </w:pPr>
      <w:r w:rsidRPr="00B979D8">
        <w:rPr>
          <w:rFonts w:asciiTheme="majorHAnsi" w:hAnsiTheme="majorHAnsi" w:cstheme="majorHAnsi"/>
          <w:b/>
          <w:bCs/>
        </w:rPr>
        <w:t>Authorised Signatory</w:t>
      </w:r>
    </w:p>
    <w:p w14:paraId="0CE50E28" w14:textId="685702CB"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br/>
      </w:r>
      <w:r w:rsidRPr="00B979D8">
        <w:rPr>
          <w:rFonts w:asciiTheme="majorHAnsi" w:hAnsiTheme="majorHAnsi" w:cstheme="majorHAnsi"/>
        </w:rPr>
        <w:br/>
        <w:t>Name: _________________________</w:t>
      </w:r>
      <w:r w:rsidR="009D0878">
        <w:rPr>
          <w:rFonts w:asciiTheme="majorHAnsi" w:hAnsiTheme="majorHAnsi" w:cstheme="majorHAnsi"/>
        </w:rPr>
        <w:t>_</w:t>
      </w:r>
    </w:p>
    <w:p w14:paraId="4A5CC84E"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Position: ________________________</w:t>
      </w:r>
    </w:p>
    <w:p w14:paraId="647D45E1"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Organisation: ____________________</w:t>
      </w:r>
    </w:p>
    <w:p w14:paraId="34EEB802"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Signature: _______________________</w:t>
      </w:r>
    </w:p>
    <w:p w14:paraId="4515F473" w14:textId="77777777" w:rsidR="0083456C" w:rsidRPr="00B979D8" w:rsidRDefault="006263B5" w:rsidP="009D0878">
      <w:pPr>
        <w:ind w:left="360"/>
        <w:jc w:val="both"/>
        <w:rPr>
          <w:rFonts w:asciiTheme="majorHAnsi" w:hAnsiTheme="majorHAnsi" w:cstheme="majorHAnsi"/>
        </w:rPr>
      </w:pPr>
      <w:r w:rsidRPr="00B979D8">
        <w:rPr>
          <w:rFonts w:asciiTheme="majorHAnsi" w:hAnsiTheme="majorHAnsi" w:cstheme="majorHAnsi"/>
        </w:rPr>
        <w:t>Date: ___________________________</w:t>
      </w:r>
    </w:p>
    <w:sectPr w:rsidR="0083456C" w:rsidRPr="00B979D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9876C" w14:textId="77777777" w:rsidR="00271A89" w:rsidRDefault="00271A89" w:rsidP="00B979D8">
      <w:pPr>
        <w:spacing w:after="0" w:line="240" w:lineRule="auto"/>
      </w:pPr>
      <w:r>
        <w:separator/>
      </w:r>
    </w:p>
  </w:endnote>
  <w:endnote w:type="continuationSeparator" w:id="0">
    <w:p w14:paraId="0E143B4F" w14:textId="77777777" w:rsidR="00271A89" w:rsidRDefault="00271A89" w:rsidP="00B97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0ED0FB" w14:textId="77777777" w:rsidR="00E1221B" w:rsidRDefault="00E122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5E3A0" w14:textId="77777777" w:rsidR="00E1221B" w:rsidRDefault="00E122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EF449" w14:textId="77777777" w:rsidR="00E1221B" w:rsidRDefault="00E12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468E60" w14:textId="77777777" w:rsidR="00271A89" w:rsidRDefault="00271A89" w:rsidP="00B979D8">
      <w:pPr>
        <w:spacing w:after="0" w:line="240" w:lineRule="auto"/>
      </w:pPr>
      <w:r>
        <w:separator/>
      </w:r>
    </w:p>
  </w:footnote>
  <w:footnote w:type="continuationSeparator" w:id="0">
    <w:p w14:paraId="34C37894" w14:textId="77777777" w:rsidR="00271A89" w:rsidRDefault="00271A89" w:rsidP="00B97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3751F" w14:textId="77777777" w:rsidR="00E1221B" w:rsidRDefault="00E122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99F6A" w14:textId="285A7ECD" w:rsidR="00B979D8" w:rsidRPr="00B979D8" w:rsidRDefault="00B979D8">
    <w:pPr>
      <w:pStyle w:val="Header"/>
      <w:rPr>
        <w:rFonts w:asciiTheme="majorHAnsi" w:hAnsiTheme="majorHAnsi" w:cstheme="majorHAnsi"/>
        <w:sz w:val="16"/>
        <w:szCs w:val="16"/>
      </w:rPr>
    </w:pPr>
    <w:r w:rsidRPr="00B979D8">
      <w:rPr>
        <w:rFonts w:asciiTheme="majorHAnsi" w:hAnsiTheme="majorHAnsi" w:cstheme="majorHAnsi"/>
        <w:sz w:val="16"/>
        <w:szCs w:val="16"/>
      </w:rPr>
      <w:t>VG DS 127</w:t>
    </w:r>
  </w:p>
  <w:p w14:paraId="70ABF23E" w14:textId="6C9131D7" w:rsidR="00B979D8" w:rsidRPr="00B979D8" w:rsidRDefault="00B979D8">
    <w:pPr>
      <w:pStyle w:val="Header"/>
      <w:rPr>
        <w:rFonts w:asciiTheme="majorHAnsi" w:hAnsiTheme="majorHAnsi" w:cstheme="majorHAnsi"/>
        <w:i/>
        <w:iCs/>
        <w:sz w:val="16"/>
        <w:szCs w:val="16"/>
      </w:rPr>
    </w:pPr>
    <w:r w:rsidRPr="00B979D8">
      <w:rPr>
        <w:rFonts w:asciiTheme="majorHAnsi" w:hAnsiTheme="majorHAnsi" w:cstheme="majorHAnsi"/>
        <w:i/>
        <w:iCs/>
        <w:sz w:val="16"/>
        <w:szCs w:val="16"/>
      </w:rPr>
      <w:t>Section H – Part 4: Pricing Schedule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49AE" w14:textId="77777777" w:rsidR="00E1221B" w:rsidRDefault="00E122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5626898"/>
    <w:multiLevelType w:val="hybridMultilevel"/>
    <w:tmpl w:val="295C0E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DD52EF"/>
    <w:multiLevelType w:val="hybridMultilevel"/>
    <w:tmpl w:val="BBCC1E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D8B1D16"/>
    <w:multiLevelType w:val="hybridMultilevel"/>
    <w:tmpl w:val="1F80D1B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6D1C183D"/>
    <w:multiLevelType w:val="hybridMultilevel"/>
    <w:tmpl w:val="4078B4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47307163">
    <w:abstractNumId w:val="8"/>
  </w:num>
  <w:num w:numId="2" w16cid:durableId="893586933">
    <w:abstractNumId w:val="6"/>
  </w:num>
  <w:num w:numId="3" w16cid:durableId="1870020571">
    <w:abstractNumId w:val="5"/>
  </w:num>
  <w:num w:numId="4" w16cid:durableId="1098405445">
    <w:abstractNumId w:val="4"/>
  </w:num>
  <w:num w:numId="5" w16cid:durableId="1589533933">
    <w:abstractNumId w:val="7"/>
  </w:num>
  <w:num w:numId="6" w16cid:durableId="1805350004">
    <w:abstractNumId w:val="3"/>
  </w:num>
  <w:num w:numId="7" w16cid:durableId="864908454">
    <w:abstractNumId w:val="2"/>
  </w:num>
  <w:num w:numId="8" w16cid:durableId="1232305567">
    <w:abstractNumId w:val="1"/>
  </w:num>
  <w:num w:numId="9" w16cid:durableId="1584098448">
    <w:abstractNumId w:val="0"/>
  </w:num>
  <w:num w:numId="10" w16cid:durableId="728307186">
    <w:abstractNumId w:val="9"/>
  </w:num>
  <w:num w:numId="11" w16cid:durableId="601036847">
    <w:abstractNumId w:val="12"/>
  </w:num>
  <w:num w:numId="12" w16cid:durableId="367685197">
    <w:abstractNumId w:val="11"/>
  </w:num>
  <w:num w:numId="13" w16cid:durableId="19193668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819C4"/>
    <w:rsid w:val="002217D8"/>
    <w:rsid w:val="00271A89"/>
    <w:rsid w:val="0029639D"/>
    <w:rsid w:val="002A51EF"/>
    <w:rsid w:val="00310D76"/>
    <w:rsid w:val="00326F90"/>
    <w:rsid w:val="00334236"/>
    <w:rsid w:val="00336627"/>
    <w:rsid w:val="004A412B"/>
    <w:rsid w:val="00584F60"/>
    <w:rsid w:val="005A782D"/>
    <w:rsid w:val="006263B5"/>
    <w:rsid w:val="0075562D"/>
    <w:rsid w:val="0083456C"/>
    <w:rsid w:val="008545F2"/>
    <w:rsid w:val="008B3702"/>
    <w:rsid w:val="009D0878"/>
    <w:rsid w:val="00AA1D8D"/>
    <w:rsid w:val="00AF384E"/>
    <w:rsid w:val="00B47730"/>
    <w:rsid w:val="00B979D8"/>
    <w:rsid w:val="00BE0921"/>
    <w:rsid w:val="00C867F2"/>
    <w:rsid w:val="00CB0664"/>
    <w:rsid w:val="00CD060E"/>
    <w:rsid w:val="00E1221B"/>
    <w:rsid w:val="00F33FD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489A715"/>
  <w14:defaultImageDpi w14:val="300"/>
  <w15:docId w15:val="{CDF0B727-BF56-4437-A86E-5715A2E9B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334236"/>
    <w:rPr>
      <w:sz w:val="16"/>
      <w:szCs w:val="16"/>
    </w:rPr>
  </w:style>
  <w:style w:type="paragraph" w:styleId="CommentText">
    <w:name w:val="annotation text"/>
    <w:basedOn w:val="Normal"/>
    <w:link w:val="CommentTextChar"/>
    <w:uiPriority w:val="99"/>
    <w:unhideWhenUsed/>
    <w:rsid w:val="00334236"/>
    <w:pPr>
      <w:spacing w:line="240" w:lineRule="auto"/>
    </w:pPr>
    <w:rPr>
      <w:sz w:val="20"/>
      <w:szCs w:val="20"/>
    </w:rPr>
  </w:style>
  <w:style w:type="character" w:customStyle="1" w:styleId="CommentTextChar">
    <w:name w:val="Comment Text Char"/>
    <w:basedOn w:val="DefaultParagraphFont"/>
    <w:link w:val="CommentText"/>
    <w:uiPriority w:val="99"/>
    <w:rsid w:val="00334236"/>
    <w:rPr>
      <w:sz w:val="20"/>
      <w:szCs w:val="20"/>
    </w:rPr>
  </w:style>
  <w:style w:type="paragraph" w:styleId="CommentSubject">
    <w:name w:val="annotation subject"/>
    <w:basedOn w:val="CommentText"/>
    <w:next w:val="CommentText"/>
    <w:link w:val="CommentSubjectChar"/>
    <w:uiPriority w:val="99"/>
    <w:semiHidden/>
    <w:unhideWhenUsed/>
    <w:rsid w:val="00334236"/>
    <w:rPr>
      <w:b/>
      <w:bCs/>
    </w:rPr>
  </w:style>
  <w:style w:type="character" w:customStyle="1" w:styleId="CommentSubjectChar">
    <w:name w:val="Comment Subject Char"/>
    <w:basedOn w:val="CommentTextChar"/>
    <w:link w:val="CommentSubject"/>
    <w:uiPriority w:val="99"/>
    <w:semiHidden/>
    <w:rsid w:val="0033423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615474">
      <w:bodyDiv w:val="1"/>
      <w:marLeft w:val="0"/>
      <w:marRight w:val="0"/>
      <w:marTop w:val="0"/>
      <w:marBottom w:val="0"/>
      <w:divBdr>
        <w:top w:val="none" w:sz="0" w:space="0" w:color="auto"/>
        <w:left w:val="none" w:sz="0" w:space="0" w:color="auto"/>
        <w:bottom w:val="none" w:sz="0" w:space="0" w:color="auto"/>
        <w:right w:val="none" w:sz="0" w:space="0" w:color="auto"/>
      </w:divBdr>
    </w:div>
    <w:div w:id="190652737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Purdey, Shannon</cp:lastModifiedBy>
  <cp:revision>4</cp:revision>
  <dcterms:created xsi:type="dcterms:W3CDTF">2025-10-01T10:49:00Z</dcterms:created>
  <dcterms:modified xsi:type="dcterms:W3CDTF">2025-10-01T13:21:00Z</dcterms:modified>
  <cp:category/>
</cp:coreProperties>
</file>