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4F8D" w14:textId="6162B5DA" w:rsidR="00E62252" w:rsidRDefault="00E62252" w:rsidP="00674A01">
      <w:pPr>
        <w:pStyle w:val="TOC1"/>
        <w:tabs>
          <w:tab w:val="left" w:pos="851"/>
        </w:tabs>
        <w:jc w:val="center"/>
      </w:pPr>
      <w:r w:rsidRPr="00230254">
        <w:rPr>
          <w:rFonts w:asciiTheme="majorHAnsi" w:hAnsiTheme="majorHAnsi" w:cstheme="majorHAnsi"/>
          <w:noProof/>
        </w:rPr>
        <w:drawing>
          <wp:inline distT="0" distB="0" distL="0" distR="0" wp14:anchorId="22E76009" wp14:editId="215C0C11">
            <wp:extent cx="1640588" cy="911191"/>
            <wp:effectExtent l="0" t="0" r="0" b="3810"/>
            <wp:docPr id="1" name="Picture 1" descr="A picture containing text, logo,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ogo, font, graphic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52333" cy="917714"/>
                    </a:xfrm>
                    <a:prstGeom prst="rect">
                      <a:avLst/>
                    </a:prstGeom>
                    <a:noFill/>
                    <a:ln>
                      <a:noFill/>
                    </a:ln>
                  </pic:spPr>
                </pic:pic>
              </a:graphicData>
            </a:graphic>
          </wp:inline>
        </w:drawing>
      </w:r>
    </w:p>
    <w:p w14:paraId="5BC05373" w14:textId="5211E77D" w:rsidR="00E62252" w:rsidRPr="00E62252" w:rsidRDefault="00E62252" w:rsidP="00E62252">
      <w:pPr>
        <w:pStyle w:val="TOC1"/>
        <w:tabs>
          <w:tab w:val="left" w:pos="851"/>
        </w:tabs>
        <w:spacing w:before="360" w:after="360"/>
        <w:jc w:val="center"/>
        <w:rPr>
          <w:b/>
          <w:bCs/>
        </w:rPr>
      </w:pPr>
      <w:r w:rsidRPr="00E62252">
        <w:rPr>
          <w:b/>
          <w:bCs/>
        </w:rPr>
        <w:t>Schedule 1</w:t>
      </w:r>
      <w:r w:rsidR="00674A01" w:rsidRPr="00E62252">
        <w:rPr>
          <w:b/>
          <w:bCs/>
        </w:rPr>
        <w:t xml:space="preserve"> </w:t>
      </w:r>
    </w:p>
    <w:p w14:paraId="520424F5" w14:textId="1EDE9329" w:rsidR="00A1483F" w:rsidRDefault="00674A01" w:rsidP="00E62252">
      <w:pPr>
        <w:pStyle w:val="TOC1"/>
        <w:tabs>
          <w:tab w:val="left" w:pos="851"/>
        </w:tabs>
        <w:spacing w:before="360" w:after="360"/>
        <w:jc w:val="center"/>
      </w:pPr>
      <w:r>
        <w:t>Specification</w:t>
      </w:r>
    </w:p>
    <w:p w14:paraId="4EF56331" w14:textId="77777777" w:rsidR="00674A01" w:rsidRPr="00674A01" w:rsidRDefault="00674A01" w:rsidP="00674A01"/>
    <w:p w14:paraId="168CE9A8" w14:textId="13B641B9" w:rsidR="00A1483F" w:rsidRDefault="00A1483F">
      <w:pPr>
        <w:pStyle w:val="TOC1"/>
        <w:tabs>
          <w:tab w:val="left" w:pos="851"/>
        </w:tabs>
      </w:pPr>
      <w:r>
        <w:br w:type="page"/>
      </w:r>
    </w:p>
    <w:p w14:paraId="6D3F1B19" w14:textId="48DB378B" w:rsidR="00A1483F" w:rsidRPr="00A1483F" w:rsidRDefault="00A1483F">
      <w:pPr>
        <w:pStyle w:val="TOC1"/>
        <w:tabs>
          <w:tab w:val="left" w:pos="851"/>
        </w:tabs>
        <w:rPr>
          <w:b/>
          <w:bCs/>
        </w:rPr>
      </w:pPr>
      <w:r w:rsidRPr="00A1483F">
        <w:rPr>
          <w:b/>
          <w:bCs/>
        </w:rPr>
        <w:lastRenderedPageBreak/>
        <w:t>Contents</w:t>
      </w:r>
    </w:p>
    <w:p w14:paraId="33F6DCFE" w14:textId="3DF0863F" w:rsidR="00A12614" w:rsidRDefault="00A1483F">
      <w:pPr>
        <w:pStyle w:val="TOC1"/>
        <w:tabs>
          <w:tab w:val="left" w:pos="851"/>
        </w:tabs>
        <w:rPr>
          <w:noProof/>
          <w:color w:val="auto"/>
          <w:kern w:val="2"/>
          <w:szCs w:val="24"/>
          <w:lang w:eastAsia="en-GB"/>
          <w14:ligatures w14:val="standardContextual"/>
        </w:rPr>
      </w:pPr>
      <w:r>
        <w:fldChar w:fldCharType="begin"/>
      </w:r>
      <w:r>
        <w:instrText xml:space="preserve"> TOC \o "1-2" \h \z \t "Appendix 1,1,Appendix 2,2" </w:instrText>
      </w:r>
      <w:r>
        <w:fldChar w:fldCharType="separate"/>
      </w:r>
      <w:hyperlink w:anchor="_Toc211513054" w:history="1">
        <w:r w:rsidR="00A12614" w:rsidRPr="00582C88">
          <w:rPr>
            <w:rStyle w:val="Hyperlink"/>
            <w:noProof/>
          </w:rPr>
          <w:t>1.</w:t>
        </w:r>
        <w:r w:rsidR="00A12614">
          <w:rPr>
            <w:noProof/>
            <w:color w:val="auto"/>
            <w:kern w:val="2"/>
            <w:szCs w:val="24"/>
            <w:lang w:eastAsia="en-GB"/>
            <w14:ligatures w14:val="standardContextual"/>
          </w:rPr>
          <w:tab/>
        </w:r>
        <w:r w:rsidR="00A12614" w:rsidRPr="00582C88">
          <w:rPr>
            <w:rStyle w:val="Hyperlink"/>
            <w:noProof/>
          </w:rPr>
          <w:t>General Obligations</w:t>
        </w:r>
        <w:r w:rsidR="00A12614">
          <w:rPr>
            <w:noProof/>
            <w:webHidden/>
          </w:rPr>
          <w:tab/>
        </w:r>
        <w:r w:rsidR="00A12614">
          <w:rPr>
            <w:noProof/>
            <w:webHidden/>
          </w:rPr>
          <w:fldChar w:fldCharType="begin"/>
        </w:r>
        <w:r w:rsidR="00A12614">
          <w:rPr>
            <w:noProof/>
            <w:webHidden/>
          </w:rPr>
          <w:instrText xml:space="preserve"> PAGEREF _Toc211513054 \h </w:instrText>
        </w:r>
        <w:r w:rsidR="00A12614">
          <w:rPr>
            <w:noProof/>
            <w:webHidden/>
          </w:rPr>
        </w:r>
        <w:r w:rsidR="00A12614">
          <w:rPr>
            <w:noProof/>
            <w:webHidden/>
          </w:rPr>
          <w:fldChar w:fldCharType="separate"/>
        </w:r>
        <w:r w:rsidR="00A12614">
          <w:rPr>
            <w:noProof/>
            <w:webHidden/>
          </w:rPr>
          <w:t>4</w:t>
        </w:r>
        <w:r w:rsidR="00A12614">
          <w:rPr>
            <w:noProof/>
            <w:webHidden/>
          </w:rPr>
          <w:fldChar w:fldCharType="end"/>
        </w:r>
      </w:hyperlink>
    </w:p>
    <w:p w14:paraId="2088BB5E" w14:textId="70AE619C" w:rsidR="00A12614" w:rsidRDefault="00A12614">
      <w:pPr>
        <w:pStyle w:val="TOC2"/>
        <w:rPr>
          <w:noProof/>
          <w:color w:val="auto"/>
          <w:kern w:val="2"/>
          <w:szCs w:val="24"/>
          <w:lang w:eastAsia="en-GB"/>
          <w14:ligatures w14:val="standardContextual"/>
        </w:rPr>
      </w:pPr>
      <w:hyperlink w:anchor="_Toc211513055" w:history="1">
        <w:r w:rsidRPr="00582C88">
          <w:rPr>
            <w:rStyle w:val="Hyperlink"/>
            <w:noProof/>
          </w:rPr>
          <w:t>1.2</w:t>
        </w:r>
        <w:r>
          <w:rPr>
            <w:noProof/>
            <w:color w:val="auto"/>
            <w:kern w:val="2"/>
            <w:szCs w:val="24"/>
            <w:lang w:eastAsia="en-GB"/>
            <w14:ligatures w14:val="standardContextual"/>
          </w:rPr>
          <w:tab/>
        </w:r>
        <w:r w:rsidRPr="00582C88">
          <w:rPr>
            <w:rStyle w:val="Hyperlink"/>
            <w:noProof/>
          </w:rPr>
          <w:t>Key Personnel</w:t>
        </w:r>
        <w:r>
          <w:rPr>
            <w:noProof/>
            <w:webHidden/>
          </w:rPr>
          <w:tab/>
        </w:r>
        <w:r>
          <w:rPr>
            <w:noProof/>
            <w:webHidden/>
          </w:rPr>
          <w:fldChar w:fldCharType="begin"/>
        </w:r>
        <w:r>
          <w:rPr>
            <w:noProof/>
            <w:webHidden/>
          </w:rPr>
          <w:instrText xml:space="preserve"> PAGEREF _Toc211513055 \h </w:instrText>
        </w:r>
        <w:r>
          <w:rPr>
            <w:noProof/>
            <w:webHidden/>
          </w:rPr>
        </w:r>
        <w:r>
          <w:rPr>
            <w:noProof/>
            <w:webHidden/>
          </w:rPr>
          <w:fldChar w:fldCharType="separate"/>
        </w:r>
        <w:r>
          <w:rPr>
            <w:noProof/>
            <w:webHidden/>
          </w:rPr>
          <w:t>4</w:t>
        </w:r>
        <w:r>
          <w:rPr>
            <w:noProof/>
            <w:webHidden/>
          </w:rPr>
          <w:fldChar w:fldCharType="end"/>
        </w:r>
      </w:hyperlink>
    </w:p>
    <w:p w14:paraId="3888B661" w14:textId="7129E332" w:rsidR="00A12614" w:rsidRDefault="00A12614">
      <w:pPr>
        <w:pStyle w:val="TOC2"/>
        <w:rPr>
          <w:noProof/>
          <w:color w:val="auto"/>
          <w:kern w:val="2"/>
          <w:szCs w:val="24"/>
          <w:lang w:eastAsia="en-GB"/>
          <w14:ligatures w14:val="standardContextual"/>
        </w:rPr>
      </w:pPr>
      <w:hyperlink w:anchor="_Toc211513056" w:history="1">
        <w:r w:rsidRPr="00582C88">
          <w:rPr>
            <w:rStyle w:val="Hyperlink"/>
            <w:noProof/>
          </w:rPr>
          <w:t>1.3</w:t>
        </w:r>
        <w:r>
          <w:rPr>
            <w:noProof/>
            <w:color w:val="auto"/>
            <w:kern w:val="2"/>
            <w:szCs w:val="24"/>
            <w:lang w:eastAsia="en-GB"/>
            <w14:ligatures w14:val="standardContextual"/>
          </w:rPr>
          <w:tab/>
        </w:r>
        <w:r w:rsidRPr="00582C88">
          <w:rPr>
            <w:rStyle w:val="Hyperlink"/>
            <w:noProof/>
          </w:rPr>
          <w:t>Construction (Design and Management) Regulations 2015</w:t>
        </w:r>
        <w:r>
          <w:rPr>
            <w:noProof/>
            <w:webHidden/>
          </w:rPr>
          <w:tab/>
        </w:r>
        <w:r>
          <w:rPr>
            <w:noProof/>
            <w:webHidden/>
          </w:rPr>
          <w:fldChar w:fldCharType="begin"/>
        </w:r>
        <w:r>
          <w:rPr>
            <w:noProof/>
            <w:webHidden/>
          </w:rPr>
          <w:instrText xml:space="preserve"> PAGEREF _Toc211513056 \h </w:instrText>
        </w:r>
        <w:r>
          <w:rPr>
            <w:noProof/>
            <w:webHidden/>
          </w:rPr>
        </w:r>
        <w:r>
          <w:rPr>
            <w:noProof/>
            <w:webHidden/>
          </w:rPr>
          <w:fldChar w:fldCharType="separate"/>
        </w:r>
        <w:r>
          <w:rPr>
            <w:noProof/>
            <w:webHidden/>
          </w:rPr>
          <w:t>5</w:t>
        </w:r>
        <w:r>
          <w:rPr>
            <w:noProof/>
            <w:webHidden/>
          </w:rPr>
          <w:fldChar w:fldCharType="end"/>
        </w:r>
      </w:hyperlink>
    </w:p>
    <w:p w14:paraId="6FC967AD" w14:textId="1B3D1CA1" w:rsidR="00A12614" w:rsidRDefault="00A12614">
      <w:pPr>
        <w:pStyle w:val="TOC2"/>
        <w:rPr>
          <w:noProof/>
          <w:color w:val="auto"/>
          <w:kern w:val="2"/>
          <w:szCs w:val="24"/>
          <w:lang w:eastAsia="en-GB"/>
          <w14:ligatures w14:val="standardContextual"/>
        </w:rPr>
      </w:pPr>
      <w:hyperlink w:anchor="_Toc211513057" w:history="1">
        <w:r w:rsidRPr="00582C88">
          <w:rPr>
            <w:rStyle w:val="Hyperlink"/>
            <w:noProof/>
          </w:rPr>
          <w:t>1.4</w:t>
        </w:r>
        <w:r>
          <w:rPr>
            <w:noProof/>
            <w:color w:val="auto"/>
            <w:kern w:val="2"/>
            <w:szCs w:val="24"/>
            <w:lang w:eastAsia="en-GB"/>
            <w14:ligatures w14:val="standardContextual"/>
          </w:rPr>
          <w:tab/>
        </w:r>
        <w:r w:rsidRPr="00582C88">
          <w:rPr>
            <w:rStyle w:val="Hyperlink"/>
            <w:noProof/>
          </w:rPr>
          <w:t>Implementation Plan</w:t>
        </w:r>
        <w:r>
          <w:rPr>
            <w:noProof/>
            <w:webHidden/>
          </w:rPr>
          <w:tab/>
        </w:r>
        <w:r>
          <w:rPr>
            <w:noProof/>
            <w:webHidden/>
          </w:rPr>
          <w:fldChar w:fldCharType="begin"/>
        </w:r>
        <w:r>
          <w:rPr>
            <w:noProof/>
            <w:webHidden/>
          </w:rPr>
          <w:instrText xml:space="preserve"> PAGEREF _Toc211513057 \h </w:instrText>
        </w:r>
        <w:r>
          <w:rPr>
            <w:noProof/>
            <w:webHidden/>
          </w:rPr>
        </w:r>
        <w:r>
          <w:rPr>
            <w:noProof/>
            <w:webHidden/>
          </w:rPr>
          <w:fldChar w:fldCharType="separate"/>
        </w:r>
        <w:r>
          <w:rPr>
            <w:noProof/>
            <w:webHidden/>
          </w:rPr>
          <w:t>6</w:t>
        </w:r>
        <w:r>
          <w:rPr>
            <w:noProof/>
            <w:webHidden/>
          </w:rPr>
          <w:fldChar w:fldCharType="end"/>
        </w:r>
      </w:hyperlink>
    </w:p>
    <w:p w14:paraId="1C9B39C8" w14:textId="545A6F17" w:rsidR="00A12614" w:rsidRDefault="00A12614">
      <w:pPr>
        <w:pStyle w:val="TOC2"/>
        <w:rPr>
          <w:noProof/>
          <w:color w:val="auto"/>
          <w:kern w:val="2"/>
          <w:szCs w:val="24"/>
          <w:lang w:eastAsia="en-GB"/>
          <w14:ligatures w14:val="standardContextual"/>
        </w:rPr>
      </w:pPr>
      <w:hyperlink w:anchor="_Toc211513058" w:history="1">
        <w:r w:rsidRPr="00582C88">
          <w:rPr>
            <w:rStyle w:val="Hyperlink"/>
            <w:noProof/>
          </w:rPr>
          <w:t>1.5</w:t>
        </w:r>
        <w:r>
          <w:rPr>
            <w:noProof/>
            <w:color w:val="auto"/>
            <w:kern w:val="2"/>
            <w:szCs w:val="24"/>
            <w:lang w:eastAsia="en-GB"/>
            <w14:ligatures w14:val="standardContextual"/>
          </w:rPr>
          <w:tab/>
        </w:r>
        <w:r w:rsidRPr="00582C88">
          <w:rPr>
            <w:rStyle w:val="Hyperlink"/>
            <w:noProof/>
          </w:rPr>
          <w:t>Health, Safety, Environmental and Quality (HSEQ) Management</w:t>
        </w:r>
        <w:r>
          <w:rPr>
            <w:noProof/>
            <w:webHidden/>
          </w:rPr>
          <w:tab/>
        </w:r>
        <w:r>
          <w:rPr>
            <w:noProof/>
            <w:webHidden/>
          </w:rPr>
          <w:fldChar w:fldCharType="begin"/>
        </w:r>
        <w:r>
          <w:rPr>
            <w:noProof/>
            <w:webHidden/>
          </w:rPr>
          <w:instrText xml:space="preserve"> PAGEREF _Toc211513058 \h </w:instrText>
        </w:r>
        <w:r>
          <w:rPr>
            <w:noProof/>
            <w:webHidden/>
          </w:rPr>
        </w:r>
        <w:r>
          <w:rPr>
            <w:noProof/>
            <w:webHidden/>
          </w:rPr>
          <w:fldChar w:fldCharType="separate"/>
        </w:r>
        <w:r>
          <w:rPr>
            <w:noProof/>
            <w:webHidden/>
          </w:rPr>
          <w:t>7</w:t>
        </w:r>
        <w:r>
          <w:rPr>
            <w:noProof/>
            <w:webHidden/>
          </w:rPr>
          <w:fldChar w:fldCharType="end"/>
        </w:r>
      </w:hyperlink>
    </w:p>
    <w:p w14:paraId="0A0470B8" w14:textId="2CB1C206" w:rsidR="00A12614" w:rsidRDefault="00A12614">
      <w:pPr>
        <w:pStyle w:val="TOC2"/>
        <w:rPr>
          <w:noProof/>
          <w:color w:val="auto"/>
          <w:kern w:val="2"/>
          <w:szCs w:val="24"/>
          <w:lang w:eastAsia="en-GB"/>
          <w14:ligatures w14:val="standardContextual"/>
        </w:rPr>
      </w:pPr>
      <w:hyperlink w:anchor="_Toc211513059" w:history="1">
        <w:r w:rsidRPr="00582C88">
          <w:rPr>
            <w:rStyle w:val="Hyperlink"/>
            <w:noProof/>
          </w:rPr>
          <w:t>1.6</w:t>
        </w:r>
        <w:r>
          <w:rPr>
            <w:noProof/>
            <w:color w:val="auto"/>
            <w:kern w:val="2"/>
            <w:szCs w:val="24"/>
            <w:lang w:eastAsia="en-GB"/>
            <w14:ligatures w14:val="standardContextual"/>
          </w:rPr>
          <w:tab/>
        </w:r>
        <w:r w:rsidRPr="00582C88">
          <w:rPr>
            <w:rStyle w:val="Hyperlink"/>
            <w:noProof/>
          </w:rPr>
          <w:t>Stage Gate Reviews</w:t>
        </w:r>
        <w:r>
          <w:rPr>
            <w:noProof/>
            <w:webHidden/>
          </w:rPr>
          <w:tab/>
        </w:r>
        <w:r>
          <w:rPr>
            <w:noProof/>
            <w:webHidden/>
          </w:rPr>
          <w:fldChar w:fldCharType="begin"/>
        </w:r>
        <w:r>
          <w:rPr>
            <w:noProof/>
            <w:webHidden/>
          </w:rPr>
          <w:instrText xml:space="preserve"> PAGEREF _Toc211513059 \h </w:instrText>
        </w:r>
        <w:r>
          <w:rPr>
            <w:noProof/>
            <w:webHidden/>
          </w:rPr>
        </w:r>
        <w:r>
          <w:rPr>
            <w:noProof/>
            <w:webHidden/>
          </w:rPr>
          <w:fldChar w:fldCharType="separate"/>
        </w:r>
        <w:r>
          <w:rPr>
            <w:noProof/>
            <w:webHidden/>
          </w:rPr>
          <w:t>10</w:t>
        </w:r>
        <w:r>
          <w:rPr>
            <w:noProof/>
            <w:webHidden/>
          </w:rPr>
          <w:fldChar w:fldCharType="end"/>
        </w:r>
      </w:hyperlink>
    </w:p>
    <w:p w14:paraId="67650C1F" w14:textId="0B7A21F1" w:rsidR="00A12614" w:rsidRDefault="00A12614">
      <w:pPr>
        <w:pStyle w:val="TOC2"/>
        <w:rPr>
          <w:noProof/>
          <w:color w:val="auto"/>
          <w:kern w:val="2"/>
          <w:szCs w:val="24"/>
          <w:lang w:eastAsia="en-GB"/>
          <w14:ligatures w14:val="standardContextual"/>
        </w:rPr>
      </w:pPr>
      <w:hyperlink w:anchor="_Toc211513060" w:history="1">
        <w:r w:rsidRPr="00582C88">
          <w:rPr>
            <w:rStyle w:val="Hyperlink"/>
            <w:noProof/>
          </w:rPr>
          <w:t>1.7</w:t>
        </w:r>
        <w:r>
          <w:rPr>
            <w:noProof/>
            <w:color w:val="auto"/>
            <w:kern w:val="2"/>
            <w:szCs w:val="24"/>
            <w:lang w:eastAsia="en-GB"/>
            <w14:ligatures w14:val="standardContextual"/>
          </w:rPr>
          <w:tab/>
        </w:r>
        <w:r w:rsidRPr="00582C88">
          <w:rPr>
            <w:rStyle w:val="Hyperlink"/>
            <w:noProof/>
          </w:rPr>
          <w:t>Mutual Recognition</w:t>
        </w:r>
        <w:r>
          <w:rPr>
            <w:noProof/>
            <w:webHidden/>
          </w:rPr>
          <w:tab/>
        </w:r>
        <w:r>
          <w:rPr>
            <w:noProof/>
            <w:webHidden/>
          </w:rPr>
          <w:fldChar w:fldCharType="begin"/>
        </w:r>
        <w:r>
          <w:rPr>
            <w:noProof/>
            <w:webHidden/>
          </w:rPr>
          <w:instrText xml:space="preserve"> PAGEREF _Toc211513060 \h </w:instrText>
        </w:r>
        <w:r>
          <w:rPr>
            <w:noProof/>
            <w:webHidden/>
          </w:rPr>
        </w:r>
        <w:r>
          <w:rPr>
            <w:noProof/>
            <w:webHidden/>
          </w:rPr>
          <w:fldChar w:fldCharType="separate"/>
        </w:r>
        <w:r>
          <w:rPr>
            <w:noProof/>
            <w:webHidden/>
          </w:rPr>
          <w:t>12</w:t>
        </w:r>
        <w:r>
          <w:rPr>
            <w:noProof/>
            <w:webHidden/>
          </w:rPr>
          <w:fldChar w:fldCharType="end"/>
        </w:r>
      </w:hyperlink>
    </w:p>
    <w:p w14:paraId="2A8EF3D4" w14:textId="05560823" w:rsidR="00A12614" w:rsidRDefault="00A12614">
      <w:pPr>
        <w:pStyle w:val="TOC1"/>
        <w:tabs>
          <w:tab w:val="left" w:pos="851"/>
        </w:tabs>
        <w:rPr>
          <w:noProof/>
          <w:color w:val="auto"/>
          <w:kern w:val="2"/>
          <w:szCs w:val="24"/>
          <w:lang w:eastAsia="en-GB"/>
          <w14:ligatures w14:val="standardContextual"/>
        </w:rPr>
      </w:pPr>
      <w:hyperlink w:anchor="_Toc211513061" w:history="1">
        <w:r w:rsidRPr="00582C88">
          <w:rPr>
            <w:rStyle w:val="Hyperlink"/>
            <w:noProof/>
          </w:rPr>
          <w:t>2.</w:t>
        </w:r>
        <w:r>
          <w:rPr>
            <w:noProof/>
            <w:color w:val="auto"/>
            <w:kern w:val="2"/>
            <w:szCs w:val="24"/>
            <w:lang w:eastAsia="en-GB"/>
            <w14:ligatures w14:val="standardContextual"/>
          </w:rPr>
          <w:tab/>
        </w:r>
        <w:r w:rsidRPr="00582C88">
          <w:rPr>
            <w:rStyle w:val="Hyperlink"/>
            <w:noProof/>
          </w:rPr>
          <w:t>SPECIFIC OBLIGATIONS</w:t>
        </w:r>
        <w:r>
          <w:rPr>
            <w:noProof/>
            <w:webHidden/>
          </w:rPr>
          <w:tab/>
        </w:r>
        <w:r>
          <w:rPr>
            <w:noProof/>
            <w:webHidden/>
          </w:rPr>
          <w:fldChar w:fldCharType="begin"/>
        </w:r>
        <w:r>
          <w:rPr>
            <w:noProof/>
            <w:webHidden/>
          </w:rPr>
          <w:instrText xml:space="preserve"> PAGEREF _Toc211513061 \h </w:instrText>
        </w:r>
        <w:r>
          <w:rPr>
            <w:noProof/>
            <w:webHidden/>
          </w:rPr>
        </w:r>
        <w:r>
          <w:rPr>
            <w:noProof/>
            <w:webHidden/>
          </w:rPr>
          <w:fldChar w:fldCharType="separate"/>
        </w:r>
        <w:r>
          <w:rPr>
            <w:noProof/>
            <w:webHidden/>
          </w:rPr>
          <w:t>13</w:t>
        </w:r>
        <w:r>
          <w:rPr>
            <w:noProof/>
            <w:webHidden/>
          </w:rPr>
          <w:fldChar w:fldCharType="end"/>
        </w:r>
      </w:hyperlink>
    </w:p>
    <w:p w14:paraId="492CDB70" w14:textId="44477A83" w:rsidR="00A12614" w:rsidRDefault="00A12614">
      <w:pPr>
        <w:pStyle w:val="TOC2"/>
        <w:rPr>
          <w:noProof/>
          <w:color w:val="auto"/>
          <w:kern w:val="2"/>
          <w:szCs w:val="24"/>
          <w:lang w:eastAsia="en-GB"/>
          <w14:ligatures w14:val="standardContextual"/>
        </w:rPr>
      </w:pPr>
      <w:hyperlink w:anchor="_Toc211513062" w:history="1">
        <w:r w:rsidRPr="00582C88">
          <w:rPr>
            <w:rStyle w:val="Hyperlink"/>
            <w:noProof/>
          </w:rPr>
          <w:t>2.1</w:t>
        </w:r>
        <w:r>
          <w:rPr>
            <w:noProof/>
            <w:color w:val="auto"/>
            <w:kern w:val="2"/>
            <w:szCs w:val="24"/>
            <w:lang w:eastAsia="en-GB"/>
            <w14:ligatures w14:val="standardContextual"/>
          </w:rPr>
          <w:tab/>
        </w:r>
        <w:r w:rsidRPr="00582C88">
          <w:rPr>
            <w:rStyle w:val="Hyperlink"/>
            <w:noProof/>
          </w:rPr>
          <w:t>Site Identification</w:t>
        </w:r>
        <w:r>
          <w:rPr>
            <w:noProof/>
            <w:webHidden/>
          </w:rPr>
          <w:tab/>
        </w:r>
        <w:r>
          <w:rPr>
            <w:noProof/>
            <w:webHidden/>
          </w:rPr>
          <w:fldChar w:fldCharType="begin"/>
        </w:r>
        <w:r>
          <w:rPr>
            <w:noProof/>
            <w:webHidden/>
          </w:rPr>
          <w:instrText xml:space="preserve"> PAGEREF _Toc211513062 \h </w:instrText>
        </w:r>
        <w:r>
          <w:rPr>
            <w:noProof/>
            <w:webHidden/>
          </w:rPr>
        </w:r>
        <w:r>
          <w:rPr>
            <w:noProof/>
            <w:webHidden/>
          </w:rPr>
          <w:fldChar w:fldCharType="separate"/>
        </w:r>
        <w:r>
          <w:rPr>
            <w:noProof/>
            <w:webHidden/>
          </w:rPr>
          <w:t>13</w:t>
        </w:r>
        <w:r>
          <w:rPr>
            <w:noProof/>
            <w:webHidden/>
          </w:rPr>
          <w:fldChar w:fldCharType="end"/>
        </w:r>
      </w:hyperlink>
    </w:p>
    <w:p w14:paraId="58EB4635" w14:textId="2E0995E5" w:rsidR="00A12614" w:rsidRDefault="00A12614">
      <w:pPr>
        <w:pStyle w:val="TOC2"/>
        <w:rPr>
          <w:noProof/>
          <w:color w:val="auto"/>
          <w:kern w:val="2"/>
          <w:szCs w:val="24"/>
          <w:lang w:eastAsia="en-GB"/>
          <w14:ligatures w14:val="standardContextual"/>
        </w:rPr>
      </w:pPr>
      <w:hyperlink w:anchor="_Toc211513063" w:history="1">
        <w:r w:rsidRPr="00582C88">
          <w:rPr>
            <w:rStyle w:val="Hyperlink"/>
            <w:noProof/>
          </w:rPr>
          <w:t>2.2</w:t>
        </w:r>
        <w:r>
          <w:rPr>
            <w:noProof/>
            <w:color w:val="auto"/>
            <w:kern w:val="2"/>
            <w:szCs w:val="24"/>
            <w:lang w:eastAsia="en-GB"/>
            <w14:ligatures w14:val="standardContextual"/>
          </w:rPr>
          <w:tab/>
        </w:r>
        <w:r w:rsidRPr="00582C88">
          <w:rPr>
            <w:rStyle w:val="Hyperlink"/>
            <w:noProof/>
          </w:rPr>
          <w:t>Site Delivery Planning</w:t>
        </w:r>
        <w:r>
          <w:rPr>
            <w:noProof/>
            <w:webHidden/>
          </w:rPr>
          <w:tab/>
        </w:r>
        <w:r>
          <w:rPr>
            <w:noProof/>
            <w:webHidden/>
          </w:rPr>
          <w:fldChar w:fldCharType="begin"/>
        </w:r>
        <w:r>
          <w:rPr>
            <w:noProof/>
            <w:webHidden/>
          </w:rPr>
          <w:instrText xml:space="preserve"> PAGEREF _Toc211513063 \h </w:instrText>
        </w:r>
        <w:r>
          <w:rPr>
            <w:noProof/>
            <w:webHidden/>
          </w:rPr>
        </w:r>
        <w:r>
          <w:rPr>
            <w:noProof/>
            <w:webHidden/>
          </w:rPr>
          <w:fldChar w:fldCharType="separate"/>
        </w:r>
        <w:r>
          <w:rPr>
            <w:noProof/>
            <w:webHidden/>
          </w:rPr>
          <w:t>14</w:t>
        </w:r>
        <w:r>
          <w:rPr>
            <w:noProof/>
            <w:webHidden/>
          </w:rPr>
          <w:fldChar w:fldCharType="end"/>
        </w:r>
      </w:hyperlink>
    </w:p>
    <w:p w14:paraId="54F13605" w14:textId="5D2B36D2" w:rsidR="00A12614" w:rsidRDefault="00A12614">
      <w:pPr>
        <w:pStyle w:val="TOC2"/>
        <w:rPr>
          <w:noProof/>
          <w:color w:val="auto"/>
          <w:kern w:val="2"/>
          <w:szCs w:val="24"/>
          <w:lang w:eastAsia="en-GB"/>
          <w14:ligatures w14:val="standardContextual"/>
        </w:rPr>
      </w:pPr>
      <w:hyperlink w:anchor="_Toc211513064" w:history="1">
        <w:r w:rsidRPr="00582C88">
          <w:rPr>
            <w:rStyle w:val="Hyperlink"/>
            <w:noProof/>
          </w:rPr>
          <w:t>2.3</w:t>
        </w:r>
        <w:r>
          <w:rPr>
            <w:noProof/>
            <w:color w:val="auto"/>
            <w:kern w:val="2"/>
            <w:szCs w:val="24"/>
            <w:lang w:eastAsia="en-GB"/>
            <w14:ligatures w14:val="standardContextual"/>
          </w:rPr>
          <w:tab/>
        </w:r>
        <w:r w:rsidRPr="00582C88">
          <w:rPr>
            <w:rStyle w:val="Hyperlink"/>
            <w:noProof/>
          </w:rPr>
          <w:t>Minimum Provisions for Proposed Charge Point Sites</w:t>
        </w:r>
        <w:r>
          <w:rPr>
            <w:noProof/>
            <w:webHidden/>
          </w:rPr>
          <w:tab/>
        </w:r>
        <w:r>
          <w:rPr>
            <w:noProof/>
            <w:webHidden/>
          </w:rPr>
          <w:fldChar w:fldCharType="begin"/>
        </w:r>
        <w:r>
          <w:rPr>
            <w:noProof/>
            <w:webHidden/>
          </w:rPr>
          <w:instrText xml:space="preserve"> PAGEREF _Toc211513064 \h </w:instrText>
        </w:r>
        <w:r>
          <w:rPr>
            <w:noProof/>
            <w:webHidden/>
          </w:rPr>
        </w:r>
        <w:r>
          <w:rPr>
            <w:noProof/>
            <w:webHidden/>
          </w:rPr>
          <w:fldChar w:fldCharType="separate"/>
        </w:r>
        <w:r>
          <w:rPr>
            <w:noProof/>
            <w:webHidden/>
          </w:rPr>
          <w:t>15</w:t>
        </w:r>
        <w:r>
          <w:rPr>
            <w:noProof/>
            <w:webHidden/>
          </w:rPr>
          <w:fldChar w:fldCharType="end"/>
        </w:r>
      </w:hyperlink>
    </w:p>
    <w:p w14:paraId="44B244B1" w14:textId="68CF14E1" w:rsidR="00A12614" w:rsidRDefault="00A12614">
      <w:pPr>
        <w:pStyle w:val="TOC2"/>
        <w:rPr>
          <w:noProof/>
          <w:color w:val="auto"/>
          <w:kern w:val="2"/>
          <w:szCs w:val="24"/>
          <w:lang w:eastAsia="en-GB"/>
          <w14:ligatures w14:val="standardContextual"/>
        </w:rPr>
      </w:pPr>
      <w:hyperlink w:anchor="_Toc211513065" w:history="1">
        <w:r w:rsidRPr="00582C88">
          <w:rPr>
            <w:rStyle w:val="Hyperlink"/>
            <w:noProof/>
          </w:rPr>
          <w:t>2.4</w:t>
        </w:r>
        <w:r>
          <w:rPr>
            <w:noProof/>
            <w:color w:val="auto"/>
            <w:kern w:val="2"/>
            <w:szCs w:val="24"/>
            <w:lang w:eastAsia="en-GB"/>
            <w14:ligatures w14:val="standardContextual"/>
          </w:rPr>
          <w:tab/>
        </w:r>
        <w:r w:rsidRPr="00582C88">
          <w:rPr>
            <w:rStyle w:val="Hyperlink"/>
            <w:noProof/>
          </w:rPr>
          <w:t>Site Delivery</w:t>
        </w:r>
        <w:r>
          <w:rPr>
            <w:noProof/>
            <w:webHidden/>
          </w:rPr>
          <w:tab/>
        </w:r>
        <w:r>
          <w:rPr>
            <w:noProof/>
            <w:webHidden/>
          </w:rPr>
          <w:fldChar w:fldCharType="begin"/>
        </w:r>
        <w:r>
          <w:rPr>
            <w:noProof/>
            <w:webHidden/>
          </w:rPr>
          <w:instrText xml:space="preserve"> PAGEREF _Toc211513065 \h </w:instrText>
        </w:r>
        <w:r>
          <w:rPr>
            <w:noProof/>
            <w:webHidden/>
          </w:rPr>
        </w:r>
        <w:r>
          <w:rPr>
            <w:noProof/>
            <w:webHidden/>
          </w:rPr>
          <w:fldChar w:fldCharType="separate"/>
        </w:r>
        <w:r>
          <w:rPr>
            <w:noProof/>
            <w:webHidden/>
          </w:rPr>
          <w:t>15</w:t>
        </w:r>
        <w:r>
          <w:rPr>
            <w:noProof/>
            <w:webHidden/>
          </w:rPr>
          <w:fldChar w:fldCharType="end"/>
        </w:r>
      </w:hyperlink>
    </w:p>
    <w:p w14:paraId="06022334" w14:textId="7F5B4480" w:rsidR="00A12614" w:rsidRDefault="00A12614">
      <w:pPr>
        <w:pStyle w:val="TOC2"/>
        <w:rPr>
          <w:noProof/>
          <w:color w:val="auto"/>
          <w:kern w:val="2"/>
          <w:szCs w:val="24"/>
          <w:lang w:eastAsia="en-GB"/>
          <w14:ligatures w14:val="standardContextual"/>
        </w:rPr>
      </w:pPr>
      <w:hyperlink w:anchor="_Toc211513066" w:history="1">
        <w:r w:rsidRPr="00582C88">
          <w:rPr>
            <w:rStyle w:val="Hyperlink"/>
            <w:noProof/>
          </w:rPr>
          <w:t>2.5</w:t>
        </w:r>
        <w:r>
          <w:rPr>
            <w:noProof/>
            <w:color w:val="auto"/>
            <w:kern w:val="2"/>
            <w:szCs w:val="24"/>
            <w:lang w:eastAsia="en-GB"/>
            <w14:ligatures w14:val="standardContextual"/>
          </w:rPr>
          <w:tab/>
        </w:r>
        <w:r w:rsidRPr="00582C88">
          <w:rPr>
            <w:rStyle w:val="Hyperlink"/>
            <w:noProof/>
          </w:rPr>
          <w:t>Site Operations and Maintenance</w:t>
        </w:r>
        <w:r>
          <w:rPr>
            <w:noProof/>
            <w:webHidden/>
          </w:rPr>
          <w:tab/>
        </w:r>
        <w:r>
          <w:rPr>
            <w:noProof/>
            <w:webHidden/>
          </w:rPr>
          <w:fldChar w:fldCharType="begin"/>
        </w:r>
        <w:r>
          <w:rPr>
            <w:noProof/>
            <w:webHidden/>
          </w:rPr>
          <w:instrText xml:space="preserve"> PAGEREF _Toc211513066 \h </w:instrText>
        </w:r>
        <w:r>
          <w:rPr>
            <w:noProof/>
            <w:webHidden/>
          </w:rPr>
        </w:r>
        <w:r>
          <w:rPr>
            <w:noProof/>
            <w:webHidden/>
          </w:rPr>
          <w:fldChar w:fldCharType="separate"/>
        </w:r>
        <w:r>
          <w:rPr>
            <w:noProof/>
            <w:webHidden/>
          </w:rPr>
          <w:t>16</w:t>
        </w:r>
        <w:r>
          <w:rPr>
            <w:noProof/>
            <w:webHidden/>
          </w:rPr>
          <w:fldChar w:fldCharType="end"/>
        </w:r>
      </w:hyperlink>
    </w:p>
    <w:p w14:paraId="1B0D40C2" w14:textId="5752731A" w:rsidR="00A12614" w:rsidRDefault="00A12614">
      <w:pPr>
        <w:pStyle w:val="TOC2"/>
        <w:rPr>
          <w:noProof/>
          <w:color w:val="auto"/>
          <w:kern w:val="2"/>
          <w:szCs w:val="24"/>
          <w:lang w:eastAsia="en-GB"/>
          <w14:ligatures w14:val="standardContextual"/>
        </w:rPr>
      </w:pPr>
      <w:hyperlink w:anchor="_Toc211513067" w:history="1">
        <w:r w:rsidRPr="00582C88">
          <w:rPr>
            <w:rStyle w:val="Hyperlink"/>
            <w:noProof/>
          </w:rPr>
          <w:t>2.6</w:t>
        </w:r>
        <w:r>
          <w:rPr>
            <w:noProof/>
            <w:color w:val="auto"/>
            <w:kern w:val="2"/>
            <w:szCs w:val="24"/>
            <w:lang w:eastAsia="en-GB"/>
            <w14:ligatures w14:val="standardContextual"/>
          </w:rPr>
          <w:tab/>
        </w:r>
        <w:r w:rsidRPr="00582C88">
          <w:rPr>
            <w:rStyle w:val="Hyperlink"/>
            <w:noProof/>
          </w:rPr>
          <w:t>Concession Agreement Close-Out</w:t>
        </w:r>
        <w:r>
          <w:rPr>
            <w:noProof/>
            <w:webHidden/>
          </w:rPr>
          <w:tab/>
        </w:r>
        <w:r>
          <w:rPr>
            <w:noProof/>
            <w:webHidden/>
          </w:rPr>
          <w:fldChar w:fldCharType="begin"/>
        </w:r>
        <w:r>
          <w:rPr>
            <w:noProof/>
            <w:webHidden/>
          </w:rPr>
          <w:instrText xml:space="preserve"> PAGEREF _Toc211513067 \h </w:instrText>
        </w:r>
        <w:r>
          <w:rPr>
            <w:noProof/>
            <w:webHidden/>
          </w:rPr>
        </w:r>
        <w:r>
          <w:rPr>
            <w:noProof/>
            <w:webHidden/>
          </w:rPr>
          <w:fldChar w:fldCharType="separate"/>
        </w:r>
        <w:r>
          <w:rPr>
            <w:noProof/>
            <w:webHidden/>
          </w:rPr>
          <w:t>17</w:t>
        </w:r>
        <w:r>
          <w:rPr>
            <w:noProof/>
            <w:webHidden/>
          </w:rPr>
          <w:fldChar w:fldCharType="end"/>
        </w:r>
      </w:hyperlink>
    </w:p>
    <w:p w14:paraId="667A1529" w14:textId="2C9CBCFB" w:rsidR="00A12614" w:rsidRDefault="00A12614">
      <w:pPr>
        <w:pStyle w:val="TOC1"/>
        <w:tabs>
          <w:tab w:val="left" w:pos="851"/>
        </w:tabs>
        <w:rPr>
          <w:noProof/>
          <w:color w:val="auto"/>
          <w:kern w:val="2"/>
          <w:szCs w:val="24"/>
          <w:lang w:eastAsia="en-GB"/>
          <w14:ligatures w14:val="standardContextual"/>
        </w:rPr>
      </w:pPr>
      <w:hyperlink w:anchor="_Toc211513068" w:history="1">
        <w:r w:rsidRPr="00582C88">
          <w:rPr>
            <w:rStyle w:val="Hyperlink"/>
            <w:noProof/>
          </w:rPr>
          <w:t>A1.</w:t>
        </w:r>
        <w:r>
          <w:rPr>
            <w:noProof/>
            <w:color w:val="auto"/>
            <w:kern w:val="2"/>
            <w:szCs w:val="24"/>
            <w:lang w:eastAsia="en-GB"/>
            <w14:ligatures w14:val="standardContextual"/>
          </w:rPr>
          <w:tab/>
        </w:r>
        <w:r w:rsidRPr="00582C88">
          <w:rPr>
            <w:rStyle w:val="Hyperlink"/>
            <w:noProof/>
          </w:rPr>
          <w:t>Indicative site delivery approach</w:t>
        </w:r>
        <w:r>
          <w:rPr>
            <w:noProof/>
            <w:webHidden/>
          </w:rPr>
          <w:tab/>
        </w:r>
        <w:r>
          <w:rPr>
            <w:noProof/>
            <w:webHidden/>
          </w:rPr>
          <w:fldChar w:fldCharType="begin"/>
        </w:r>
        <w:r>
          <w:rPr>
            <w:noProof/>
            <w:webHidden/>
          </w:rPr>
          <w:instrText xml:space="preserve"> PAGEREF _Toc211513068 \h </w:instrText>
        </w:r>
        <w:r>
          <w:rPr>
            <w:noProof/>
            <w:webHidden/>
          </w:rPr>
        </w:r>
        <w:r>
          <w:rPr>
            <w:noProof/>
            <w:webHidden/>
          </w:rPr>
          <w:fldChar w:fldCharType="separate"/>
        </w:r>
        <w:r>
          <w:rPr>
            <w:noProof/>
            <w:webHidden/>
          </w:rPr>
          <w:t>18</w:t>
        </w:r>
        <w:r>
          <w:rPr>
            <w:noProof/>
            <w:webHidden/>
          </w:rPr>
          <w:fldChar w:fldCharType="end"/>
        </w:r>
      </w:hyperlink>
    </w:p>
    <w:p w14:paraId="748AB90E" w14:textId="78BDF351" w:rsidR="00A12614" w:rsidRDefault="00A12614">
      <w:pPr>
        <w:pStyle w:val="TOC1"/>
        <w:tabs>
          <w:tab w:val="left" w:pos="851"/>
        </w:tabs>
        <w:rPr>
          <w:noProof/>
          <w:color w:val="auto"/>
          <w:kern w:val="2"/>
          <w:szCs w:val="24"/>
          <w:lang w:eastAsia="en-GB"/>
          <w14:ligatures w14:val="standardContextual"/>
        </w:rPr>
      </w:pPr>
      <w:hyperlink w:anchor="_Toc211513069" w:history="1">
        <w:r w:rsidRPr="00582C88">
          <w:rPr>
            <w:rStyle w:val="Hyperlink"/>
            <w:noProof/>
          </w:rPr>
          <w:t>A2.</w:t>
        </w:r>
        <w:r>
          <w:rPr>
            <w:noProof/>
            <w:color w:val="auto"/>
            <w:kern w:val="2"/>
            <w:szCs w:val="24"/>
            <w:lang w:eastAsia="en-GB"/>
            <w14:ligatures w14:val="standardContextual"/>
          </w:rPr>
          <w:tab/>
        </w:r>
        <w:r w:rsidRPr="00582C88">
          <w:rPr>
            <w:rStyle w:val="Hyperlink"/>
            <w:noProof/>
          </w:rPr>
          <w:t>Concession Agreement management arrangements</w:t>
        </w:r>
        <w:r>
          <w:rPr>
            <w:noProof/>
            <w:webHidden/>
          </w:rPr>
          <w:tab/>
        </w:r>
        <w:r>
          <w:rPr>
            <w:noProof/>
            <w:webHidden/>
          </w:rPr>
          <w:fldChar w:fldCharType="begin"/>
        </w:r>
        <w:r>
          <w:rPr>
            <w:noProof/>
            <w:webHidden/>
          </w:rPr>
          <w:instrText xml:space="preserve"> PAGEREF _Toc211513069 \h </w:instrText>
        </w:r>
        <w:r>
          <w:rPr>
            <w:noProof/>
            <w:webHidden/>
          </w:rPr>
        </w:r>
        <w:r>
          <w:rPr>
            <w:noProof/>
            <w:webHidden/>
          </w:rPr>
          <w:fldChar w:fldCharType="separate"/>
        </w:r>
        <w:r>
          <w:rPr>
            <w:noProof/>
            <w:webHidden/>
          </w:rPr>
          <w:t>19</w:t>
        </w:r>
        <w:r>
          <w:rPr>
            <w:noProof/>
            <w:webHidden/>
          </w:rPr>
          <w:fldChar w:fldCharType="end"/>
        </w:r>
      </w:hyperlink>
    </w:p>
    <w:p w14:paraId="08EA5543" w14:textId="06A1619E" w:rsidR="00A12614" w:rsidRDefault="00A12614">
      <w:pPr>
        <w:pStyle w:val="TOC2"/>
        <w:rPr>
          <w:noProof/>
          <w:color w:val="auto"/>
          <w:kern w:val="2"/>
          <w:szCs w:val="24"/>
          <w:lang w:eastAsia="en-GB"/>
          <w14:ligatures w14:val="standardContextual"/>
        </w:rPr>
      </w:pPr>
      <w:hyperlink w:anchor="_Toc211513070" w:history="1">
        <w:r w:rsidRPr="00582C88">
          <w:rPr>
            <w:rStyle w:val="Hyperlink"/>
            <w:noProof/>
          </w:rPr>
          <w:t>A2.1</w:t>
        </w:r>
        <w:r>
          <w:rPr>
            <w:noProof/>
            <w:color w:val="auto"/>
            <w:kern w:val="2"/>
            <w:szCs w:val="24"/>
            <w:lang w:eastAsia="en-GB"/>
            <w14:ligatures w14:val="standardContextual"/>
          </w:rPr>
          <w:tab/>
        </w:r>
        <w:r w:rsidRPr="00582C88">
          <w:rPr>
            <w:rStyle w:val="Hyperlink"/>
            <w:noProof/>
          </w:rPr>
          <w:t>Overview</w:t>
        </w:r>
        <w:r>
          <w:rPr>
            <w:noProof/>
            <w:webHidden/>
          </w:rPr>
          <w:tab/>
        </w:r>
        <w:r>
          <w:rPr>
            <w:noProof/>
            <w:webHidden/>
          </w:rPr>
          <w:fldChar w:fldCharType="begin"/>
        </w:r>
        <w:r>
          <w:rPr>
            <w:noProof/>
            <w:webHidden/>
          </w:rPr>
          <w:instrText xml:space="preserve"> PAGEREF _Toc211513070 \h </w:instrText>
        </w:r>
        <w:r>
          <w:rPr>
            <w:noProof/>
            <w:webHidden/>
          </w:rPr>
        </w:r>
        <w:r>
          <w:rPr>
            <w:noProof/>
            <w:webHidden/>
          </w:rPr>
          <w:fldChar w:fldCharType="separate"/>
        </w:r>
        <w:r>
          <w:rPr>
            <w:noProof/>
            <w:webHidden/>
          </w:rPr>
          <w:t>19</w:t>
        </w:r>
        <w:r>
          <w:rPr>
            <w:noProof/>
            <w:webHidden/>
          </w:rPr>
          <w:fldChar w:fldCharType="end"/>
        </w:r>
      </w:hyperlink>
    </w:p>
    <w:p w14:paraId="20D59288" w14:textId="143F9FD6" w:rsidR="00A12614" w:rsidRDefault="00A12614">
      <w:pPr>
        <w:pStyle w:val="TOC2"/>
        <w:rPr>
          <w:noProof/>
          <w:color w:val="auto"/>
          <w:kern w:val="2"/>
          <w:szCs w:val="24"/>
          <w:lang w:eastAsia="en-GB"/>
          <w14:ligatures w14:val="standardContextual"/>
        </w:rPr>
      </w:pPr>
      <w:hyperlink w:anchor="_Toc211513071" w:history="1">
        <w:r w:rsidRPr="00582C88">
          <w:rPr>
            <w:rStyle w:val="Hyperlink"/>
            <w:noProof/>
          </w:rPr>
          <w:t>A2.2</w:t>
        </w:r>
        <w:r>
          <w:rPr>
            <w:noProof/>
            <w:color w:val="auto"/>
            <w:kern w:val="2"/>
            <w:szCs w:val="24"/>
            <w:lang w:eastAsia="en-GB"/>
            <w14:ligatures w14:val="standardContextual"/>
          </w:rPr>
          <w:tab/>
        </w:r>
        <w:r w:rsidRPr="00582C88">
          <w:rPr>
            <w:rStyle w:val="Hyperlink"/>
            <w:noProof/>
          </w:rPr>
          <w:t>Concession Team</w:t>
        </w:r>
        <w:r>
          <w:rPr>
            <w:noProof/>
            <w:webHidden/>
          </w:rPr>
          <w:tab/>
        </w:r>
        <w:r>
          <w:rPr>
            <w:noProof/>
            <w:webHidden/>
          </w:rPr>
          <w:fldChar w:fldCharType="begin"/>
        </w:r>
        <w:r>
          <w:rPr>
            <w:noProof/>
            <w:webHidden/>
          </w:rPr>
          <w:instrText xml:space="preserve"> PAGEREF _Toc211513071 \h </w:instrText>
        </w:r>
        <w:r>
          <w:rPr>
            <w:noProof/>
            <w:webHidden/>
          </w:rPr>
        </w:r>
        <w:r>
          <w:rPr>
            <w:noProof/>
            <w:webHidden/>
          </w:rPr>
          <w:fldChar w:fldCharType="separate"/>
        </w:r>
        <w:r>
          <w:rPr>
            <w:noProof/>
            <w:webHidden/>
          </w:rPr>
          <w:t>19</w:t>
        </w:r>
        <w:r>
          <w:rPr>
            <w:noProof/>
            <w:webHidden/>
          </w:rPr>
          <w:fldChar w:fldCharType="end"/>
        </w:r>
      </w:hyperlink>
    </w:p>
    <w:p w14:paraId="3C631ECF" w14:textId="216041D3" w:rsidR="00A12614" w:rsidRDefault="00A12614">
      <w:pPr>
        <w:pStyle w:val="TOC2"/>
        <w:rPr>
          <w:noProof/>
          <w:color w:val="auto"/>
          <w:kern w:val="2"/>
          <w:szCs w:val="24"/>
          <w:lang w:eastAsia="en-GB"/>
          <w14:ligatures w14:val="standardContextual"/>
        </w:rPr>
      </w:pPr>
      <w:hyperlink w:anchor="_Toc211513072" w:history="1">
        <w:r w:rsidRPr="00582C88">
          <w:rPr>
            <w:rStyle w:val="Hyperlink"/>
            <w:noProof/>
          </w:rPr>
          <w:t>A2.3</w:t>
        </w:r>
        <w:r>
          <w:rPr>
            <w:noProof/>
            <w:color w:val="auto"/>
            <w:kern w:val="2"/>
            <w:szCs w:val="24"/>
            <w:lang w:eastAsia="en-GB"/>
            <w14:ligatures w14:val="standardContextual"/>
          </w:rPr>
          <w:tab/>
        </w:r>
        <w:r w:rsidRPr="00582C88">
          <w:rPr>
            <w:rStyle w:val="Hyperlink"/>
            <w:noProof/>
          </w:rPr>
          <w:t>Roles, Functions and Responsibilities</w:t>
        </w:r>
        <w:r>
          <w:rPr>
            <w:noProof/>
            <w:webHidden/>
          </w:rPr>
          <w:tab/>
        </w:r>
        <w:r>
          <w:rPr>
            <w:noProof/>
            <w:webHidden/>
          </w:rPr>
          <w:fldChar w:fldCharType="begin"/>
        </w:r>
        <w:r>
          <w:rPr>
            <w:noProof/>
            <w:webHidden/>
          </w:rPr>
          <w:instrText xml:space="preserve"> PAGEREF _Toc211513072 \h </w:instrText>
        </w:r>
        <w:r>
          <w:rPr>
            <w:noProof/>
            <w:webHidden/>
          </w:rPr>
        </w:r>
        <w:r>
          <w:rPr>
            <w:noProof/>
            <w:webHidden/>
          </w:rPr>
          <w:fldChar w:fldCharType="separate"/>
        </w:r>
        <w:r>
          <w:rPr>
            <w:noProof/>
            <w:webHidden/>
          </w:rPr>
          <w:t>20</w:t>
        </w:r>
        <w:r>
          <w:rPr>
            <w:noProof/>
            <w:webHidden/>
          </w:rPr>
          <w:fldChar w:fldCharType="end"/>
        </w:r>
      </w:hyperlink>
    </w:p>
    <w:p w14:paraId="41A1B5E7" w14:textId="552EF0E5" w:rsidR="00A12614" w:rsidRDefault="00A12614">
      <w:pPr>
        <w:pStyle w:val="TOC2"/>
        <w:rPr>
          <w:noProof/>
          <w:color w:val="auto"/>
          <w:kern w:val="2"/>
          <w:szCs w:val="24"/>
          <w:lang w:eastAsia="en-GB"/>
          <w14:ligatures w14:val="standardContextual"/>
        </w:rPr>
      </w:pPr>
      <w:hyperlink w:anchor="_Toc211513073" w:history="1">
        <w:r w:rsidRPr="00582C88">
          <w:rPr>
            <w:rStyle w:val="Hyperlink"/>
            <w:noProof/>
          </w:rPr>
          <w:t>A2.4</w:t>
        </w:r>
        <w:r>
          <w:rPr>
            <w:noProof/>
            <w:color w:val="auto"/>
            <w:kern w:val="2"/>
            <w:szCs w:val="24"/>
            <w:lang w:eastAsia="en-GB"/>
            <w14:ligatures w14:val="standardContextual"/>
          </w:rPr>
          <w:tab/>
        </w:r>
        <w:r w:rsidRPr="00582C88">
          <w:rPr>
            <w:rStyle w:val="Hyperlink"/>
            <w:noProof/>
          </w:rPr>
          <w:t>Arrangements for Project Delivery Communications and Cooperation</w:t>
        </w:r>
        <w:r>
          <w:rPr>
            <w:noProof/>
            <w:webHidden/>
          </w:rPr>
          <w:tab/>
        </w:r>
        <w:r>
          <w:rPr>
            <w:noProof/>
            <w:webHidden/>
          </w:rPr>
          <w:fldChar w:fldCharType="begin"/>
        </w:r>
        <w:r>
          <w:rPr>
            <w:noProof/>
            <w:webHidden/>
          </w:rPr>
          <w:instrText xml:space="preserve"> PAGEREF _Toc211513073 \h </w:instrText>
        </w:r>
        <w:r>
          <w:rPr>
            <w:noProof/>
            <w:webHidden/>
          </w:rPr>
        </w:r>
        <w:r>
          <w:rPr>
            <w:noProof/>
            <w:webHidden/>
          </w:rPr>
          <w:fldChar w:fldCharType="separate"/>
        </w:r>
        <w:r>
          <w:rPr>
            <w:noProof/>
            <w:webHidden/>
          </w:rPr>
          <w:t>20</w:t>
        </w:r>
        <w:r>
          <w:rPr>
            <w:noProof/>
            <w:webHidden/>
          </w:rPr>
          <w:fldChar w:fldCharType="end"/>
        </w:r>
      </w:hyperlink>
    </w:p>
    <w:p w14:paraId="73CC3C6D" w14:textId="182F2A75" w:rsidR="00A12614" w:rsidRDefault="00A12614">
      <w:pPr>
        <w:pStyle w:val="TOC2"/>
        <w:rPr>
          <w:noProof/>
          <w:color w:val="auto"/>
          <w:kern w:val="2"/>
          <w:szCs w:val="24"/>
          <w:lang w:eastAsia="en-GB"/>
          <w14:ligatures w14:val="standardContextual"/>
        </w:rPr>
      </w:pPr>
      <w:hyperlink w:anchor="_Toc211513074" w:history="1">
        <w:r w:rsidRPr="00582C88">
          <w:rPr>
            <w:rStyle w:val="Hyperlink"/>
            <w:noProof/>
          </w:rPr>
          <w:t>A2.5</w:t>
        </w:r>
        <w:r>
          <w:rPr>
            <w:noProof/>
            <w:color w:val="auto"/>
            <w:kern w:val="2"/>
            <w:szCs w:val="24"/>
            <w:lang w:eastAsia="en-GB"/>
            <w14:ligatures w14:val="standardContextual"/>
          </w:rPr>
          <w:tab/>
        </w:r>
        <w:r w:rsidRPr="00582C88">
          <w:rPr>
            <w:rStyle w:val="Hyperlink"/>
            <w:noProof/>
          </w:rPr>
          <w:t>Notification</w:t>
        </w:r>
        <w:r>
          <w:rPr>
            <w:noProof/>
            <w:webHidden/>
          </w:rPr>
          <w:tab/>
        </w:r>
        <w:r>
          <w:rPr>
            <w:noProof/>
            <w:webHidden/>
          </w:rPr>
          <w:fldChar w:fldCharType="begin"/>
        </w:r>
        <w:r>
          <w:rPr>
            <w:noProof/>
            <w:webHidden/>
          </w:rPr>
          <w:instrText xml:space="preserve"> PAGEREF _Toc211513074 \h </w:instrText>
        </w:r>
        <w:r>
          <w:rPr>
            <w:noProof/>
            <w:webHidden/>
          </w:rPr>
        </w:r>
        <w:r>
          <w:rPr>
            <w:noProof/>
            <w:webHidden/>
          </w:rPr>
          <w:fldChar w:fldCharType="separate"/>
        </w:r>
        <w:r>
          <w:rPr>
            <w:noProof/>
            <w:webHidden/>
          </w:rPr>
          <w:t>21</w:t>
        </w:r>
        <w:r>
          <w:rPr>
            <w:noProof/>
            <w:webHidden/>
          </w:rPr>
          <w:fldChar w:fldCharType="end"/>
        </w:r>
      </w:hyperlink>
    </w:p>
    <w:p w14:paraId="7D3715CF" w14:textId="15FCE33D" w:rsidR="00A12614" w:rsidRDefault="00A12614">
      <w:pPr>
        <w:pStyle w:val="TOC2"/>
        <w:rPr>
          <w:noProof/>
          <w:color w:val="auto"/>
          <w:kern w:val="2"/>
          <w:szCs w:val="24"/>
          <w:lang w:eastAsia="en-GB"/>
          <w14:ligatures w14:val="standardContextual"/>
        </w:rPr>
      </w:pPr>
      <w:hyperlink w:anchor="_Toc211513075" w:history="1">
        <w:r w:rsidRPr="00582C88">
          <w:rPr>
            <w:rStyle w:val="Hyperlink"/>
            <w:noProof/>
          </w:rPr>
          <w:t>A2.6</w:t>
        </w:r>
        <w:r>
          <w:rPr>
            <w:noProof/>
            <w:color w:val="auto"/>
            <w:kern w:val="2"/>
            <w:szCs w:val="24"/>
            <w:lang w:eastAsia="en-GB"/>
            <w14:ligatures w14:val="standardContextual"/>
          </w:rPr>
          <w:tab/>
        </w:r>
        <w:r w:rsidRPr="00582C88">
          <w:rPr>
            <w:rStyle w:val="Hyperlink"/>
            <w:noProof/>
          </w:rPr>
          <w:t>Pre-Construction Information</w:t>
        </w:r>
        <w:r>
          <w:rPr>
            <w:noProof/>
            <w:webHidden/>
          </w:rPr>
          <w:tab/>
        </w:r>
        <w:r>
          <w:rPr>
            <w:noProof/>
            <w:webHidden/>
          </w:rPr>
          <w:fldChar w:fldCharType="begin"/>
        </w:r>
        <w:r>
          <w:rPr>
            <w:noProof/>
            <w:webHidden/>
          </w:rPr>
          <w:instrText xml:space="preserve"> PAGEREF _Toc211513075 \h </w:instrText>
        </w:r>
        <w:r>
          <w:rPr>
            <w:noProof/>
            <w:webHidden/>
          </w:rPr>
        </w:r>
        <w:r>
          <w:rPr>
            <w:noProof/>
            <w:webHidden/>
          </w:rPr>
          <w:fldChar w:fldCharType="separate"/>
        </w:r>
        <w:r>
          <w:rPr>
            <w:noProof/>
            <w:webHidden/>
          </w:rPr>
          <w:t>21</w:t>
        </w:r>
        <w:r>
          <w:rPr>
            <w:noProof/>
            <w:webHidden/>
          </w:rPr>
          <w:fldChar w:fldCharType="end"/>
        </w:r>
      </w:hyperlink>
    </w:p>
    <w:p w14:paraId="454C9BE9" w14:textId="06AD37AA" w:rsidR="00A12614" w:rsidRDefault="00A12614">
      <w:pPr>
        <w:pStyle w:val="TOC1"/>
        <w:tabs>
          <w:tab w:val="left" w:pos="851"/>
        </w:tabs>
        <w:rPr>
          <w:noProof/>
          <w:color w:val="auto"/>
          <w:kern w:val="2"/>
          <w:szCs w:val="24"/>
          <w:lang w:eastAsia="en-GB"/>
          <w14:ligatures w14:val="standardContextual"/>
        </w:rPr>
      </w:pPr>
      <w:hyperlink w:anchor="_Toc211513076" w:history="1">
        <w:r w:rsidRPr="00582C88">
          <w:rPr>
            <w:rStyle w:val="Hyperlink"/>
            <w:noProof/>
          </w:rPr>
          <w:t>A3.</w:t>
        </w:r>
        <w:r>
          <w:rPr>
            <w:noProof/>
            <w:color w:val="auto"/>
            <w:kern w:val="2"/>
            <w:szCs w:val="24"/>
            <w:lang w:eastAsia="en-GB"/>
            <w14:ligatures w14:val="standardContextual"/>
          </w:rPr>
          <w:tab/>
        </w:r>
        <w:r w:rsidRPr="00582C88">
          <w:rPr>
            <w:rStyle w:val="Hyperlink"/>
            <w:noProof/>
          </w:rPr>
          <w:t>SITE DESIGN REQUIREMENTS</w:t>
        </w:r>
        <w:r>
          <w:rPr>
            <w:noProof/>
            <w:webHidden/>
          </w:rPr>
          <w:tab/>
        </w:r>
        <w:r>
          <w:rPr>
            <w:noProof/>
            <w:webHidden/>
          </w:rPr>
          <w:fldChar w:fldCharType="begin"/>
        </w:r>
        <w:r>
          <w:rPr>
            <w:noProof/>
            <w:webHidden/>
          </w:rPr>
          <w:instrText xml:space="preserve"> PAGEREF _Toc211513076 \h </w:instrText>
        </w:r>
        <w:r>
          <w:rPr>
            <w:noProof/>
            <w:webHidden/>
          </w:rPr>
        </w:r>
        <w:r>
          <w:rPr>
            <w:noProof/>
            <w:webHidden/>
          </w:rPr>
          <w:fldChar w:fldCharType="separate"/>
        </w:r>
        <w:r>
          <w:rPr>
            <w:noProof/>
            <w:webHidden/>
          </w:rPr>
          <w:t>22</w:t>
        </w:r>
        <w:r>
          <w:rPr>
            <w:noProof/>
            <w:webHidden/>
          </w:rPr>
          <w:fldChar w:fldCharType="end"/>
        </w:r>
      </w:hyperlink>
    </w:p>
    <w:p w14:paraId="27062146" w14:textId="4993EA9C" w:rsidR="00A12614" w:rsidRDefault="00A12614">
      <w:pPr>
        <w:pStyle w:val="TOC2"/>
        <w:rPr>
          <w:noProof/>
          <w:color w:val="auto"/>
          <w:kern w:val="2"/>
          <w:szCs w:val="24"/>
          <w:lang w:eastAsia="en-GB"/>
          <w14:ligatures w14:val="standardContextual"/>
        </w:rPr>
      </w:pPr>
      <w:hyperlink w:anchor="_Toc211513077" w:history="1">
        <w:r w:rsidRPr="00582C88">
          <w:rPr>
            <w:rStyle w:val="Hyperlink"/>
            <w:noProof/>
          </w:rPr>
          <w:t>A3.1</w:t>
        </w:r>
        <w:r>
          <w:rPr>
            <w:noProof/>
            <w:color w:val="auto"/>
            <w:kern w:val="2"/>
            <w:szCs w:val="24"/>
            <w:lang w:eastAsia="en-GB"/>
            <w14:ligatures w14:val="standardContextual"/>
          </w:rPr>
          <w:tab/>
        </w:r>
        <w:r w:rsidRPr="00582C88">
          <w:rPr>
            <w:rStyle w:val="Hyperlink"/>
            <w:noProof/>
          </w:rPr>
          <w:t>Operational Service Life</w:t>
        </w:r>
        <w:r>
          <w:rPr>
            <w:noProof/>
            <w:webHidden/>
          </w:rPr>
          <w:tab/>
        </w:r>
        <w:r>
          <w:rPr>
            <w:noProof/>
            <w:webHidden/>
          </w:rPr>
          <w:fldChar w:fldCharType="begin"/>
        </w:r>
        <w:r>
          <w:rPr>
            <w:noProof/>
            <w:webHidden/>
          </w:rPr>
          <w:instrText xml:space="preserve"> PAGEREF _Toc211513077 \h </w:instrText>
        </w:r>
        <w:r>
          <w:rPr>
            <w:noProof/>
            <w:webHidden/>
          </w:rPr>
        </w:r>
        <w:r>
          <w:rPr>
            <w:noProof/>
            <w:webHidden/>
          </w:rPr>
          <w:fldChar w:fldCharType="separate"/>
        </w:r>
        <w:r>
          <w:rPr>
            <w:noProof/>
            <w:webHidden/>
          </w:rPr>
          <w:t>22</w:t>
        </w:r>
        <w:r>
          <w:rPr>
            <w:noProof/>
            <w:webHidden/>
          </w:rPr>
          <w:fldChar w:fldCharType="end"/>
        </w:r>
      </w:hyperlink>
    </w:p>
    <w:p w14:paraId="313735ED" w14:textId="662386C3" w:rsidR="00A12614" w:rsidRDefault="00A12614">
      <w:pPr>
        <w:pStyle w:val="TOC2"/>
        <w:rPr>
          <w:noProof/>
          <w:color w:val="auto"/>
          <w:kern w:val="2"/>
          <w:szCs w:val="24"/>
          <w:lang w:eastAsia="en-GB"/>
          <w14:ligatures w14:val="standardContextual"/>
        </w:rPr>
      </w:pPr>
      <w:hyperlink w:anchor="_Toc211513078" w:history="1">
        <w:r w:rsidRPr="00582C88">
          <w:rPr>
            <w:rStyle w:val="Hyperlink"/>
            <w:noProof/>
          </w:rPr>
          <w:t>A3.2</w:t>
        </w:r>
        <w:r>
          <w:rPr>
            <w:noProof/>
            <w:color w:val="auto"/>
            <w:kern w:val="2"/>
            <w:szCs w:val="24"/>
            <w:lang w:eastAsia="en-GB"/>
            <w14:ligatures w14:val="standardContextual"/>
          </w:rPr>
          <w:tab/>
        </w:r>
        <w:r w:rsidRPr="00582C88">
          <w:rPr>
            <w:rStyle w:val="Hyperlink"/>
            <w:noProof/>
          </w:rPr>
          <w:t>Site Layout and Infrastructure</w:t>
        </w:r>
        <w:r>
          <w:rPr>
            <w:noProof/>
            <w:webHidden/>
          </w:rPr>
          <w:tab/>
        </w:r>
        <w:r>
          <w:rPr>
            <w:noProof/>
            <w:webHidden/>
          </w:rPr>
          <w:fldChar w:fldCharType="begin"/>
        </w:r>
        <w:r>
          <w:rPr>
            <w:noProof/>
            <w:webHidden/>
          </w:rPr>
          <w:instrText xml:space="preserve"> PAGEREF _Toc211513078 \h </w:instrText>
        </w:r>
        <w:r>
          <w:rPr>
            <w:noProof/>
            <w:webHidden/>
          </w:rPr>
        </w:r>
        <w:r>
          <w:rPr>
            <w:noProof/>
            <w:webHidden/>
          </w:rPr>
          <w:fldChar w:fldCharType="separate"/>
        </w:r>
        <w:r>
          <w:rPr>
            <w:noProof/>
            <w:webHidden/>
          </w:rPr>
          <w:t>22</w:t>
        </w:r>
        <w:r>
          <w:rPr>
            <w:noProof/>
            <w:webHidden/>
          </w:rPr>
          <w:fldChar w:fldCharType="end"/>
        </w:r>
      </w:hyperlink>
    </w:p>
    <w:p w14:paraId="2E1C811E" w14:textId="1F2F9667" w:rsidR="00A12614" w:rsidRDefault="00A12614">
      <w:pPr>
        <w:pStyle w:val="TOC2"/>
        <w:rPr>
          <w:noProof/>
          <w:color w:val="auto"/>
          <w:kern w:val="2"/>
          <w:szCs w:val="24"/>
          <w:lang w:eastAsia="en-GB"/>
          <w14:ligatures w14:val="standardContextual"/>
        </w:rPr>
      </w:pPr>
      <w:hyperlink w:anchor="_Toc211513079" w:history="1">
        <w:r w:rsidRPr="00582C88">
          <w:rPr>
            <w:rStyle w:val="Hyperlink"/>
            <w:noProof/>
          </w:rPr>
          <w:t>A3.3</w:t>
        </w:r>
        <w:r>
          <w:rPr>
            <w:noProof/>
            <w:color w:val="auto"/>
            <w:kern w:val="2"/>
            <w:szCs w:val="24"/>
            <w:lang w:eastAsia="en-GB"/>
            <w14:ligatures w14:val="standardContextual"/>
          </w:rPr>
          <w:tab/>
        </w:r>
        <w:r w:rsidRPr="00582C88">
          <w:rPr>
            <w:rStyle w:val="Hyperlink"/>
            <w:noProof/>
          </w:rPr>
          <w:t>Vehicle Restraint and Impact Protection Systems</w:t>
        </w:r>
        <w:r>
          <w:rPr>
            <w:noProof/>
            <w:webHidden/>
          </w:rPr>
          <w:tab/>
        </w:r>
        <w:r>
          <w:rPr>
            <w:noProof/>
            <w:webHidden/>
          </w:rPr>
          <w:fldChar w:fldCharType="begin"/>
        </w:r>
        <w:r>
          <w:rPr>
            <w:noProof/>
            <w:webHidden/>
          </w:rPr>
          <w:instrText xml:space="preserve"> PAGEREF _Toc211513079 \h </w:instrText>
        </w:r>
        <w:r>
          <w:rPr>
            <w:noProof/>
            <w:webHidden/>
          </w:rPr>
        </w:r>
        <w:r>
          <w:rPr>
            <w:noProof/>
            <w:webHidden/>
          </w:rPr>
          <w:fldChar w:fldCharType="separate"/>
        </w:r>
        <w:r>
          <w:rPr>
            <w:noProof/>
            <w:webHidden/>
          </w:rPr>
          <w:t>24</w:t>
        </w:r>
        <w:r>
          <w:rPr>
            <w:noProof/>
            <w:webHidden/>
          </w:rPr>
          <w:fldChar w:fldCharType="end"/>
        </w:r>
      </w:hyperlink>
    </w:p>
    <w:p w14:paraId="16922255" w14:textId="2954C574" w:rsidR="00A12614" w:rsidRDefault="00A12614">
      <w:pPr>
        <w:pStyle w:val="TOC2"/>
        <w:rPr>
          <w:noProof/>
          <w:color w:val="auto"/>
          <w:kern w:val="2"/>
          <w:szCs w:val="24"/>
          <w:lang w:eastAsia="en-GB"/>
          <w14:ligatures w14:val="standardContextual"/>
        </w:rPr>
      </w:pPr>
      <w:hyperlink w:anchor="_Toc211513080" w:history="1">
        <w:r w:rsidRPr="00582C88">
          <w:rPr>
            <w:rStyle w:val="Hyperlink"/>
            <w:noProof/>
          </w:rPr>
          <w:t>A3.4</w:t>
        </w:r>
        <w:r>
          <w:rPr>
            <w:noProof/>
            <w:color w:val="auto"/>
            <w:kern w:val="2"/>
            <w:szCs w:val="24"/>
            <w:lang w:eastAsia="en-GB"/>
            <w14:ligatures w14:val="standardContextual"/>
          </w:rPr>
          <w:tab/>
        </w:r>
        <w:r w:rsidRPr="00582C88">
          <w:rPr>
            <w:rStyle w:val="Hyperlink"/>
            <w:noProof/>
          </w:rPr>
          <w:t>Traffic Signs and Road Markings</w:t>
        </w:r>
        <w:r>
          <w:rPr>
            <w:noProof/>
            <w:webHidden/>
          </w:rPr>
          <w:tab/>
        </w:r>
        <w:r>
          <w:rPr>
            <w:noProof/>
            <w:webHidden/>
          </w:rPr>
          <w:fldChar w:fldCharType="begin"/>
        </w:r>
        <w:r>
          <w:rPr>
            <w:noProof/>
            <w:webHidden/>
          </w:rPr>
          <w:instrText xml:space="preserve"> PAGEREF _Toc211513080 \h </w:instrText>
        </w:r>
        <w:r>
          <w:rPr>
            <w:noProof/>
            <w:webHidden/>
          </w:rPr>
        </w:r>
        <w:r>
          <w:rPr>
            <w:noProof/>
            <w:webHidden/>
          </w:rPr>
          <w:fldChar w:fldCharType="separate"/>
        </w:r>
        <w:r>
          <w:rPr>
            <w:noProof/>
            <w:webHidden/>
          </w:rPr>
          <w:t>24</w:t>
        </w:r>
        <w:r>
          <w:rPr>
            <w:noProof/>
            <w:webHidden/>
          </w:rPr>
          <w:fldChar w:fldCharType="end"/>
        </w:r>
      </w:hyperlink>
    </w:p>
    <w:p w14:paraId="7F3BE6D3" w14:textId="70FEC3C2" w:rsidR="00A12614" w:rsidRDefault="00A12614">
      <w:pPr>
        <w:pStyle w:val="TOC2"/>
        <w:rPr>
          <w:noProof/>
          <w:color w:val="auto"/>
          <w:kern w:val="2"/>
          <w:szCs w:val="24"/>
          <w:lang w:eastAsia="en-GB"/>
          <w14:ligatures w14:val="standardContextual"/>
        </w:rPr>
      </w:pPr>
      <w:hyperlink w:anchor="_Toc211513081" w:history="1">
        <w:r w:rsidRPr="00582C88">
          <w:rPr>
            <w:rStyle w:val="Hyperlink"/>
            <w:noProof/>
          </w:rPr>
          <w:t>A3.5</w:t>
        </w:r>
        <w:r>
          <w:rPr>
            <w:noProof/>
            <w:color w:val="auto"/>
            <w:kern w:val="2"/>
            <w:szCs w:val="24"/>
            <w:lang w:eastAsia="en-GB"/>
            <w14:ligatures w14:val="standardContextual"/>
          </w:rPr>
          <w:tab/>
        </w:r>
        <w:r w:rsidRPr="00582C88">
          <w:rPr>
            <w:rStyle w:val="Hyperlink"/>
            <w:noProof/>
          </w:rPr>
          <w:t>Electrical Installations</w:t>
        </w:r>
        <w:r>
          <w:rPr>
            <w:noProof/>
            <w:webHidden/>
          </w:rPr>
          <w:tab/>
        </w:r>
        <w:r>
          <w:rPr>
            <w:noProof/>
            <w:webHidden/>
          </w:rPr>
          <w:fldChar w:fldCharType="begin"/>
        </w:r>
        <w:r>
          <w:rPr>
            <w:noProof/>
            <w:webHidden/>
          </w:rPr>
          <w:instrText xml:space="preserve"> PAGEREF _Toc211513081 \h </w:instrText>
        </w:r>
        <w:r>
          <w:rPr>
            <w:noProof/>
            <w:webHidden/>
          </w:rPr>
        </w:r>
        <w:r>
          <w:rPr>
            <w:noProof/>
            <w:webHidden/>
          </w:rPr>
          <w:fldChar w:fldCharType="separate"/>
        </w:r>
        <w:r>
          <w:rPr>
            <w:noProof/>
            <w:webHidden/>
          </w:rPr>
          <w:t>25</w:t>
        </w:r>
        <w:r>
          <w:rPr>
            <w:noProof/>
            <w:webHidden/>
          </w:rPr>
          <w:fldChar w:fldCharType="end"/>
        </w:r>
      </w:hyperlink>
    </w:p>
    <w:p w14:paraId="38132596" w14:textId="7ECF7B5B" w:rsidR="00A12614" w:rsidRDefault="00A12614">
      <w:pPr>
        <w:pStyle w:val="TOC2"/>
        <w:rPr>
          <w:noProof/>
          <w:color w:val="auto"/>
          <w:kern w:val="2"/>
          <w:szCs w:val="24"/>
          <w:lang w:eastAsia="en-GB"/>
          <w14:ligatures w14:val="standardContextual"/>
        </w:rPr>
      </w:pPr>
      <w:hyperlink w:anchor="_Toc211513082" w:history="1">
        <w:r w:rsidRPr="00582C88">
          <w:rPr>
            <w:rStyle w:val="Hyperlink"/>
            <w:noProof/>
          </w:rPr>
          <w:t>A3.6</w:t>
        </w:r>
        <w:r>
          <w:rPr>
            <w:noProof/>
            <w:color w:val="auto"/>
            <w:kern w:val="2"/>
            <w:szCs w:val="24"/>
            <w:lang w:eastAsia="en-GB"/>
            <w14:ligatures w14:val="standardContextual"/>
          </w:rPr>
          <w:tab/>
        </w:r>
        <w:r w:rsidRPr="00582C88">
          <w:rPr>
            <w:rStyle w:val="Hyperlink"/>
            <w:noProof/>
          </w:rPr>
          <w:t>Fire Safety</w:t>
        </w:r>
        <w:r>
          <w:rPr>
            <w:noProof/>
            <w:webHidden/>
          </w:rPr>
          <w:tab/>
        </w:r>
        <w:r>
          <w:rPr>
            <w:noProof/>
            <w:webHidden/>
          </w:rPr>
          <w:fldChar w:fldCharType="begin"/>
        </w:r>
        <w:r>
          <w:rPr>
            <w:noProof/>
            <w:webHidden/>
          </w:rPr>
          <w:instrText xml:space="preserve"> PAGEREF _Toc211513082 \h </w:instrText>
        </w:r>
        <w:r>
          <w:rPr>
            <w:noProof/>
            <w:webHidden/>
          </w:rPr>
        </w:r>
        <w:r>
          <w:rPr>
            <w:noProof/>
            <w:webHidden/>
          </w:rPr>
          <w:fldChar w:fldCharType="separate"/>
        </w:r>
        <w:r>
          <w:rPr>
            <w:noProof/>
            <w:webHidden/>
          </w:rPr>
          <w:t>25</w:t>
        </w:r>
        <w:r>
          <w:rPr>
            <w:noProof/>
            <w:webHidden/>
          </w:rPr>
          <w:fldChar w:fldCharType="end"/>
        </w:r>
      </w:hyperlink>
    </w:p>
    <w:p w14:paraId="5195CBED" w14:textId="6CDD5860" w:rsidR="00A12614" w:rsidRDefault="00A12614">
      <w:pPr>
        <w:pStyle w:val="TOC2"/>
        <w:rPr>
          <w:noProof/>
          <w:color w:val="auto"/>
          <w:kern w:val="2"/>
          <w:szCs w:val="24"/>
          <w:lang w:eastAsia="en-GB"/>
          <w14:ligatures w14:val="standardContextual"/>
        </w:rPr>
      </w:pPr>
      <w:hyperlink w:anchor="_Toc211513083" w:history="1">
        <w:r w:rsidRPr="00582C88">
          <w:rPr>
            <w:rStyle w:val="Hyperlink"/>
            <w:noProof/>
          </w:rPr>
          <w:t>A3.7</w:t>
        </w:r>
        <w:r>
          <w:rPr>
            <w:noProof/>
            <w:color w:val="auto"/>
            <w:kern w:val="2"/>
            <w:szCs w:val="24"/>
            <w:lang w:eastAsia="en-GB"/>
            <w14:ligatures w14:val="standardContextual"/>
          </w:rPr>
          <w:tab/>
        </w:r>
        <w:r w:rsidRPr="00582C88">
          <w:rPr>
            <w:rStyle w:val="Hyperlink"/>
            <w:noProof/>
          </w:rPr>
          <w:t>Site Identification</w:t>
        </w:r>
        <w:r>
          <w:rPr>
            <w:noProof/>
            <w:webHidden/>
          </w:rPr>
          <w:tab/>
        </w:r>
        <w:r>
          <w:rPr>
            <w:noProof/>
            <w:webHidden/>
          </w:rPr>
          <w:fldChar w:fldCharType="begin"/>
        </w:r>
        <w:r>
          <w:rPr>
            <w:noProof/>
            <w:webHidden/>
          </w:rPr>
          <w:instrText xml:space="preserve"> PAGEREF _Toc211513083 \h </w:instrText>
        </w:r>
        <w:r>
          <w:rPr>
            <w:noProof/>
            <w:webHidden/>
          </w:rPr>
        </w:r>
        <w:r>
          <w:rPr>
            <w:noProof/>
            <w:webHidden/>
          </w:rPr>
          <w:fldChar w:fldCharType="separate"/>
        </w:r>
        <w:r>
          <w:rPr>
            <w:noProof/>
            <w:webHidden/>
          </w:rPr>
          <w:t>26</w:t>
        </w:r>
        <w:r>
          <w:rPr>
            <w:noProof/>
            <w:webHidden/>
          </w:rPr>
          <w:fldChar w:fldCharType="end"/>
        </w:r>
      </w:hyperlink>
    </w:p>
    <w:p w14:paraId="7ABD142B" w14:textId="0F3AAE3E" w:rsidR="00A12614" w:rsidRDefault="00A12614">
      <w:pPr>
        <w:pStyle w:val="TOC1"/>
        <w:tabs>
          <w:tab w:val="left" w:pos="851"/>
        </w:tabs>
        <w:rPr>
          <w:noProof/>
          <w:color w:val="auto"/>
          <w:kern w:val="2"/>
          <w:szCs w:val="24"/>
          <w:lang w:eastAsia="en-GB"/>
          <w14:ligatures w14:val="standardContextual"/>
        </w:rPr>
      </w:pPr>
      <w:hyperlink w:anchor="_Toc211513084" w:history="1">
        <w:r w:rsidRPr="00582C88">
          <w:rPr>
            <w:rStyle w:val="Hyperlink"/>
            <w:noProof/>
          </w:rPr>
          <w:t>A4.</w:t>
        </w:r>
        <w:r>
          <w:rPr>
            <w:noProof/>
            <w:color w:val="auto"/>
            <w:kern w:val="2"/>
            <w:szCs w:val="24"/>
            <w:lang w:eastAsia="en-GB"/>
            <w14:ligatures w14:val="standardContextual"/>
          </w:rPr>
          <w:tab/>
        </w:r>
        <w:r w:rsidRPr="00582C88">
          <w:rPr>
            <w:rStyle w:val="Hyperlink"/>
            <w:noProof/>
          </w:rPr>
          <w:t>CHARGE POINT REQUIREMENTS</w:t>
        </w:r>
        <w:r>
          <w:rPr>
            <w:noProof/>
            <w:webHidden/>
          </w:rPr>
          <w:tab/>
        </w:r>
        <w:r>
          <w:rPr>
            <w:noProof/>
            <w:webHidden/>
          </w:rPr>
          <w:fldChar w:fldCharType="begin"/>
        </w:r>
        <w:r>
          <w:rPr>
            <w:noProof/>
            <w:webHidden/>
          </w:rPr>
          <w:instrText xml:space="preserve"> PAGEREF _Toc211513084 \h </w:instrText>
        </w:r>
        <w:r>
          <w:rPr>
            <w:noProof/>
            <w:webHidden/>
          </w:rPr>
        </w:r>
        <w:r>
          <w:rPr>
            <w:noProof/>
            <w:webHidden/>
          </w:rPr>
          <w:fldChar w:fldCharType="separate"/>
        </w:r>
        <w:r>
          <w:rPr>
            <w:noProof/>
            <w:webHidden/>
          </w:rPr>
          <w:t>27</w:t>
        </w:r>
        <w:r>
          <w:rPr>
            <w:noProof/>
            <w:webHidden/>
          </w:rPr>
          <w:fldChar w:fldCharType="end"/>
        </w:r>
      </w:hyperlink>
    </w:p>
    <w:p w14:paraId="42BBA3FE" w14:textId="4F32AD94" w:rsidR="00A12614" w:rsidRDefault="00A12614">
      <w:pPr>
        <w:pStyle w:val="TOC2"/>
        <w:rPr>
          <w:noProof/>
          <w:color w:val="auto"/>
          <w:kern w:val="2"/>
          <w:szCs w:val="24"/>
          <w:lang w:eastAsia="en-GB"/>
          <w14:ligatures w14:val="standardContextual"/>
        </w:rPr>
      </w:pPr>
      <w:hyperlink w:anchor="_Toc211513085" w:history="1">
        <w:r w:rsidRPr="00582C88">
          <w:rPr>
            <w:rStyle w:val="Hyperlink"/>
            <w:noProof/>
          </w:rPr>
          <w:t>A4.1</w:t>
        </w:r>
        <w:r>
          <w:rPr>
            <w:noProof/>
            <w:color w:val="auto"/>
            <w:kern w:val="2"/>
            <w:szCs w:val="24"/>
            <w:lang w:eastAsia="en-GB"/>
            <w14:ligatures w14:val="standardContextual"/>
          </w:rPr>
          <w:tab/>
        </w:r>
        <w:r w:rsidRPr="00582C88">
          <w:rPr>
            <w:rStyle w:val="Hyperlink"/>
            <w:noProof/>
          </w:rPr>
          <w:t>General</w:t>
        </w:r>
        <w:r>
          <w:rPr>
            <w:noProof/>
            <w:webHidden/>
          </w:rPr>
          <w:tab/>
        </w:r>
        <w:r>
          <w:rPr>
            <w:noProof/>
            <w:webHidden/>
          </w:rPr>
          <w:fldChar w:fldCharType="begin"/>
        </w:r>
        <w:r>
          <w:rPr>
            <w:noProof/>
            <w:webHidden/>
          </w:rPr>
          <w:instrText xml:space="preserve"> PAGEREF _Toc211513085 \h </w:instrText>
        </w:r>
        <w:r>
          <w:rPr>
            <w:noProof/>
            <w:webHidden/>
          </w:rPr>
        </w:r>
        <w:r>
          <w:rPr>
            <w:noProof/>
            <w:webHidden/>
          </w:rPr>
          <w:fldChar w:fldCharType="separate"/>
        </w:r>
        <w:r>
          <w:rPr>
            <w:noProof/>
            <w:webHidden/>
          </w:rPr>
          <w:t>27</w:t>
        </w:r>
        <w:r>
          <w:rPr>
            <w:noProof/>
            <w:webHidden/>
          </w:rPr>
          <w:fldChar w:fldCharType="end"/>
        </w:r>
      </w:hyperlink>
    </w:p>
    <w:p w14:paraId="338F102E" w14:textId="58500A9D" w:rsidR="00A12614" w:rsidRDefault="00A12614">
      <w:pPr>
        <w:pStyle w:val="TOC2"/>
        <w:rPr>
          <w:noProof/>
          <w:color w:val="auto"/>
          <w:kern w:val="2"/>
          <w:szCs w:val="24"/>
          <w:lang w:eastAsia="en-GB"/>
          <w14:ligatures w14:val="standardContextual"/>
        </w:rPr>
      </w:pPr>
      <w:hyperlink w:anchor="_Toc211513086" w:history="1">
        <w:r w:rsidRPr="00582C88">
          <w:rPr>
            <w:rStyle w:val="Hyperlink"/>
            <w:noProof/>
          </w:rPr>
          <w:t>A4.2</w:t>
        </w:r>
        <w:r>
          <w:rPr>
            <w:noProof/>
            <w:color w:val="auto"/>
            <w:kern w:val="2"/>
            <w:szCs w:val="24"/>
            <w:lang w:eastAsia="en-GB"/>
            <w14:ligatures w14:val="standardContextual"/>
          </w:rPr>
          <w:tab/>
        </w:r>
        <w:r w:rsidRPr="00582C88">
          <w:rPr>
            <w:rStyle w:val="Hyperlink"/>
            <w:noProof/>
          </w:rPr>
          <w:t>Charging Equipment – Common Requirements</w:t>
        </w:r>
        <w:r>
          <w:rPr>
            <w:noProof/>
            <w:webHidden/>
          </w:rPr>
          <w:tab/>
        </w:r>
        <w:r>
          <w:rPr>
            <w:noProof/>
            <w:webHidden/>
          </w:rPr>
          <w:fldChar w:fldCharType="begin"/>
        </w:r>
        <w:r>
          <w:rPr>
            <w:noProof/>
            <w:webHidden/>
          </w:rPr>
          <w:instrText xml:space="preserve"> PAGEREF _Toc211513086 \h </w:instrText>
        </w:r>
        <w:r>
          <w:rPr>
            <w:noProof/>
            <w:webHidden/>
          </w:rPr>
        </w:r>
        <w:r>
          <w:rPr>
            <w:noProof/>
            <w:webHidden/>
          </w:rPr>
          <w:fldChar w:fldCharType="separate"/>
        </w:r>
        <w:r>
          <w:rPr>
            <w:noProof/>
            <w:webHidden/>
          </w:rPr>
          <w:t>27</w:t>
        </w:r>
        <w:r>
          <w:rPr>
            <w:noProof/>
            <w:webHidden/>
          </w:rPr>
          <w:fldChar w:fldCharType="end"/>
        </w:r>
      </w:hyperlink>
    </w:p>
    <w:p w14:paraId="126C8470" w14:textId="43718AF1" w:rsidR="00A12614" w:rsidRDefault="00A12614">
      <w:pPr>
        <w:pStyle w:val="TOC2"/>
        <w:rPr>
          <w:noProof/>
          <w:color w:val="auto"/>
          <w:kern w:val="2"/>
          <w:szCs w:val="24"/>
          <w:lang w:eastAsia="en-GB"/>
          <w14:ligatures w14:val="standardContextual"/>
        </w:rPr>
      </w:pPr>
      <w:hyperlink w:anchor="_Toc211513087" w:history="1">
        <w:r w:rsidRPr="00582C88">
          <w:rPr>
            <w:rStyle w:val="Hyperlink"/>
            <w:noProof/>
          </w:rPr>
          <w:t>A4.3</w:t>
        </w:r>
        <w:r>
          <w:rPr>
            <w:noProof/>
            <w:color w:val="auto"/>
            <w:kern w:val="2"/>
            <w:szCs w:val="24"/>
            <w:lang w:eastAsia="en-GB"/>
            <w14:ligatures w14:val="standardContextual"/>
          </w:rPr>
          <w:tab/>
        </w:r>
        <w:r w:rsidRPr="00582C88">
          <w:rPr>
            <w:rStyle w:val="Hyperlink"/>
            <w:noProof/>
          </w:rPr>
          <w:t>Physical Characteristics</w:t>
        </w:r>
        <w:r>
          <w:rPr>
            <w:noProof/>
            <w:webHidden/>
          </w:rPr>
          <w:tab/>
        </w:r>
        <w:r>
          <w:rPr>
            <w:noProof/>
            <w:webHidden/>
          </w:rPr>
          <w:fldChar w:fldCharType="begin"/>
        </w:r>
        <w:r>
          <w:rPr>
            <w:noProof/>
            <w:webHidden/>
          </w:rPr>
          <w:instrText xml:space="preserve"> PAGEREF _Toc211513087 \h </w:instrText>
        </w:r>
        <w:r>
          <w:rPr>
            <w:noProof/>
            <w:webHidden/>
          </w:rPr>
        </w:r>
        <w:r>
          <w:rPr>
            <w:noProof/>
            <w:webHidden/>
          </w:rPr>
          <w:fldChar w:fldCharType="separate"/>
        </w:r>
        <w:r>
          <w:rPr>
            <w:noProof/>
            <w:webHidden/>
          </w:rPr>
          <w:t>29</w:t>
        </w:r>
        <w:r>
          <w:rPr>
            <w:noProof/>
            <w:webHidden/>
          </w:rPr>
          <w:fldChar w:fldCharType="end"/>
        </w:r>
      </w:hyperlink>
    </w:p>
    <w:p w14:paraId="68217A5A" w14:textId="7D4C265C" w:rsidR="00A12614" w:rsidRDefault="00A12614">
      <w:pPr>
        <w:pStyle w:val="TOC2"/>
        <w:rPr>
          <w:noProof/>
          <w:color w:val="auto"/>
          <w:kern w:val="2"/>
          <w:szCs w:val="24"/>
          <w:lang w:eastAsia="en-GB"/>
          <w14:ligatures w14:val="standardContextual"/>
        </w:rPr>
      </w:pPr>
      <w:hyperlink w:anchor="_Toc211513088" w:history="1">
        <w:r w:rsidRPr="00582C88">
          <w:rPr>
            <w:rStyle w:val="Hyperlink"/>
            <w:noProof/>
          </w:rPr>
          <w:t>A4.4</w:t>
        </w:r>
        <w:r>
          <w:rPr>
            <w:noProof/>
            <w:color w:val="auto"/>
            <w:kern w:val="2"/>
            <w:szCs w:val="24"/>
            <w:lang w:eastAsia="en-GB"/>
            <w14:ligatures w14:val="standardContextual"/>
          </w:rPr>
          <w:tab/>
        </w:r>
        <w:r w:rsidRPr="00582C88">
          <w:rPr>
            <w:rStyle w:val="Hyperlink"/>
            <w:noProof/>
          </w:rPr>
          <w:t>Installation</w:t>
        </w:r>
        <w:r>
          <w:rPr>
            <w:noProof/>
            <w:webHidden/>
          </w:rPr>
          <w:tab/>
        </w:r>
        <w:r>
          <w:rPr>
            <w:noProof/>
            <w:webHidden/>
          </w:rPr>
          <w:fldChar w:fldCharType="begin"/>
        </w:r>
        <w:r>
          <w:rPr>
            <w:noProof/>
            <w:webHidden/>
          </w:rPr>
          <w:instrText xml:space="preserve"> PAGEREF _Toc211513088 \h </w:instrText>
        </w:r>
        <w:r>
          <w:rPr>
            <w:noProof/>
            <w:webHidden/>
          </w:rPr>
        </w:r>
        <w:r>
          <w:rPr>
            <w:noProof/>
            <w:webHidden/>
          </w:rPr>
          <w:fldChar w:fldCharType="separate"/>
        </w:r>
        <w:r>
          <w:rPr>
            <w:noProof/>
            <w:webHidden/>
          </w:rPr>
          <w:t>30</w:t>
        </w:r>
        <w:r>
          <w:rPr>
            <w:noProof/>
            <w:webHidden/>
          </w:rPr>
          <w:fldChar w:fldCharType="end"/>
        </w:r>
      </w:hyperlink>
    </w:p>
    <w:p w14:paraId="675FBB57" w14:textId="5F4BB55B" w:rsidR="00A12614" w:rsidRDefault="00A12614">
      <w:pPr>
        <w:pStyle w:val="TOC2"/>
        <w:rPr>
          <w:noProof/>
          <w:color w:val="auto"/>
          <w:kern w:val="2"/>
          <w:szCs w:val="24"/>
          <w:lang w:eastAsia="en-GB"/>
          <w14:ligatures w14:val="standardContextual"/>
        </w:rPr>
      </w:pPr>
      <w:hyperlink w:anchor="_Toc211513089" w:history="1">
        <w:r w:rsidRPr="00582C88">
          <w:rPr>
            <w:rStyle w:val="Hyperlink"/>
            <w:noProof/>
          </w:rPr>
          <w:t>A4.5</w:t>
        </w:r>
        <w:r>
          <w:rPr>
            <w:noProof/>
            <w:color w:val="auto"/>
            <w:kern w:val="2"/>
            <w:szCs w:val="24"/>
            <w:lang w:eastAsia="en-GB"/>
            <w14:ligatures w14:val="standardContextual"/>
          </w:rPr>
          <w:tab/>
        </w:r>
        <w:r w:rsidRPr="00582C88">
          <w:rPr>
            <w:rStyle w:val="Hyperlink"/>
            <w:noProof/>
          </w:rPr>
          <w:t>User Interface</w:t>
        </w:r>
        <w:r>
          <w:rPr>
            <w:noProof/>
            <w:webHidden/>
          </w:rPr>
          <w:tab/>
        </w:r>
        <w:r>
          <w:rPr>
            <w:noProof/>
            <w:webHidden/>
          </w:rPr>
          <w:fldChar w:fldCharType="begin"/>
        </w:r>
        <w:r>
          <w:rPr>
            <w:noProof/>
            <w:webHidden/>
          </w:rPr>
          <w:instrText xml:space="preserve"> PAGEREF _Toc211513089 \h </w:instrText>
        </w:r>
        <w:r>
          <w:rPr>
            <w:noProof/>
            <w:webHidden/>
          </w:rPr>
        </w:r>
        <w:r>
          <w:rPr>
            <w:noProof/>
            <w:webHidden/>
          </w:rPr>
          <w:fldChar w:fldCharType="separate"/>
        </w:r>
        <w:r>
          <w:rPr>
            <w:noProof/>
            <w:webHidden/>
          </w:rPr>
          <w:t>30</w:t>
        </w:r>
        <w:r>
          <w:rPr>
            <w:noProof/>
            <w:webHidden/>
          </w:rPr>
          <w:fldChar w:fldCharType="end"/>
        </w:r>
      </w:hyperlink>
    </w:p>
    <w:p w14:paraId="5EA2E0FB" w14:textId="257364C7" w:rsidR="00A12614" w:rsidRDefault="00A12614">
      <w:pPr>
        <w:pStyle w:val="TOC2"/>
        <w:rPr>
          <w:noProof/>
          <w:color w:val="auto"/>
          <w:kern w:val="2"/>
          <w:szCs w:val="24"/>
          <w:lang w:eastAsia="en-GB"/>
          <w14:ligatures w14:val="standardContextual"/>
        </w:rPr>
      </w:pPr>
      <w:hyperlink w:anchor="_Toc211513090" w:history="1">
        <w:r w:rsidRPr="00582C88">
          <w:rPr>
            <w:rStyle w:val="Hyperlink"/>
            <w:noProof/>
          </w:rPr>
          <w:t>A4.6</w:t>
        </w:r>
        <w:r>
          <w:rPr>
            <w:noProof/>
            <w:color w:val="auto"/>
            <w:kern w:val="2"/>
            <w:szCs w:val="24"/>
            <w:lang w:eastAsia="en-GB"/>
            <w14:ligatures w14:val="standardContextual"/>
          </w:rPr>
          <w:tab/>
        </w:r>
        <w:r w:rsidRPr="00582C88">
          <w:rPr>
            <w:rStyle w:val="Hyperlink"/>
            <w:noProof/>
          </w:rPr>
          <w:t>Product Acceptance Testing and Site Acceptance Testing</w:t>
        </w:r>
        <w:r>
          <w:rPr>
            <w:noProof/>
            <w:webHidden/>
          </w:rPr>
          <w:tab/>
        </w:r>
        <w:r>
          <w:rPr>
            <w:noProof/>
            <w:webHidden/>
          </w:rPr>
          <w:fldChar w:fldCharType="begin"/>
        </w:r>
        <w:r>
          <w:rPr>
            <w:noProof/>
            <w:webHidden/>
          </w:rPr>
          <w:instrText xml:space="preserve"> PAGEREF _Toc211513090 \h </w:instrText>
        </w:r>
        <w:r>
          <w:rPr>
            <w:noProof/>
            <w:webHidden/>
          </w:rPr>
        </w:r>
        <w:r>
          <w:rPr>
            <w:noProof/>
            <w:webHidden/>
          </w:rPr>
          <w:fldChar w:fldCharType="separate"/>
        </w:r>
        <w:r>
          <w:rPr>
            <w:noProof/>
            <w:webHidden/>
          </w:rPr>
          <w:t>31</w:t>
        </w:r>
        <w:r>
          <w:rPr>
            <w:noProof/>
            <w:webHidden/>
          </w:rPr>
          <w:fldChar w:fldCharType="end"/>
        </w:r>
      </w:hyperlink>
    </w:p>
    <w:p w14:paraId="299DD800" w14:textId="027F75ED" w:rsidR="00A12614" w:rsidRDefault="00A12614">
      <w:pPr>
        <w:pStyle w:val="TOC2"/>
        <w:rPr>
          <w:noProof/>
          <w:color w:val="auto"/>
          <w:kern w:val="2"/>
          <w:szCs w:val="24"/>
          <w:lang w:eastAsia="en-GB"/>
          <w14:ligatures w14:val="standardContextual"/>
        </w:rPr>
      </w:pPr>
      <w:hyperlink w:anchor="_Toc211513091" w:history="1">
        <w:r w:rsidRPr="00582C88">
          <w:rPr>
            <w:rStyle w:val="Hyperlink"/>
            <w:noProof/>
          </w:rPr>
          <w:t>A4.7</w:t>
        </w:r>
        <w:r>
          <w:rPr>
            <w:noProof/>
            <w:color w:val="auto"/>
            <w:kern w:val="2"/>
            <w:szCs w:val="24"/>
            <w:lang w:eastAsia="en-GB"/>
            <w14:ligatures w14:val="standardContextual"/>
          </w:rPr>
          <w:tab/>
        </w:r>
        <w:r w:rsidRPr="00582C88">
          <w:rPr>
            <w:rStyle w:val="Hyperlink"/>
            <w:noProof/>
          </w:rPr>
          <w:t>Warranty</w:t>
        </w:r>
        <w:r>
          <w:rPr>
            <w:noProof/>
            <w:webHidden/>
          </w:rPr>
          <w:tab/>
        </w:r>
        <w:r>
          <w:rPr>
            <w:noProof/>
            <w:webHidden/>
          </w:rPr>
          <w:fldChar w:fldCharType="begin"/>
        </w:r>
        <w:r>
          <w:rPr>
            <w:noProof/>
            <w:webHidden/>
          </w:rPr>
          <w:instrText xml:space="preserve"> PAGEREF _Toc211513091 \h </w:instrText>
        </w:r>
        <w:r>
          <w:rPr>
            <w:noProof/>
            <w:webHidden/>
          </w:rPr>
        </w:r>
        <w:r>
          <w:rPr>
            <w:noProof/>
            <w:webHidden/>
          </w:rPr>
          <w:fldChar w:fldCharType="separate"/>
        </w:r>
        <w:r>
          <w:rPr>
            <w:noProof/>
            <w:webHidden/>
          </w:rPr>
          <w:t>31</w:t>
        </w:r>
        <w:r>
          <w:rPr>
            <w:noProof/>
            <w:webHidden/>
          </w:rPr>
          <w:fldChar w:fldCharType="end"/>
        </w:r>
      </w:hyperlink>
    </w:p>
    <w:p w14:paraId="2774312C" w14:textId="7D86F99C" w:rsidR="00A12614" w:rsidRDefault="00A12614">
      <w:pPr>
        <w:pStyle w:val="TOC1"/>
        <w:tabs>
          <w:tab w:val="left" w:pos="851"/>
        </w:tabs>
        <w:rPr>
          <w:noProof/>
          <w:color w:val="auto"/>
          <w:kern w:val="2"/>
          <w:szCs w:val="24"/>
          <w:lang w:eastAsia="en-GB"/>
          <w14:ligatures w14:val="standardContextual"/>
        </w:rPr>
      </w:pPr>
      <w:hyperlink w:anchor="_Toc211513092" w:history="1">
        <w:r w:rsidRPr="00582C88">
          <w:rPr>
            <w:rStyle w:val="Hyperlink"/>
            <w:noProof/>
          </w:rPr>
          <w:t>A5.</w:t>
        </w:r>
        <w:r>
          <w:rPr>
            <w:noProof/>
            <w:color w:val="auto"/>
            <w:kern w:val="2"/>
            <w:szCs w:val="24"/>
            <w:lang w:eastAsia="en-GB"/>
            <w14:ligatures w14:val="standardContextual"/>
          </w:rPr>
          <w:tab/>
        </w:r>
        <w:r w:rsidRPr="00582C88">
          <w:rPr>
            <w:rStyle w:val="Hyperlink"/>
            <w:noProof/>
          </w:rPr>
          <w:t>IACC BRANDING GUIDELINES</w:t>
        </w:r>
        <w:r>
          <w:rPr>
            <w:noProof/>
            <w:webHidden/>
          </w:rPr>
          <w:tab/>
        </w:r>
        <w:r>
          <w:rPr>
            <w:noProof/>
            <w:webHidden/>
          </w:rPr>
          <w:fldChar w:fldCharType="begin"/>
        </w:r>
        <w:r>
          <w:rPr>
            <w:noProof/>
            <w:webHidden/>
          </w:rPr>
          <w:instrText xml:space="preserve"> PAGEREF _Toc211513092 \h </w:instrText>
        </w:r>
        <w:r>
          <w:rPr>
            <w:noProof/>
            <w:webHidden/>
          </w:rPr>
        </w:r>
        <w:r>
          <w:rPr>
            <w:noProof/>
            <w:webHidden/>
          </w:rPr>
          <w:fldChar w:fldCharType="separate"/>
        </w:r>
        <w:r>
          <w:rPr>
            <w:noProof/>
            <w:webHidden/>
          </w:rPr>
          <w:t>32</w:t>
        </w:r>
        <w:r>
          <w:rPr>
            <w:noProof/>
            <w:webHidden/>
          </w:rPr>
          <w:fldChar w:fldCharType="end"/>
        </w:r>
      </w:hyperlink>
    </w:p>
    <w:p w14:paraId="2F8F2F2A" w14:textId="579C5955" w:rsidR="00A12614" w:rsidRDefault="00A12614">
      <w:pPr>
        <w:pStyle w:val="TOC2"/>
        <w:rPr>
          <w:noProof/>
          <w:color w:val="auto"/>
          <w:kern w:val="2"/>
          <w:szCs w:val="24"/>
          <w:lang w:eastAsia="en-GB"/>
          <w14:ligatures w14:val="standardContextual"/>
        </w:rPr>
      </w:pPr>
      <w:hyperlink w:anchor="_Toc211513093" w:history="1">
        <w:r w:rsidRPr="00582C88">
          <w:rPr>
            <w:rStyle w:val="Hyperlink"/>
            <w:noProof/>
          </w:rPr>
          <w:t>A5.1</w:t>
        </w:r>
        <w:r>
          <w:rPr>
            <w:noProof/>
            <w:color w:val="auto"/>
            <w:kern w:val="2"/>
            <w:szCs w:val="24"/>
            <w:lang w:eastAsia="en-GB"/>
            <w14:ligatures w14:val="standardContextual"/>
          </w:rPr>
          <w:tab/>
        </w:r>
        <w:r w:rsidRPr="00582C88">
          <w:rPr>
            <w:rStyle w:val="Hyperlink"/>
            <w:noProof/>
          </w:rPr>
          <w:t>Logo Variants</w:t>
        </w:r>
        <w:r>
          <w:rPr>
            <w:noProof/>
            <w:webHidden/>
          </w:rPr>
          <w:tab/>
        </w:r>
        <w:r>
          <w:rPr>
            <w:noProof/>
            <w:webHidden/>
          </w:rPr>
          <w:fldChar w:fldCharType="begin"/>
        </w:r>
        <w:r>
          <w:rPr>
            <w:noProof/>
            <w:webHidden/>
          </w:rPr>
          <w:instrText xml:space="preserve"> PAGEREF _Toc211513093 \h </w:instrText>
        </w:r>
        <w:r>
          <w:rPr>
            <w:noProof/>
            <w:webHidden/>
          </w:rPr>
        </w:r>
        <w:r>
          <w:rPr>
            <w:noProof/>
            <w:webHidden/>
          </w:rPr>
          <w:fldChar w:fldCharType="separate"/>
        </w:r>
        <w:r>
          <w:rPr>
            <w:noProof/>
            <w:webHidden/>
          </w:rPr>
          <w:t>32</w:t>
        </w:r>
        <w:r>
          <w:rPr>
            <w:noProof/>
            <w:webHidden/>
          </w:rPr>
          <w:fldChar w:fldCharType="end"/>
        </w:r>
      </w:hyperlink>
    </w:p>
    <w:p w14:paraId="2311315B" w14:textId="5CF5719C" w:rsidR="00A12614" w:rsidRDefault="00A12614">
      <w:pPr>
        <w:pStyle w:val="TOC2"/>
        <w:rPr>
          <w:noProof/>
          <w:color w:val="auto"/>
          <w:kern w:val="2"/>
          <w:szCs w:val="24"/>
          <w:lang w:eastAsia="en-GB"/>
          <w14:ligatures w14:val="standardContextual"/>
        </w:rPr>
      </w:pPr>
      <w:hyperlink w:anchor="_Toc211513094" w:history="1">
        <w:r w:rsidRPr="00582C88">
          <w:rPr>
            <w:rStyle w:val="Hyperlink"/>
            <w:noProof/>
          </w:rPr>
          <w:t>A5.2</w:t>
        </w:r>
        <w:r>
          <w:rPr>
            <w:noProof/>
            <w:color w:val="auto"/>
            <w:kern w:val="2"/>
            <w:szCs w:val="24"/>
            <w:lang w:eastAsia="en-GB"/>
            <w14:ligatures w14:val="standardContextual"/>
          </w:rPr>
          <w:tab/>
        </w:r>
        <w:r w:rsidRPr="00582C88">
          <w:rPr>
            <w:rStyle w:val="Hyperlink"/>
            <w:noProof/>
          </w:rPr>
          <w:t>Logo Usage</w:t>
        </w:r>
        <w:r>
          <w:rPr>
            <w:noProof/>
            <w:webHidden/>
          </w:rPr>
          <w:tab/>
        </w:r>
        <w:r>
          <w:rPr>
            <w:noProof/>
            <w:webHidden/>
          </w:rPr>
          <w:fldChar w:fldCharType="begin"/>
        </w:r>
        <w:r>
          <w:rPr>
            <w:noProof/>
            <w:webHidden/>
          </w:rPr>
          <w:instrText xml:space="preserve"> PAGEREF _Toc211513094 \h </w:instrText>
        </w:r>
        <w:r>
          <w:rPr>
            <w:noProof/>
            <w:webHidden/>
          </w:rPr>
        </w:r>
        <w:r>
          <w:rPr>
            <w:noProof/>
            <w:webHidden/>
          </w:rPr>
          <w:fldChar w:fldCharType="separate"/>
        </w:r>
        <w:r>
          <w:rPr>
            <w:noProof/>
            <w:webHidden/>
          </w:rPr>
          <w:t>32</w:t>
        </w:r>
        <w:r>
          <w:rPr>
            <w:noProof/>
            <w:webHidden/>
          </w:rPr>
          <w:fldChar w:fldCharType="end"/>
        </w:r>
      </w:hyperlink>
    </w:p>
    <w:p w14:paraId="659F3464" w14:textId="5C0A7017" w:rsidR="00A12614" w:rsidRDefault="00A12614">
      <w:pPr>
        <w:pStyle w:val="TOC1"/>
        <w:tabs>
          <w:tab w:val="left" w:pos="851"/>
        </w:tabs>
        <w:rPr>
          <w:noProof/>
          <w:color w:val="auto"/>
          <w:kern w:val="2"/>
          <w:szCs w:val="24"/>
          <w:lang w:eastAsia="en-GB"/>
          <w14:ligatures w14:val="standardContextual"/>
        </w:rPr>
      </w:pPr>
      <w:hyperlink w:anchor="_Toc211513095" w:history="1">
        <w:r w:rsidRPr="00582C88">
          <w:rPr>
            <w:rStyle w:val="Hyperlink"/>
            <w:noProof/>
          </w:rPr>
          <w:t>A6.</w:t>
        </w:r>
        <w:r>
          <w:rPr>
            <w:noProof/>
            <w:color w:val="auto"/>
            <w:kern w:val="2"/>
            <w:szCs w:val="24"/>
            <w:lang w:eastAsia="en-GB"/>
            <w14:ligatures w14:val="standardContextual"/>
          </w:rPr>
          <w:tab/>
        </w:r>
        <w:r w:rsidRPr="00582C88">
          <w:rPr>
            <w:rStyle w:val="Hyperlink"/>
            <w:noProof/>
          </w:rPr>
          <w:t>SITE HEALTH AND SAFETY FILE REQUIREMENTS</w:t>
        </w:r>
        <w:r>
          <w:rPr>
            <w:noProof/>
            <w:webHidden/>
          </w:rPr>
          <w:tab/>
        </w:r>
        <w:r>
          <w:rPr>
            <w:noProof/>
            <w:webHidden/>
          </w:rPr>
          <w:fldChar w:fldCharType="begin"/>
        </w:r>
        <w:r>
          <w:rPr>
            <w:noProof/>
            <w:webHidden/>
          </w:rPr>
          <w:instrText xml:space="preserve"> PAGEREF _Toc211513095 \h </w:instrText>
        </w:r>
        <w:r>
          <w:rPr>
            <w:noProof/>
            <w:webHidden/>
          </w:rPr>
        </w:r>
        <w:r>
          <w:rPr>
            <w:noProof/>
            <w:webHidden/>
          </w:rPr>
          <w:fldChar w:fldCharType="separate"/>
        </w:r>
        <w:r>
          <w:rPr>
            <w:noProof/>
            <w:webHidden/>
          </w:rPr>
          <w:t>33</w:t>
        </w:r>
        <w:r>
          <w:rPr>
            <w:noProof/>
            <w:webHidden/>
          </w:rPr>
          <w:fldChar w:fldCharType="end"/>
        </w:r>
      </w:hyperlink>
    </w:p>
    <w:p w14:paraId="27A9D358" w14:textId="67D5D18B" w:rsidR="00A12614" w:rsidRDefault="00A12614">
      <w:pPr>
        <w:pStyle w:val="TOC2"/>
        <w:rPr>
          <w:noProof/>
          <w:color w:val="auto"/>
          <w:kern w:val="2"/>
          <w:szCs w:val="24"/>
          <w:lang w:eastAsia="en-GB"/>
          <w14:ligatures w14:val="standardContextual"/>
        </w:rPr>
      </w:pPr>
      <w:hyperlink w:anchor="_Toc211513096" w:history="1">
        <w:r w:rsidRPr="00582C88">
          <w:rPr>
            <w:rStyle w:val="Hyperlink"/>
            <w:noProof/>
          </w:rPr>
          <w:t>A6.1</w:t>
        </w:r>
        <w:r>
          <w:rPr>
            <w:noProof/>
            <w:color w:val="auto"/>
            <w:kern w:val="2"/>
            <w:szCs w:val="24"/>
            <w:lang w:eastAsia="en-GB"/>
            <w14:ligatures w14:val="standardContextual"/>
          </w:rPr>
          <w:tab/>
        </w:r>
        <w:r w:rsidRPr="00582C88">
          <w:rPr>
            <w:rStyle w:val="Hyperlink"/>
            <w:noProof/>
          </w:rPr>
          <w:t>Overview</w:t>
        </w:r>
        <w:r>
          <w:rPr>
            <w:noProof/>
            <w:webHidden/>
          </w:rPr>
          <w:tab/>
        </w:r>
        <w:r>
          <w:rPr>
            <w:noProof/>
            <w:webHidden/>
          </w:rPr>
          <w:fldChar w:fldCharType="begin"/>
        </w:r>
        <w:r>
          <w:rPr>
            <w:noProof/>
            <w:webHidden/>
          </w:rPr>
          <w:instrText xml:space="preserve"> PAGEREF _Toc211513096 \h </w:instrText>
        </w:r>
        <w:r>
          <w:rPr>
            <w:noProof/>
            <w:webHidden/>
          </w:rPr>
        </w:r>
        <w:r>
          <w:rPr>
            <w:noProof/>
            <w:webHidden/>
          </w:rPr>
          <w:fldChar w:fldCharType="separate"/>
        </w:r>
        <w:r>
          <w:rPr>
            <w:noProof/>
            <w:webHidden/>
          </w:rPr>
          <w:t>33</w:t>
        </w:r>
        <w:r>
          <w:rPr>
            <w:noProof/>
            <w:webHidden/>
          </w:rPr>
          <w:fldChar w:fldCharType="end"/>
        </w:r>
      </w:hyperlink>
    </w:p>
    <w:p w14:paraId="391DA9D7" w14:textId="4C4BAAE2" w:rsidR="00A12614" w:rsidRDefault="00A12614">
      <w:pPr>
        <w:pStyle w:val="TOC2"/>
        <w:rPr>
          <w:noProof/>
          <w:color w:val="auto"/>
          <w:kern w:val="2"/>
          <w:szCs w:val="24"/>
          <w:lang w:eastAsia="en-GB"/>
          <w14:ligatures w14:val="standardContextual"/>
        </w:rPr>
      </w:pPr>
      <w:hyperlink w:anchor="_Toc211513097" w:history="1">
        <w:r w:rsidRPr="00582C88">
          <w:rPr>
            <w:rStyle w:val="Hyperlink"/>
            <w:noProof/>
          </w:rPr>
          <w:t>A6.2</w:t>
        </w:r>
        <w:r>
          <w:rPr>
            <w:noProof/>
            <w:color w:val="auto"/>
            <w:kern w:val="2"/>
            <w:szCs w:val="24"/>
            <w:lang w:eastAsia="en-GB"/>
            <w14:ligatures w14:val="standardContextual"/>
          </w:rPr>
          <w:tab/>
        </w:r>
        <w:r w:rsidRPr="00582C88">
          <w:rPr>
            <w:rStyle w:val="Hyperlink"/>
            <w:noProof/>
          </w:rPr>
          <w:t>Health and Safety File Contents</w:t>
        </w:r>
        <w:r>
          <w:rPr>
            <w:noProof/>
            <w:webHidden/>
          </w:rPr>
          <w:tab/>
        </w:r>
        <w:r>
          <w:rPr>
            <w:noProof/>
            <w:webHidden/>
          </w:rPr>
          <w:fldChar w:fldCharType="begin"/>
        </w:r>
        <w:r>
          <w:rPr>
            <w:noProof/>
            <w:webHidden/>
          </w:rPr>
          <w:instrText xml:space="preserve"> PAGEREF _Toc211513097 \h </w:instrText>
        </w:r>
        <w:r>
          <w:rPr>
            <w:noProof/>
            <w:webHidden/>
          </w:rPr>
        </w:r>
        <w:r>
          <w:rPr>
            <w:noProof/>
            <w:webHidden/>
          </w:rPr>
          <w:fldChar w:fldCharType="separate"/>
        </w:r>
        <w:r>
          <w:rPr>
            <w:noProof/>
            <w:webHidden/>
          </w:rPr>
          <w:t>33</w:t>
        </w:r>
        <w:r>
          <w:rPr>
            <w:noProof/>
            <w:webHidden/>
          </w:rPr>
          <w:fldChar w:fldCharType="end"/>
        </w:r>
      </w:hyperlink>
    </w:p>
    <w:p w14:paraId="420972E6" w14:textId="02079DB4" w:rsidR="00A12614" w:rsidRDefault="00A12614">
      <w:pPr>
        <w:pStyle w:val="TOC1"/>
        <w:tabs>
          <w:tab w:val="left" w:pos="851"/>
        </w:tabs>
        <w:rPr>
          <w:noProof/>
          <w:color w:val="auto"/>
          <w:kern w:val="2"/>
          <w:szCs w:val="24"/>
          <w:lang w:eastAsia="en-GB"/>
          <w14:ligatures w14:val="standardContextual"/>
        </w:rPr>
      </w:pPr>
      <w:hyperlink w:anchor="_Toc211513098" w:history="1">
        <w:r w:rsidRPr="00582C88">
          <w:rPr>
            <w:rStyle w:val="Hyperlink"/>
            <w:noProof/>
          </w:rPr>
          <w:t>A7.</w:t>
        </w:r>
        <w:r>
          <w:rPr>
            <w:noProof/>
            <w:color w:val="auto"/>
            <w:kern w:val="2"/>
            <w:szCs w:val="24"/>
            <w:lang w:eastAsia="en-GB"/>
            <w14:ligatures w14:val="standardContextual"/>
          </w:rPr>
          <w:tab/>
        </w:r>
        <w:r w:rsidRPr="00582C88">
          <w:rPr>
            <w:rStyle w:val="Hyperlink"/>
            <w:noProof/>
          </w:rPr>
          <w:t>SITE OPERATIONS AND MAINTENANCE REQUIREMENTS</w:t>
        </w:r>
        <w:r>
          <w:rPr>
            <w:noProof/>
            <w:webHidden/>
          </w:rPr>
          <w:tab/>
        </w:r>
        <w:r>
          <w:rPr>
            <w:noProof/>
            <w:webHidden/>
          </w:rPr>
          <w:fldChar w:fldCharType="begin"/>
        </w:r>
        <w:r>
          <w:rPr>
            <w:noProof/>
            <w:webHidden/>
          </w:rPr>
          <w:instrText xml:space="preserve"> PAGEREF _Toc211513098 \h </w:instrText>
        </w:r>
        <w:r>
          <w:rPr>
            <w:noProof/>
            <w:webHidden/>
          </w:rPr>
        </w:r>
        <w:r>
          <w:rPr>
            <w:noProof/>
            <w:webHidden/>
          </w:rPr>
          <w:fldChar w:fldCharType="separate"/>
        </w:r>
        <w:r>
          <w:rPr>
            <w:noProof/>
            <w:webHidden/>
          </w:rPr>
          <w:t>36</w:t>
        </w:r>
        <w:r>
          <w:rPr>
            <w:noProof/>
            <w:webHidden/>
          </w:rPr>
          <w:fldChar w:fldCharType="end"/>
        </w:r>
      </w:hyperlink>
    </w:p>
    <w:p w14:paraId="7F89BA91" w14:textId="36E02D5E" w:rsidR="00A12614" w:rsidRDefault="00A12614">
      <w:pPr>
        <w:pStyle w:val="TOC2"/>
        <w:rPr>
          <w:noProof/>
          <w:color w:val="auto"/>
          <w:kern w:val="2"/>
          <w:szCs w:val="24"/>
          <w:lang w:eastAsia="en-GB"/>
          <w14:ligatures w14:val="standardContextual"/>
        </w:rPr>
      </w:pPr>
      <w:hyperlink w:anchor="_Toc211513099" w:history="1">
        <w:r w:rsidRPr="00582C88">
          <w:rPr>
            <w:rStyle w:val="Hyperlink"/>
            <w:noProof/>
          </w:rPr>
          <w:t>A7.1</w:t>
        </w:r>
        <w:r>
          <w:rPr>
            <w:noProof/>
            <w:color w:val="auto"/>
            <w:kern w:val="2"/>
            <w:szCs w:val="24"/>
            <w:lang w:eastAsia="en-GB"/>
            <w14:ligatures w14:val="standardContextual"/>
          </w:rPr>
          <w:tab/>
        </w:r>
        <w:r w:rsidRPr="00582C88">
          <w:rPr>
            <w:rStyle w:val="Hyperlink"/>
            <w:noProof/>
          </w:rPr>
          <w:t>Overview</w:t>
        </w:r>
        <w:r>
          <w:rPr>
            <w:noProof/>
            <w:webHidden/>
          </w:rPr>
          <w:tab/>
        </w:r>
        <w:r>
          <w:rPr>
            <w:noProof/>
            <w:webHidden/>
          </w:rPr>
          <w:fldChar w:fldCharType="begin"/>
        </w:r>
        <w:r>
          <w:rPr>
            <w:noProof/>
            <w:webHidden/>
          </w:rPr>
          <w:instrText xml:space="preserve"> PAGEREF _Toc211513099 \h </w:instrText>
        </w:r>
        <w:r>
          <w:rPr>
            <w:noProof/>
            <w:webHidden/>
          </w:rPr>
        </w:r>
        <w:r>
          <w:rPr>
            <w:noProof/>
            <w:webHidden/>
          </w:rPr>
          <w:fldChar w:fldCharType="separate"/>
        </w:r>
        <w:r>
          <w:rPr>
            <w:noProof/>
            <w:webHidden/>
          </w:rPr>
          <w:t>36</w:t>
        </w:r>
        <w:r>
          <w:rPr>
            <w:noProof/>
            <w:webHidden/>
          </w:rPr>
          <w:fldChar w:fldCharType="end"/>
        </w:r>
      </w:hyperlink>
    </w:p>
    <w:p w14:paraId="61C744C9" w14:textId="19C3D0D9" w:rsidR="00A12614" w:rsidRDefault="00A12614">
      <w:pPr>
        <w:pStyle w:val="TOC2"/>
        <w:rPr>
          <w:noProof/>
          <w:color w:val="auto"/>
          <w:kern w:val="2"/>
          <w:szCs w:val="24"/>
          <w:lang w:eastAsia="en-GB"/>
          <w14:ligatures w14:val="standardContextual"/>
        </w:rPr>
      </w:pPr>
      <w:hyperlink w:anchor="_Toc211513100" w:history="1">
        <w:r w:rsidRPr="00582C88">
          <w:rPr>
            <w:rStyle w:val="Hyperlink"/>
            <w:noProof/>
          </w:rPr>
          <w:t>A7.2</w:t>
        </w:r>
        <w:r>
          <w:rPr>
            <w:noProof/>
            <w:color w:val="auto"/>
            <w:kern w:val="2"/>
            <w:szCs w:val="24"/>
            <w:lang w:eastAsia="en-GB"/>
            <w14:ligatures w14:val="standardContextual"/>
          </w:rPr>
          <w:tab/>
        </w:r>
        <w:r w:rsidRPr="00582C88">
          <w:rPr>
            <w:rStyle w:val="Hyperlink"/>
            <w:noProof/>
          </w:rPr>
          <w:t>Charge Point Availability</w:t>
        </w:r>
        <w:r>
          <w:rPr>
            <w:noProof/>
            <w:webHidden/>
          </w:rPr>
          <w:tab/>
        </w:r>
        <w:r>
          <w:rPr>
            <w:noProof/>
            <w:webHidden/>
          </w:rPr>
          <w:fldChar w:fldCharType="begin"/>
        </w:r>
        <w:r>
          <w:rPr>
            <w:noProof/>
            <w:webHidden/>
          </w:rPr>
          <w:instrText xml:space="preserve"> PAGEREF _Toc211513100 \h </w:instrText>
        </w:r>
        <w:r>
          <w:rPr>
            <w:noProof/>
            <w:webHidden/>
          </w:rPr>
        </w:r>
        <w:r>
          <w:rPr>
            <w:noProof/>
            <w:webHidden/>
          </w:rPr>
          <w:fldChar w:fldCharType="separate"/>
        </w:r>
        <w:r>
          <w:rPr>
            <w:noProof/>
            <w:webHidden/>
          </w:rPr>
          <w:t>36</w:t>
        </w:r>
        <w:r>
          <w:rPr>
            <w:noProof/>
            <w:webHidden/>
          </w:rPr>
          <w:fldChar w:fldCharType="end"/>
        </w:r>
      </w:hyperlink>
    </w:p>
    <w:p w14:paraId="34A6B374" w14:textId="2F82A993" w:rsidR="00A12614" w:rsidRDefault="00A12614">
      <w:pPr>
        <w:pStyle w:val="TOC2"/>
        <w:rPr>
          <w:noProof/>
          <w:color w:val="auto"/>
          <w:kern w:val="2"/>
          <w:szCs w:val="24"/>
          <w:lang w:eastAsia="en-GB"/>
          <w14:ligatures w14:val="standardContextual"/>
        </w:rPr>
      </w:pPr>
      <w:hyperlink w:anchor="_Toc211513101" w:history="1">
        <w:r w:rsidRPr="00582C88">
          <w:rPr>
            <w:rStyle w:val="Hyperlink"/>
            <w:noProof/>
          </w:rPr>
          <w:t>A7.3</w:t>
        </w:r>
        <w:r>
          <w:rPr>
            <w:noProof/>
            <w:color w:val="auto"/>
            <w:kern w:val="2"/>
            <w:szCs w:val="24"/>
            <w:lang w:eastAsia="en-GB"/>
            <w14:ligatures w14:val="standardContextual"/>
          </w:rPr>
          <w:tab/>
        </w:r>
        <w:r w:rsidRPr="00582C88">
          <w:rPr>
            <w:rStyle w:val="Hyperlink"/>
            <w:noProof/>
          </w:rPr>
          <w:t>Back Office Systems</w:t>
        </w:r>
        <w:r>
          <w:rPr>
            <w:noProof/>
            <w:webHidden/>
          </w:rPr>
          <w:tab/>
        </w:r>
        <w:r>
          <w:rPr>
            <w:noProof/>
            <w:webHidden/>
          </w:rPr>
          <w:fldChar w:fldCharType="begin"/>
        </w:r>
        <w:r>
          <w:rPr>
            <w:noProof/>
            <w:webHidden/>
          </w:rPr>
          <w:instrText xml:space="preserve"> PAGEREF _Toc211513101 \h </w:instrText>
        </w:r>
        <w:r>
          <w:rPr>
            <w:noProof/>
            <w:webHidden/>
          </w:rPr>
        </w:r>
        <w:r>
          <w:rPr>
            <w:noProof/>
            <w:webHidden/>
          </w:rPr>
          <w:fldChar w:fldCharType="separate"/>
        </w:r>
        <w:r>
          <w:rPr>
            <w:noProof/>
            <w:webHidden/>
          </w:rPr>
          <w:t>36</w:t>
        </w:r>
        <w:r>
          <w:rPr>
            <w:noProof/>
            <w:webHidden/>
          </w:rPr>
          <w:fldChar w:fldCharType="end"/>
        </w:r>
      </w:hyperlink>
    </w:p>
    <w:p w14:paraId="7A3F3A36" w14:textId="7E24D9F8" w:rsidR="00A12614" w:rsidRDefault="00A12614">
      <w:pPr>
        <w:pStyle w:val="TOC2"/>
        <w:rPr>
          <w:noProof/>
          <w:color w:val="auto"/>
          <w:kern w:val="2"/>
          <w:szCs w:val="24"/>
          <w:lang w:eastAsia="en-GB"/>
          <w14:ligatures w14:val="standardContextual"/>
        </w:rPr>
      </w:pPr>
      <w:hyperlink w:anchor="_Toc211513102" w:history="1">
        <w:r w:rsidRPr="00582C88">
          <w:rPr>
            <w:rStyle w:val="Hyperlink"/>
            <w:noProof/>
          </w:rPr>
          <w:t>A7.4</w:t>
        </w:r>
        <w:r>
          <w:rPr>
            <w:noProof/>
            <w:color w:val="auto"/>
            <w:kern w:val="2"/>
            <w:szCs w:val="24"/>
            <w:lang w:eastAsia="en-GB"/>
            <w14:ligatures w14:val="standardContextual"/>
          </w:rPr>
          <w:tab/>
        </w:r>
        <w:r w:rsidRPr="00582C88">
          <w:rPr>
            <w:rStyle w:val="Hyperlink"/>
            <w:noProof/>
          </w:rPr>
          <w:t>User Payments</w:t>
        </w:r>
        <w:r>
          <w:rPr>
            <w:noProof/>
            <w:webHidden/>
          </w:rPr>
          <w:tab/>
        </w:r>
        <w:r>
          <w:rPr>
            <w:noProof/>
            <w:webHidden/>
          </w:rPr>
          <w:fldChar w:fldCharType="begin"/>
        </w:r>
        <w:r>
          <w:rPr>
            <w:noProof/>
            <w:webHidden/>
          </w:rPr>
          <w:instrText xml:space="preserve"> PAGEREF _Toc211513102 \h </w:instrText>
        </w:r>
        <w:r>
          <w:rPr>
            <w:noProof/>
            <w:webHidden/>
          </w:rPr>
        </w:r>
        <w:r>
          <w:rPr>
            <w:noProof/>
            <w:webHidden/>
          </w:rPr>
          <w:fldChar w:fldCharType="separate"/>
        </w:r>
        <w:r>
          <w:rPr>
            <w:noProof/>
            <w:webHidden/>
          </w:rPr>
          <w:t>37</w:t>
        </w:r>
        <w:r>
          <w:rPr>
            <w:noProof/>
            <w:webHidden/>
          </w:rPr>
          <w:fldChar w:fldCharType="end"/>
        </w:r>
      </w:hyperlink>
    </w:p>
    <w:p w14:paraId="66A917FC" w14:textId="153AD227" w:rsidR="00A12614" w:rsidRDefault="00A12614">
      <w:pPr>
        <w:pStyle w:val="TOC2"/>
        <w:rPr>
          <w:noProof/>
          <w:color w:val="auto"/>
          <w:kern w:val="2"/>
          <w:szCs w:val="24"/>
          <w:lang w:eastAsia="en-GB"/>
          <w14:ligatures w14:val="standardContextual"/>
        </w:rPr>
      </w:pPr>
      <w:hyperlink w:anchor="_Toc211513103" w:history="1">
        <w:r w:rsidRPr="00582C88">
          <w:rPr>
            <w:rStyle w:val="Hyperlink"/>
            <w:noProof/>
          </w:rPr>
          <w:t>A7.5</w:t>
        </w:r>
        <w:r>
          <w:rPr>
            <w:noProof/>
            <w:color w:val="auto"/>
            <w:kern w:val="2"/>
            <w:szCs w:val="24"/>
            <w:lang w:eastAsia="en-GB"/>
            <w14:ligatures w14:val="standardContextual"/>
          </w:rPr>
          <w:tab/>
        </w:r>
        <w:r w:rsidRPr="00582C88">
          <w:rPr>
            <w:rStyle w:val="Hyperlink"/>
            <w:noProof/>
          </w:rPr>
          <w:t>User Support</w:t>
        </w:r>
        <w:r>
          <w:rPr>
            <w:noProof/>
            <w:webHidden/>
          </w:rPr>
          <w:tab/>
        </w:r>
        <w:r>
          <w:rPr>
            <w:noProof/>
            <w:webHidden/>
          </w:rPr>
          <w:fldChar w:fldCharType="begin"/>
        </w:r>
        <w:r>
          <w:rPr>
            <w:noProof/>
            <w:webHidden/>
          </w:rPr>
          <w:instrText xml:space="preserve"> PAGEREF _Toc211513103 \h </w:instrText>
        </w:r>
        <w:r>
          <w:rPr>
            <w:noProof/>
            <w:webHidden/>
          </w:rPr>
        </w:r>
        <w:r>
          <w:rPr>
            <w:noProof/>
            <w:webHidden/>
          </w:rPr>
          <w:fldChar w:fldCharType="separate"/>
        </w:r>
        <w:r>
          <w:rPr>
            <w:noProof/>
            <w:webHidden/>
          </w:rPr>
          <w:t>38</w:t>
        </w:r>
        <w:r>
          <w:rPr>
            <w:noProof/>
            <w:webHidden/>
          </w:rPr>
          <w:fldChar w:fldCharType="end"/>
        </w:r>
      </w:hyperlink>
    </w:p>
    <w:p w14:paraId="000A0DD2" w14:textId="77D10BB4" w:rsidR="00A12614" w:rsidRDefault="00A12614">
      <w:pPr>
        <w:pStyle w:val="TOC2"/>
        <w:rPr>
          <w:noProof/>
          <w:color w:val="auto"/>
          <w:kern w:val="2"/>
          <w:szCs w:val="24"/>
          <w:lang w:eastAsia="en-GB"/>
          <w14:ligatures w14:val="standardContextual"/>
        </w:rPr>
      </w:pPr>
      <w:hyperlink w:anchor="_Toc211513104" w:history="1">
        <w:r w:rsidRPr="00582C88">
          <w:rPr>
            <w:rStyle w:val="Hyperlink"/>
            <w:noProof/>
          </w:rPr>
          <w:t>A7.6</w:t>
        </w:r>
        <w:r>
          <w:rPr>
            <w:noProof/>
            <w:color w:val="auto"/>
            <w:kern w:val="2"/>
            <w:szCs w:val="24"/>
            <w:lang w:eastAsia="en-GB"/>
            <w14:ligatures w14:val="standardContextual"/>
          </w:rPr>
          <w:tab/>
        </w:r>
        <w:r w:rsidRPr="00582C88">
          <w:rPr>
            <w:rStyle w:val="Hyperlink"/>
            <w:noProof/>
          </w:rPr>
          <w:t>Operational Data Collection</w:t>
        </w:r>
        <w:r>
          <w:rPr>
            <w:noProof/>
            <w:webHidden/>
          </w:rPr>
          <w:tab/>
        </w:r>
        <w:r>
          <w:rPr>
            <w:noProof/>
            <w:webHidden/>
          </w:rPr>
          <w:fldChar w:fldCharType="begin"/>
        </w:r>
        <w:r>
          <w:rPr>
            <w:noProof/>
            <w:webHidden/>
          </w:rPr>
          <w:instrText xml:space="preserve"> PAGEREF _Toc211513104 \h </w:instrText>
        </w:r>
        <w:r>
          <w:rPr>
            <w:noProof/>
            <w:webHidden/>
          </w:rPr>
        </w:r>
        <w:r>
          <w:rPr>
            <w:noProof/>
            <w:webHidden/>
          </w:rPr>
          <w:fldChar w:fldCharType="separate"/>
        </w:r>
        <w:r>
          <w:rPr>
            <w:noProof/>
            <w:webHidden/>
          </w:rPr>
          <w:t>39</w:t>
        </w:r>
        <w:r>
          <w:rPr>
            <w:noProof/>
            <w:webHidden/>
          </w:rPr>
          <w:fldChar w:fldCharType="end"/>
        </w:r>
      </w:hyperlink>
    </w:p>
    <w:p w14:paraId="1CC0DAA7" w14:textId="063B813F" w:rsidR="00A12614" w:rsidRDefault="00A12614">
      <w:pPr>
        <w:pStyle w:val="TOC2"/>
        <w:rPr>
          <w:noProof/>
          <w:color w:val="auto"/>
          <w:kern w:val="2"/>
          <w:szCs w:val="24"/>
          <w:lang w:eastAsia="en-GB"/>
          <w14:ligatures w14:val="standardContextual"/>
        </w:rPr>
      </w:pPr>
      <w:hyperlink w:anchor="_Toc211513105" w:history="1">
        <w:r w:rsidRPr="00582C88">
          <w:rPr>
            <w:rStyle w:val="Hyperlink"/>
            <w:noProof/>
          </w:rPr>
          <w:t>A7.7</w:t>
        </w:r>
        <w:r>
          <w:rPr>
            <w:noProof/>
            <w:color w:val="auto"/>
            <w:kern w:val="2"/>
            <w:szCs w:val="24"/>
            <w:lang w:eastAsia="en-GB"/>
            <w14:ligatures w14:val="standardContextual"/>
          </w:rPr>
          <w:tab/>
        </w:r>
        <w:r w:rsidRPr="00582C88">
          <w:rPr>
            <w:rStyle w:val="Hyperlink"/>
            <w:noProof/>
          </w:rPr>
          <w:t>Electricity Costs</w:t>
        </w:r>
        <w:r>
          <w:rPr>
            <w:noProof/>
            <w:webHidden/>
          </w:rPr>
          <w:tab/>
        </w:r>
        <w:r>
          <w:rPr>
            <w:noProof/>
            <w:webHidden/>
          </w:rPr>
          <w:fldChar w:fldCharType="begin"/>
        </w:r>
        <w:r>
          <w:rPr>
            <w:noProof/>
            <w:webHidden/>
          </w:rPr>
          <w:instrText xml:space="preserve"> PAGEREF _Toc211513105 \h </w:instrText>
        </w:r>
        <w:r>
          <w:rPr>
            <w:noProof/>
            <w:webHidden/>
          </w:rPr>
        </w:r>
        <w:r>
          <w:rPr>
            <w:noProof/>
            <w:webHidden/>
          </w:rPr>
          <w:fldChar w:fldCharType="separate"/>
        </w:r>
        <w:r>
          <w:rPr>
            <w:noProof/>
            <w:webHidden/>
          </w:rPr>
          <w:t>41</w:t>
        </w:r>
        <w:r>
          <w:rPr>
            <w:noProof/>
            <w:webHidden/>
          </w:rPr>
          <w:fldChar w:fldCharType="end"/>
        </w:r>
      </w:hyperlink>
    </w:p>
    <w:p w14:paraId="2D90F656" w14:textId="4D64BF1A" w:rsidR="00A12614" w:rsidRDefault="00A12614">
      <w:pPr>
        <w:pStyle w:val="TOC2"/>
        <w:rPr>
          <w:noProof/>
          <w:color w:val="auto"/>
          <w:kern w:val="2"/>
          <w:szCs w:val="24"/>
          <w:lang w:eastAsia="en-GB"/>
          <w14:ligatures w14:val="standardContextual"/>
        </w:rPr>
      </w:pPr>
      <w:hyperlink w:anchor="_Toc211513106" w:history="1">
        <w:r w:rsidRPr="00582C88">
          <w:rPr>
            <w:rStyle w:val="Hyperlink"/>
            <w:noProof/>
          </w:rPr>
          <w:t>A7.8</w:t>
        </w:r>
        <w:r>
          <w:rPr>
            <w:noProof/>
            <w:color w:val="auto"/>
            <w:kern w:val="2"/>
            <w:szCs w:val="24"/>
            <w:lang w:eastAsia="en-GB"/>
            <w14:ligatures w14:val="standardContextual"/>
          </w:rPr>
          <w:tab/>
        </w:r>
        <w:r w:rsidRPr="00582C88">
          <w:rPr>
            <w:rStyle w:val="Hyperlink"/>
            <w:noProof/>
          </w:rPr>
          <w:t>Inspection, Testing, Maintenance, Repair and Renewal</w:t>
        </w:r>
        <w:r>
          <w:rPr>
            <w:noProof/>
            <w:webHidden/>
          </w:rPr>
          <w:tab/>
        </w:r>
        <w:r>
          <w:rPr>
            <w:noProof/>
            <w:webHidden/>
          </w:rPr>
          <w:fldChar w:fldCharType="begin"/>
        </w:r>
        <w:r>
          <w:rPr>
            <w:noProof/>
            <w:webHidden/>
          </w:rPr>
          <w:instrText xml:space="preserve"> PAGEREF _Toc211513106 \h </w:instrText>
        </w:r>
        <w:r>
          <w:rPr>
            <w:noProof/>
            <w:webHidden/>
          </w:rPr>
        </w:r>
        <w:r>
          <w:rPr>
            <w:noProof/>
            <w:webHidden/>
          </w:rPr>
          <w:fldChar w:fldCharType="separate"/>
        </w:r>
        <w:r>
          <w:rPr>
            <w:noProof/>
            <w:webHidden/>
          </w:rPr>
          <w:t>41</w:t>
        </w:r>
        <w:r>
          <w:rPr>
            <w:noProof/>
            <w:webHidden/>
          </w:rPr>
          <w:fldChar w:fldCharType="end"/>
        </w:r>
      </w:hyperlink>
    </w:p>
    <w:p w14:paraId="7892F28D" w14:textId="2D47152A" w:rsidR="004E6917" w:rsidRDefault="00A1483F" w:rsidP="004E6917">
      <w:r>
        <w:rPr>
          <w:color w:val="000000" w:themeColor="accent1"/>
        </w:rPr>
        <w:fldChar w:fldCharType="end"/>
      </w:r>
    </w:p>
    <w:p w14:paraId="69FE0AD3" w14:textId="5583C52B" w:rsidR="009D6F1C" w:rsidRDefault="009D6F1C" w:rsidP="004E6917">
      <w:r>
        <w:br w:type="page"/>
      </w:r>
    </w:p>
    <w:p w14:paraId="46BEC3EF" w14:textId="15C5F3D2" w:rsidR="00B704B9" w:rsidRDefault="00932B9A" w:rsidP="00B704B9">
      <w:pPr>
        <w:pStyle w:val="Heading1"/>
      </w:pPr>
      <w:bookmarkStart w:id="0" w:name="_Toc205309802"/>
      <w:bookmarkStart w:id="1" w:name="_Toc211513054"/>
      <w:r>
        <w:lastRenderedPageBreak/>
        <w:t>General Obligations</w:t>
      </w:r>
      <w:bookmarkEnd w:id="0"/>
      <w:bookmarkEnd w:id="1"/>
    </w:p>
    <w:p w14:paraId="1F6F8A48" w14:textId="281A4D14" w:rsidR="00B704B9" w:rsidRDefault="00B704B9" w:rsidP="00B704B9">
      <w:pPr>
        <w:pStyle w:val="Heading3"/>
      </w:pPr>
      <w:r>
        <w:t xml:space="preserve">The successful Concessionaire shall operate the Concession and provide Services to the </w:t>
      </w:r>
      <w:r w:rsidR="00544048">
        <w:t>Council</w:t>
      </w:r>
      <w:r>
        <w:t xml:space="preserve"> across the Sites at the locations stated in Schedule 1</w:t>
      </w:r>
      <w:r w:rsidR="000814B4">
        <w:t>6</w:t>
      </w:r>
      <w:r>
        <w:t xml:space="preserve"> (Sites).</w:t>
      </w:r>
    </w:p>
    <w:p w14:paraId="1518B98F" w14:textId="22DEBA9F" w:rsidR="00B704B9" w:rsidRDefault="00B704B9" w:rsidP="00B704B9">
      <w:pPr>
        <w:pStyle w:val="Heading3"/>
      </w:pPr>
      <w:r>
        <w:t>The Concessionaire shall also provide additional Services as required if the feasibility of carrying out the Services at any of the Additional Sites set out in Part B to Schedule 1</w:t>
      </w:r>
      <w:r w:rsidR="000814B4">
        <w:t>6</w:t>
      </w:r>
      <w:r>
        <w:t xml:space="preserve"> (Sites) is established subject to the Change Control Procedure as set out in Schedule 10 (Change Control Procedure).</w:t>
      </w:r>
    </w:p>
    <w:p w14:paraId="70936EC6" w14:textId="7AA920A2" w:rsidR="00B704B9" w:rsidRDefault="00B704B9" w:rsidP="00B704B9">
      <w:pPr>
        <w:pStyle w:val="Heading3"/>
      </w:pPr>
      <w:r>
        <w:t xml:space="preserve">The Concessionaire shall undertake the following roles and duties in addition to all other roles and duties specified in the </w:t>
      </w:r>
      <w:r w:rsidR="00212D63">
        <w:t>Concession Agreement</w:t>
      </w:r>
      <w:r>
        <w:t>:</w:t>
      </w:r>
    </w:p>
    <w:p w14:paraId="630D9B3D" w14:textId="135DCD97" w:rsidR="00B704B9" w:rsidRDefault="00B704B9" w:rsidP="00B704B9">
      <w:pPr>
        <w:pStyle w:val="ListNumberNoSpacing2"/>
      </w:pPr>
      <w:r>
        <w:t xml:space="preserve">the Principal Designer appointed by the </w:t>
      </w:r>
      <w:r w:rsidR="00544048">
        <w:t>Council</w:t>
      </w:r>
      <w:r>
        <w:t xml:space="preserve"> in accordance with The Construction (Design and Management) Regulations 2015 and section 1.3 of this </w:t>
      </w:r>
      <w:proofErr w:type="gramStart"/>
      <w:r>
        <w:t>document;</w:t>
      </w:r>
      <w:proofErr w:type="gramEnd"/>
    </w:p>
    <w:p w14:paraId="1C095000" w14:textId="1BF0585E" w:rsidR="00B704B9" w:rsidRDefault="00B704B9" w:rsidP="00B704B9">
      <w:pPr>
        <w:pStyle w:val="ListNumberNoSpacing2"/>
      </w:pPr>
      <w:r>
        <w:t xml:space="preserve">the Principal Contractor appointed by the </w:t>
      </w:r>
      <w:r w:rsidR="00544048">
        <w:t>Council</w:t>
      </w:r>
      <w:r>
        <w:t xml:space="preserve"> in accordance with The Construction (Design and Management) Regulations 2015 and section 1.3 of this document; and</w:t>
      </w:r>
    </w:p>
    <w:p w14:paraId="2C4EC580" w14:textId="7F04421E" w:rsidR="00B704B9" w:rsidRDefault="00B704B9" w:rsidP="00B704B9">
      <w:pPr>
        <w:pStyle w:val="ListNumberNoSpacing2"/>
      </w:pPr>
      <w:r>
        <w:t>the Operator as defined in The Automated and Vehicles Act 2018, and any regulations made under the Act.</w:t>
      </w:r>
    </w:p>
    <w:p w14:paraId="64FB8D80" w14:textId="761DEBE6" w:rsidR="00B704B9" w:rsidRDefault="00B704B9" w:rsidP="00B704B9">
      <w:pPr>
        <w:pStyle w:val="Heading3"/>
      </w:pPr>
      <w:r>
        <w:t xml:space="preserve">For information, the key activities inherent in the scope of work and the </w:t>
      </w:r>
      <w:r w:rsidR="00544048">
        <w:t>Council</w:t>
      </w:r>
      <w:r>
        <w:t>’s phasing of the activities are illustrated in Appendix A.</w:t>
      </w:r>
      <w:r w:rsidR="005A68FB">
        <w:t>1</w:t>
      </w:r>
      <w:r>
        <w:t>. Reliance on the completeness, accuracy and feasibility of the activities and timings indicated in Appendix A.</w:t>
      </w:r>
      <w:r w:rsidR="005A68FB">
        <w:t>1</w:t>
      </w:r>
      <w:r>
        <w:t xml:space="preserve"> is entirely at the Concessionaire’s risk.</w:t>
      </w:r>
    </w:p>
    <w:p w14:paraId="217044B7" w14:textId="4FCDF97D" w:rsidR="00B704B9" w:rsidRDefault="00B704B9" w:rsidP="00B704B9">
      <w:pPr>
        <w:pStyle w:val="Heading2"/>
      </w:pPr>
      <w:bookmarkStart w:id="2" w:name="_Toc205309803"/>
      <w:bookmarkStart w:id="3" w:name="_Toc211513055"/>
      <w:r>
        <w:t>Key Personnel</w:t>
      </w:r>
      <w:bookmarkEnd w:id="2"/>
      <w:bookmarkEnd w:id="3"/>
    </w:p>
    <w:p w14:paraId="3CFFDC10" w14:textId="59A50E69" w:rsidR="00B704B9" w:rsidRDefault="00B704B9" w:rsidP="00B704B9">
      <w:pPr>
        <w:pStyle w:val="Heading3"/>
      </w:pPr>
      <w:r>
        <w:t xml:space="preserve">The Concessionaire shall provide the following Key Personnel for the entire </w:t>
      </w:r>
      <w:r w:rsidR="00212D63">
        <w:t>term of the Concession Agreement</w:t>
      </w:r>
      <w:r>
        <w:t>:</w:t>
      </w:r>
    </w:p>
    <w:p w14:paraId="4C7EB243" w14:textId="78FA5E21" w:rsidR="00B704B9" w:rsidRDefault="00B704B9" w:rsidP="000F1D81">
      <w:pPr>
        <w:pStyle w:val="ListNumberNoSpacing2"/>
        <w:numPr>
          <w:ilvl w:val="1"/>
          <w:numId w:val="28"/>
        </w:numPr>
      </w:pPr>
      <w:r>
        <w:t xml:space="preserve">a </w:t>
      </w:r>
      <w:r w:rsidR="00555B84">
        <w:t>C</w:t>
      </w:r>
      <w:r>
        <w:t xml:space="preserve">ontract </w:t>
      </w:r>
      <w:r w:rsidR="00555B84">
        <w:t>M</w:t>
      </w:r>
      <w:r>
        <w:t>anager, who shall:</w:t>
      </w:r>
    </w:p>
    <w:p w14:paraId="47E5C180" w14:textId="77777777" w:rsidR="006B0246" w:rsidRDefault="00B704B9" w:rsidP="000F1D81">
      <w:pPr>
        <w:pStyle w:val="ListParagraph"/>
        <w:numPr>
          <w:ilvl w:val="0"/>
          <w:numId w:val="29"/>
        </w:numPr>
        <w:ind w:left="1418"/>
      </w:pPr>
      <w:r>
        <w:t xml:space="preserve">be a director within the Concessionaire’s </w:t>
      </w:r>
      <w:proofErr w:type="gramStart"/>
      <w:r>
        <w:t>organisation;</w:t>
      </w:r>
      <w:proofErr w:type="gramEnd"/>
    </w:p>
    <w:p w14:paraId="031ED3DE" w14:textId="6691A6D3" w:rsidR="006B0246" w:rsidRDefault="00B704B9" w:rsidP="000F1D81">
      <w:pPr>
        <w:pStyle w:val="ListParagraph"/>
        <w:numPr>
          <w:ilvl w:val="0"/>
          <w:numId w:val="29"/>
        </w:numPr>
        <w:ind w:left="1418"/>
      </w:pPr>
      <w:r>
        <w:t xml:space="preserve">be accountable within the organisation for the delivery of the Concessionaire’s obligations under the </w:t>
      </w:r>
      <w:r w:rsidR="00212D63">
        <w:t xml:space="preserve">Concession </w:t>
      </w:r>
      <w:proofErr w:type="gramStart"/>
      <w:r w:rsidR="00212D63">
        <w:t>Agreement</w:t>
      </w:r>
      <w:r>
        <w:t>;</w:t>
      </w:r>
      <w:proofErr w:type="gramEnd"/>
    </w:p>
    <w:p w14:paraId="751F60C5" w14:textId="2D963EAD" w:rsidR="006B0246" w:rsidRDefault="00B704B9" w:rsidP="000F1D81">
      <w:pPr>
        <w:pStyle w:val="ListParagraph"/>
        <w:numPr>
          <w:ilvl w:val="0"/>
          <w:numId w:val="29"/>
        </w:numPr>
        <w:ind w:left="1418"/>
      </w:pPr>
      <w:r>
        <w:t xml:space="preserve">sponsor resolution of issues raised by the </w:t>
      </w:r>
      <w:proofErr w:type="gramStart"/>
      <w:r w:rsidR="00544048">
        <w:t>Council</w:t>
      </w:r>
      <w:r>
        <w:t>;</w:t>
      </w:r>
      <w:proofErr w:type="gramEnd"/>
    </w:p>
    <w:p w14:paraId="3C6C4BC3" w14:textId="77777777" w:rsidR="006B0246" w:rsidRDefault="00B704B9" w:rsidP="000F1D81">
      <w:pPr>
        <w:pStyle w:val="ListParagraph"/>
        <w:numPr>
          <w:ilvl w:val="0"/>
          <w:numId w:val="29"/>
        </w:numPr>
        <w:ind w:left="1418"/>
      </w:pPr>
      <w:r>
        <w:t xml:space="preserve">be skilled, knowledgeable and experienced in the provision of the Services required under the </w:t>
      </w:r>
      <w:proofErr w:type="gramStart"/>
      <w:r>
        <w:t>Concession;</w:t>
      </w:r>
      <w:proofErr w:type="gramEnd"/>
    </w:p>
    <w:p w14:paraId="20E2F146" w14:textId="77777777" w:rsidR="006B0246" w:rsidRDefault="00B704B9" w:rsidP="000F1D81">
      <w:pPr>
        <w:pStyle w:val="ListParagraph"/>
        <w:numPr>
          <w:ilvl w:val="0"/>
          <w:numId w:val="29"/>
        </w:numPr>
        <w:ind w:left="1418"/>
      </w:pPr>
      <w:r>
        <w:t>be responsible within the Concessionaire’s organisation for the delivery of the obligations and the management of the risks under the Concession.</w:t>
      </w:r>
    </w:p>
    <w:p w14:paraId="2CCE516F" w14:textId="313E5A8B" w:rsidR="006B0246" w:rsidRDefault="00B704B9" w:rsidP="000F1D81">
      <w:pPr>
        <w:pStyle w:val="ListParagraph"/>
        <w:numPr>
          <w:ilvl w:val="0"/>
          <w:numId w:val="29"/>
        </w:numPr>
        <w:ind w:left="1418"/>
      </w:pPr>
      <w:r>
        <w:t xml:space="preserve">be the </w:t>
      </w:r>
      <w:r w:rsidR="00544048">
        <w:t>Council</w:t>
      </w:r>
      <w:r>
        <w:t>’s key point of contact within the Concessionaire’s organisation; and</w:t>
      </w:r>
    </w:p>
    <w:p w14:paraId="1B8355DC" w14:textId="4D09A680" w:rsidR="00B704B9" w:rsidRDefault="00B704B9" w:rsidP="000F1D81">
      <w:pPr>
        <w:pStyle w:val="ListParagraph"/>
        <w:numPr>
          <w:ilvl w:val="0"/>
          <w:numId w:val="29"/>
        </w:numPr>
        <w:ind w:left="1418"/>
      </w:pPr>
      <w:r>
        <w:lastRenderedPageBreak/>
        <w:t xml:space="preserve">be aware of and able to report the </w:t>
      </w:r>
      <w:proofErr w:type="gramStart"/>
      <w:r>
        <w:t>current status</w:t>
      </w:r>
      <w:proofErr w:type="gramEnd"/>
      <w:r>
        <w:t xml:space="preserve"> of all activities within the Concessionaire’s Implementation Plan to the </w:t>
      </w:r>
      <w:r w:rsidR="00544048">
        <w:t>Council</w:t>
      </w:r>
      <w:r>
        <w:t xml:space="preserve"> at all times.</w:t>
      </w:r>
    </w:p>
    <w:p w14:paraId="638195FE" w14:textId="03D352B8" w:rsidR="006B0246" w:rsidRDefault="00B704B9" w:rsidP="006B0246">
      <w:pPr>
        <w:pStyle w:val="ListNumberNoSpacing2"/>
      </w:pPr>
      <w:r>
        <w:t xml:space="preserve">a </w:t>
      </w:r>
      <w:r w:rsidR="00555B84">
        <w:t>D</w:t>
      </w:r>
      <w:r>
        <w:t xml:space="preserve">esign </w:t>
      </w:r>
      <w:r w:rsidR="00555B84">
        <w:t>M</w:t>
      </w:r>
      <w:r>
        <w:t>anager, who shall</w:t>
      </w:r>
      <w:r w:rsidR="002846E8">
        <w:t xml:space="preserve"> </w:t>
      </w:r>
      <w:r>
        <w:t xml:space="preserve">co-ordinate the Concessionaire’s undertaking of the role and duties of principal </w:t>
      </w:r>
      <w:proofErr w:type="gramStart"/>
      <w:r>
        <w:t>designer;</w:t>
      </w:r>
      <w:proofErr w:type="gramEnd"/>
    </w:p>
    <w:p w14:paraId="7D63F489" w14:textId="3E74E848" w:rsidR="006B0246" w:rsidRDefault="00B704B9" w:rsidP="006B0246">
      <w:pPr>
        <w:pStyle w:val="ListNumberNoSpacing2"/>
      </w:pPr>
      <w:r>
        <w:t xml:space="preserve">a </w:t>
      </w:r>
      <w:r w:rsidR="00555B84">
        <w:t>C</w:t>
      </w:r>
      <w:r>
        <w:t xml:space="preserve">onstruction </w:t>
      </w:r>
      <w:r w:rsidR="00555B84">
        <w:t>M</w:t>
      </w:r>
      <w:r>
        <w:t>anager, who shall</w:t>
      </w:r>
      <w:r w:rsidR="002846E8">
        <w:t xml:space="preserve"> </w:t>
      </w:r>
      <w:r>
        <w:t xml:space="preserve">co-ordinate the Concessionaire’s undertaking of the role and duties of principal </w:t>
      </w:r>
      <w:proofErr w:type="gramStart"/>
      <w:r>
        <w:t>contractor;</w:t>
      </w:r>
      <w:proofErr w:type="gramEnd"/>
    </w:p>
    <w:p w14:paraId="3D59C0B8" w14:textId="5BFE5D5E" w:rsidR="006B0246" w:rsidRDefault="00B704B9" w:rsidP="006B0246">
      <w:pPr>
        <w:pStyle w:val="ListNumberNoSpacing2"/>
      </w:pPr>
      <w:r>
        <w:t xml:space="preserve">an </w:t>
      </w:r>
      <w:r w:rsidR="00555B84">
        <w:t>O</w:t>
      </w:r>
      <w:r>
        <w:t xml:space="preserve">perations </w:t>
      </w:r>
      <w:r w:rsidR="00555B84">
        <w:t>M</w:t>
      </w:r>
      <w:r>
        <w:t>anager, who shall: be responsible for the day-to-day operation and maintenance of the installed charge points; and</w:t>
      </w:r>
    </w:p>
    <w:p w14:paraId="65C54E25" w14:textId="4F565077" w:rsidR="00B704B9" w:rsidRDefault="00B704B9" w:rsidP="000F1D81">
      <w:pPr>
        <w:pStyle w:val="ListNumberNoSpacing2"/>
      </w:pPr>
      <w:r>
        <w:t>other personnel, as nominated by the Concessionaire, who are necessary to assure:</w:t>
      </w:r>
    </w:p>
    <w:p w14:paraId="5B808A1F" w14:textId="7FA16EB1" w:rsidR="00C332F2" w:rsidRDefault="00B704B9" w:rsidP="000F1D81">
      <w:pPr>
        <w:pStyle w:val="ListParagraph"/>
        <w:numPr>
          <w:ilvl w:val="0"/>
          <w:numId w:val="30"/>
        </w:numPr>
        <w:ind w:left="1418"/>
      </w:pPr>
      <w:r>
        <w:t xml:space="preserve">delivery of the Concessionaire’s obligations under the </w:t>
      </w:r>
      <w:r w:rsidR="00212D63">
        <w:t xml:space="preserve">Concession </w:t>
      </w:r>
      <w:proofErr w:type="gramStart"/>
      <w:r w:rsidR="00212D63">
        <w:t>Agreement</w:t>
      </w:r>
      <w:r>
        <w:t>;</w:t>
      </w:r>
      <w:proofErr w:type="gramEnd"/>
    </w:p>
    <w:p w14:paraId="6D27F9CE" w14:textId="48F6D968" w:rsidR="00C332F2" w:rsidRDefault="00B704B9" w:rsidP="000F1D81">
      <w:pPr>
        <w:pStyle w:val="ListParagraph"/>
        <w:numPr>
          <w:ilvl w:val="0"/>
          <w:numId w:val="30"/>
        </w:numPr>
        <w:ind w:left="1418"/>
      </w:pPr>
      <w:r>
        <w:t xml:space="preserve">the health, safety and wellbeing of all persons affected by the activities described in the </w:t>
      </w:r>
      <w:r w:rsidR="00212D63">
        <w:t xml:space="preserve">Concession </w:t>
      </w:r>
      <w:proofErr w:type="gramStart"/>
      <w:r w:rsidR="00212D63">
        <w:t>Agreement</w:t>
      </w:r>
      <w:r>
        <w:t>;</w:t>
      </w:r>
      <w:proofErr w:type="gramEnd"/>
    </w:p>
    <w:p w14:paraId="66259940" w14:textId="77777777" w:rsidR="00C332F2" w:rsidRDefault="00B704B9" w:rsidP="000F1D81">
      <w:pPr>
        <w:pStyle w:val="ListParagraph"/>
        <w:numPr>
          <w:ilvl w:val="0"/>
          <w:numId w:val="30"/>
        </w:numPr>
        <w:ind w:left="1418"/>
      </w:pPr>
      <w:r>
        <w:t>the quality of Services; and</w:t>
      </w:r>
    </w:p>
    <w:p w14:paraId="246CD8DC" w14:textId="224C5A01" w:rsidR="00B704B9" w:rsidRDefault="00B704B9" w:rsidP="000F1D81">
      <w:pPr>
        <w:pStyle w:val="ListParagraph"/>
        <w:numPr>
          <w:ilvl w:val="0"/>
          <w:numId w:val="30"/>
        </w:numPr>
        <w:ind w:left="1418"/>
      </w:pPr>
      <w:r>
        <w:t>resilience and succession planning within the Concessionaire’s delivery team.</w:t>
      </w:r>
    </w:p>
    <w:p w14:paraId="7EC83201" w14:textId="77777777" w:rsidR="00B704B9" w:rsidRDefault="00B704B9" w:rsidP="00C332F2">
      <w:pPr>
        <w:pStyle w:val="Heading3"/>
      </w:pPr>
      <w:r>
        <w:t>Roles may be combined with the same individual performing one or more roles.</w:t>
      </w:r>
    </w:p>
    <w:p w14:paraId="61335882" w14:textId="77777777" w:rsidR="00B704B9" w:rsidRDefault="00B704B9" w:rsidP="00C332F2">
      <w:pPr>
        <w:pStyle w:val="Heading2"/>
      </w:pPr>
      <w:bookmarkStart w:id="4" w:name="_Toc205309804"/>
      <w:bookmarkStart w:id="5" w:name="_Toc211513056"/>
      <w:r>
        <w:t>Construction (Design and Management) Regulations 2015</w:t>
      </w:r>
      <w:bookmarkEnd w:id="4"/>
      <w:bookmarkEnd w:id="5"/>
    </w:p>
    <w:p w14:paraId="09D74EB8" w14:textId="4FE8C158" w:rsidR="00B704B9" w:rsidRDefault="00B704B9" w:rsidP="00C332F2">
      <w:pPr>
        <w:pStyle w:val="Heading3"/>
      </w:pPr>
      <w:r>
        <w:t xml:space="preserve">The </w:t>
      </w:r>
      <w:r w:rsidR="00544048">
        <w:t>Council</w:t>
      </w:r>
      <w:r>
        <w:t xml:space="preserve"> is the sole client for the purposes of the Construction (Design and Management) Regulations 2015. The </w:t>
      </w:r>
      <w:r w:rsidR="00544048">
        <w:t>Council</w:t>
      </w:r>
      <w:r>
        <w:t>’s arrangements for the management of the Concession during the Concession Term</w:t>
      </w:r>
      <w:r w:rsidR="00174743">
        <w:t xml:space="preserve"> </w:t>
      </w:r>
      <w:r>
        <w:t>are summarised in Appendix A.</w:t>
      </w:r>
      <w:r w:rsidR="006E0528">
        <w:t>2</w:t>
      </w:r>
      <w:r>
        <w:t>.</w:t>
      </w:r>
    </w:p>
    <w:p w14:paraId="23F39401" w14:textId="1BFA4E60" w:rsidR="00B704B9" w:rsidRDefault="00B704B9" w:rsidP="00C332F2">
      <w:pPr>
        <w:pStyle w:val="Heading3"/>
      </w:pPr>
      <w:r>
        <w:t xml:space="preserve">The </w:t>
      </w:r>
      <w:r w:rsidR="00544048">
        <w:t>Council</w:t>
      </w:r>
      <w:r>
        <w:t xml:space="preserve"> will appoint the Concessionaire as Principal Designer and Principal Contractor for the Concession in accordance with the Construction Design and Management Regulations 2015. The Concessionaire shall accept and acknowledge the </w:t>
      </w:r>
      <w:r w:rsidR="00544048">
        <w:t>Council</w:t>
      </w:r>
      <w:r>
        <w:t xml:space="preserve">’s appointments of the Concessionaire as Principal Designer and Principal Contractor in writing within two weeks of receipt of the </w:t>
      </w:r>
      <w:r w:rsidR="00544048">
        <w:t>Council</w:t>
      </w:r>
      <w:r>
        <w:t>’s Letter of award.</w:t>
      </w:r>
    </w:p>
    <w:p w14:paraId="5281B5D1" w14:textId="72C236E2" w:rsidR="00B704B9" w:rsidRDefault="00B704B9" w:rsidP="00C332F2">
      <w:pPr>
        <w:pStyle w:val="Heading3"/>
      </w:pPr>
      <w:r>
        <w:t xml:space="preserve">In undertaking the roles and duties of </w:t>
      </w:r>
      <w:r w:rsidR="00212D63">
        <w:t>P</w:t>
      </w:r>
      <w:r>
        <w:t xml:space="preserve">rincipal </w:t>
      </w:r>
      <w:r w:rsidR="00212D63">
        <w:t>D</w:t>
      </w:r>
      <w:r>
        <w:t xml:space="preserve">esigner and </w:t>
      </w:r>
      <w:r w:rsidR="00212D63">
        <w:t>P</w:t>
      </w:r>
      <w:r>
        <w:t xml:space="preserve">rincipal </w:t>
      </w:r>
      <w:r w:rsidR="00212D63">
        <w:t>C</w:t>
      </w:r>
      <w:r>
        <w:t xml:space="preserve">ontractor, the Concessionaire shall consider the Health and Safety Executive's "Managing health and safety in construction, Construction (Design and Management) Regulations 2015, Guidance on Regulations, L153, </w:t>
      </w:r>
      <w:proofErr w:type="gramStart"/>
      <w:r>
        <w:t>Published</w:t>
      </w:r>
      <w:proofErr w:type="gramEnd"/>
      <w:r>
        <w:t xml:space="preserve"> 2015" as </w:t>
      </w:r>
      <w:r w:rsidR="008A70BA">
        <w:t>g</w:t>
      </w:r>
      <w:r>
        <w:t xml:space="preserve">ood </w:t>
      </w:r>
      <w:r w:rsidR="008A70BA">
        <w:t>i</w:t>
      </w:r>
      <w:r>
        <w:t xml:space="preserve">ndustry </w:t>
      </w:r>
      <w:r w:rsidR="008A70BA">
        <w:t>p</w:t>
      </w:r>
      <w:r>
        <w:t xml:space="preserve">ractice, unless agreed otherwise with the </w:t>
      </w:r>
      <w:r w:rsidR="00544048">
        <w:t>Council</w:t>
      </w:r>
      <w:r>
        <w:t>.</w:t>
      </w:r>
    </w:p>
    <w:p w14:paraId="70806900" w14:textId="77777777" w:rsidR="00D513E6" w:rsidRPr="00D513E6" w:rsidRDefault="00D513E6" w:rsidP="00D513E6"/>
    <w:p w14:paraId="5528E964" w14:textId="77777777" w:rsidR="00B704B9" w:rsidRDefault="00B704B9" w:rsidP="00C332F2">
      <w:pPr>
        <w:pStyle w:val="Heading2"/>
      </w:pPr>
      <w:bookmarkStart w:id="6" w:name="_Toc205309805"/>
      <w:bookmarkStart w:id="7" w:name="_Toc211513057"/>
      <w:r>
        <w:lastRenderedPageBreak/>
        <w:t>Implementation Plan</w:t>
      </w:r>
      <w:bookmarkEnd w:id="6"/>
      <w:bookmarkEnd w:id="7"/>
    </w:p>
    <w:p w14:paraId="1D8E92B2" w14:textId="654E69B7" w:rsidR="00B704B9" w:rsidRDefault="00B704B9" w:rsidP="00D513E6">
      <w:pPr>
        <w:pStyle w:val="Heading3"/>
      </w:pPr>
      <w:r>
        <w:t xml:space="preserve">The Concessionaire is to </w:t>
      </w:r>
      <w:r w:rsidR="00F335E5">
        <w:t>finalise</w:t>
      </w:r>
      <w:r>
        <w:t xml:space="preserve"> </w:t>
      </w:r>
      <w:r w:rsidR="00F335E5">
        <w:t xml:space="preserve">and </w:t>
      </w:r>
      <w:r w:rsidR="005D19E4">
        <w:t>enact their</w:t>
      </w:r>
      <w:r>
        <w:t xml:space="preserve"> Implementation Plan at the time of Concession award. The Implementation Plan prepared by the Concessionaire shall set out:</w:t>
      </w:r>
    </w:p>
    <w:p w14:paraId="3799178C" w14:textId="643992F7" w:rsidR="00D513E6" w:rsidRDefault="00B704B9" w:rsidP="00B704B9">
      <w:pPr>
        <w:pStyle w:val="Heading3"/>
      </w:pPr>
      <w:r>
        <w:t>Milestones and Milestone Dates which reflect the indicative delivery phases illustrated in Appendix A.</w:t>
      </w:r>
      <w:r w:rsidR="004F507E">
        <w:t>1</w:t>
      </w:r>
      <w:r>
        <w:t xml:space="preserve">, which are summarised in sub-clauses </w:t>
      </w:r>
      <w:r w:rsidR="004F507E">
        <w:t>a</w:t>
      </w:r>
      <w:r>
        <w:t xml:space="preserve">. to </w:t>
      </w:r>
      <w:r w:rsidR="004F507E">
        <w:t>e</w:t>
      </w:r>
      <w:r>
        <w:t>. inclusive, and described in section 2:</w:t>
      </w:r>
    </w:p>
    <w:p w14:paraId="3A14E24E" w14:textId="2882A8F9" w:rsidR="00B704B9" w:rsidRDefault="00B704B9" w:rsidP="000F1D81">
      <w:pPr>
        <w:pStyle w:val="ListNumberNoSpacing2"/>
        <w:numPr>
          <w:ilvl w:val="1"/>
          <w:numId w:val="31"/>
        </w:numPr>
      </w:pPr>
      <w:r>
        <w:t xml:space="preserve">site </w:t>
      </w:r>
      <w:proofErr w:type="gramStart"/>
      <w:r>
        <w:t>identification;</w:t>
      </w:r>
      <w:proofErr w:type="gramEnd"/>
    </w:p>
    <w:p w14:paraId="4E3A9B1C" w14:textId="3F8C93F7" w:rsidR="00B704B9" w:rsidRDefault="00B704B9" w:rsidP="00D513E6">
      <w:pPr>
        <w:pStyle w:val="ListNumberNoSpacing2"/>
      </w:pPr>
      <w:r>
        <w:t xml:space="preserve">site delivery </w:t>
      </w:r>
      <w:proofErr w:type="gramStart"/>
      <w:r>
        <w:t>planning;</w:t>
      </w:r>
      <w:proofErr w:type="gramEnd"/>
    </w:p>
    <w:p w14:paraId="395D5F22" w14:textId="3EF95770" w:rsidR="00B704B9" w:rsidRDefault="00B704B9" w:rsidP="00D513E6">
      <w:pPr>
        <w:pStyle w:val="ListNumberNoSpacing2"/>
      </w:pPr>
      <w:r>
        <w:t xml:space="preserve">site </w:t>
      </w:r>
      <w:proofErr w:type="gramStart"/>
      <w:r>
        <w:t>delivery;</w:t>
      </w:r>
      <w:proofErr w:type="gramEnd"/>
    </w:p>
    <w:p w14:paraId="4E176CA6" w14:textId="3E20CB96" w:rsidR="00B704B9" w:rsidRDefault="00B704B9" w:rsidP="00D513E6">
      <w:pPr>
        <w:pStyle w:val="ListNumberNoSpacing2"/>
      </w:pPr>
      <w:r>
        <w:t>site operations and maintenance; and</w:t>
      </w:r>
    </w:p>
    <w:p w14:paraId="73AFF937" w14:textId="1AD47A8B" w:rsidR="00B704B9" w:rsidRDefault="00212D63" w:rsidP="00D513E6">
      <w:pPr>
        <w:pStyle w:val="ListNumberNoSpacing2"/>
      </w:pPr>
      <w:r>
        <w:t>Concession Agreement</w:t>
      </w:r>
      <w:r w:rsidR="00B704B9">
        <w:t xml:space="preserve"> close-out.</w:t>
      </w:r>
    </w:p>
    <w:p w14:paraId="40F895D0" w14:textId="646FC137" w:rsidR="00B704B9" w:rsidRDefault="00B704B9" w:rsidP="00D513E6">
      <w:pPr>
        <w:pStyle w:val="Heading3"/>
      </w:pPr>
      <w:r>
        <w:t xml:space="preserve">The key activities that the Concessionaire will undertake and the outputs that the Concessionaire will produce during each of the </w:t>
      </w:r>
      <w:proofErr w:type="gramStart"/>
      <w:r>
        <w:t xml:space="preserve">aforementioned </w:t>
      </w:r>
      <w:r w:rsidR="00212D63">
        <w:t>Concession</w:t>
      </w:r>
      <w:proofErr w:type="gramEnd"/>
      <w:r w:rsidR="00212D63">
        <w:t xml:space="preserve"> Agreement</w:t>
      </w:r>
      <w:r>
        <w:t xml:space="preserve"> delivery phases, including the </w:t>
      </w:r>
      <w:proofErr w:type="gramStart"/>
      <w:r>
        <w:t>particular activities</w:t>
      </w:r>
      <w:proofErr w:type="gramEnd"/>
      <w:r>
        <w:t xml:space="preserve"> and outputs identified in section 2.</w:t>
      </w:r>
    </w:p>
    <w:p w14:paraId="34A4AA82" w14:textId="0CF3C1CE" w:rsidR="00B704B9" w:rsidRDefault="00B704B9" w:rsidP="00CB2622">
      <w:pPr>
        <w:pStyle w:val="Heading3"/>
      </w:pPr>
      <w:r>
        <w:t>The Concessionaire shall update the Implementation Plan to include the Concessionaire’s activities and outputs with respect to each site selected for the installation and operation of new charge points when further information becomes available and in advance of</w:t>
      </w:r>
      <w:r w:rsidR="00CB2622">
        <w:t xml:space="preserve"> </w:t>
      </w:r>
      <w:r>
        <w:t xml:space="preserve">Stage Gate review meetings with the </w:t>
      </w:r>
      <w:r w:rsidR="00544048">
        <w:t>Council</w:t>
      </w:r>
      <w:r>
        <w:t>, as described in section 2; and</w:t>
      </w:r>
    </w:p>
    <w:p w14:paraId="1749AA25" w14:textId="719795A5" w:rsidR="00932B9A" w:rsidRDefault="00932B9A" w:rsidP="00932B9A">
      <w:pPr>
        <w:pStyle w:val="Heading3"/>
      </w:pPr>
      <w:r>
        <w:t xml:space="preserve">The Implementation Plan shall be presented in the form of a bar chart produced </w:t>
      </w:r>
      <w:proofErr w:type="gramStart"/>
      <w:r>
        <w:t>as a result of</w:t>
      </w:r>
      <w:proofErr w:type="gramEnd"/>
      <w:r>
        <w:t xml:space="preserve"> a ‘critical path analysis’ and must abide by all the constraints identified in the </w:t>
      </w:r>
      <w:r w:rsidR="00212D63">
        <w:t>Concession Agreement</w:t>
      </w:r>
      <w:r>
        <w:t>. Each activity and output identified in the Implementation Plan shall be given a short title and shall be uniquely numbered; and detailed with its start date, finish date, and duration.</w:t>
      </w:r>
    </w:p>
    <w:p w14:paraId="1DC3D030" w14:textId="1F6ECDF7" w:rsidR="00932B9A" w:rsidRPr="00932B9A" w:rsidRDefault="00B704B9" w:rsidP="00932B9A">
      <w:pPr>
        <w:pStyle w:val="Heading3"/>
      </w:pPr>
      <w:r>
        <w:t xml:space="preserve">In planning and scheduling the Concessionaire’s activities and outputs, the Concessionaire shall seek to minimise the overall duration of the </w:t>
      </w:r>
      <w:r w:rsidR="001F579B">
        <w:t>W</w:t>
      </w:r>
      <w:r>
        <w:t>orks in so far as is practicable.</w:t>
      </w:r>
    </w:p>
    <w:p w14:paraId="321C7D3E" w14:textId="4091E31B" w:rsidR="00932B9A" w:rsidRDefault="00B704B9" w:rsidP="00932B9A">
      <w:pPr>
        <w:pStyle w:val="Heading3"/>
      </w:pPr>
      <w:r>
        <w:t>In planning and scheduling the Concessionaire’s activities and outputs, the Concessionaire should plan to minimise the effort, cost and waste related to any future decommissioning and disposal activities. For example, designing infrastructure for easy removal or replacement, maximising the recyclable material content of infrastructures and reducing the quantity materials which need disposing of at the end of life.</w:t>
      </w:r>
    </w:p>
    <w:p w14:paraId="34430CCF" w14:textId="77777777" w:rsidR="00E113B7" w:rsidRPr="00E113B7" w:rsidRDefault="00E113B7" w:rsidP="00E113B7"/>
    <w:p w14:paraId="09105334" w14:textId="77777777" w:rsidR="00B704B9" w:rsidRDefault="00B704B9" w:rsidP="00932B9A">
      <w:pPr>
        <w:pStyle w:val="Heading2"/>
      </w:pPr>
      <w:bookmarkStart w:id="8" w:name="_Toc205309806"/>
      <w:bookmarkStart w:id="9" w:name="_Toc211513058"/>
      <w:r>
        <w:lastRenderedPageBreak/>
        <w:t>Health, Safety, Environmental and Quality (HSEQ) Management</w:t>
      </w:r>
      <w:bookmarkEnd w:id="8"/>
      <w:bookmarkEnd w:id="9"/>
    </w:p>
    <w:p w14:paraId="52549601" w14:textId="77777777" w:rsidR="00B704B9" w:rsidRDefault="00B704B9" w:rsidP="00932B9A">
      <w:pPr>
        <w:pStyle w:val="Heading3"/>
      </w:pPr>
      <w:r>
        <w:t>The Concessionaire should evidence that they and their sub-contractors have a safety management process in place with a full set of suitable, up-to-date and regularly reviewed health and safety policies relevant to the required Services.</w:t>
      </w:r>
    </w:p>
    <w:p w14:paraId="120B9356" w14:textId="77777777" w:rsidR="00B704B9" w:rsidRDefault="00B704B9" w:rsidP="00932B9A">
      <w:pPr>
        <w:pStyle w:val="Heading3"/>
      </w:pPr>
      <w:r>
        <w:t>Contractors shall operate in compliance with:</w:t>
      </w:r>
    </w:p>
    <w:p w14:paraId="611FFE17" w14:textId="4446E428" w:rsidR="00B704B9" w:rsidRDefault="00B704B9" w:rsidP="000F1D81">
      <w:pPr>
        <w:pStyle w:val="ListNumberNoSpacing2"/>
        <w:numPr>
          <w:ilvl w:val="1"/>
          <w:numId w:val="32"/>
        </w:numPr>
      </w:pPr>
      <w:r>
        <w:t xml:space="preserve">The Health and Safety at Work etc Act </w:t>
      </w:r>
      <w:proofErr w:type="gramStart"/>
      <w:r>
        <w:t>1974;</w:t>
      </w:r>
      <w:proofErr w:type="gramEnd"/>
      <w:r>
        <w:t xml:space="preserve"> </w:t>
      </w:r>
    </w:p>
    <w:p w14:paraId="2363ACDF" w14:textId="6484E380" w:rsidR="00B704B9" w:rsidRDefault="00B704B9" w:rsidP="00932B9A">
      <w:pPr>
        <w:pStyle w:val="ListNumberNoSpacing2"/>
      </w:pPr>
      <w:r>
        <w:t>The Management of Health and Safety at Work Regulations 1999.</w:t>
      </w:r>
    </w:p>
    <w:p w14:paraId="69AB5F9D" w14:textId="77777777" w:rsidR="00707703" w:rsidRDefault="00B704B9" w:rsidP="00B704B9">
      <w:pPr>
        <w:pStyle w:val="ListNumberNoSpacing2"/>
      </w:pPr>
      <w:r>
        <w:t>New Roads and Street Works Act 1991; and</w:t>
      </w:r>
    </w:p>
    <w:p w14:paraId="092A8136" w14:textId="76B3C577" w:rsidR="00B704B9" w:rsidRDefault="00B704B9" w:rsidP="00B704B9">
      <w:pPr>
        <w:pStyle w:val="ListNumberNoSpacing2"/>
      </w:pPr>
      <w:r>
        <w:t>All relevant regulations for the work activities being undertaken. This may include, but is not limited to:</w:t>
      </w:r>
    </w:p>
    <w:p w14:paraId="3EABAEC3" w14:textId="43E97177" w:rsidR="00B704B9" w:rsidRDefault="00B704B9" w:rsidP="000F1D81">
      <w:pPr>
        <w:pStyle w:val="ListParagraph"/>
        <w:numPr>
          <w:ilvl w:val="0"/>
          <w:numId w:val="33"/>
        </w:numPr>
        <w:ind w:left="1418"/>
      </w:pPr>
      <w:r>
        <w:t xml:space="preserve">The Electricity Safety, Quality and Continuity Regulations (ESQCR) </w:t>
      </w:r>
      <w:proofErr w:type="gramStart"/>
      <w:r>
        <w:t>2002;</w:t>
      </w:r>
      <w:proofErr w:type="gramEnd"/>
    </w:p>
    <w:p w14:paraId="5B5C46E1" w14:textId="132A6E36" w:rsidR="00B704B9" w:rsidRDefault="00B704B9" w:rsidP="000F1D81">
      <w:pPr>
        <w:pStyle w:val="ListParagraph"/>
        <w:numPr>
          <w:ilvl w:val="0"/>
          <w:numId w:val="33"/>
        </w:numPr>
        <w:ind w:left="1418"/>
      </w:pPr>
      <w:r>
        <w:t xml:space="preserve">The Construction (Design and Management) Regulations 2015. The </w:t>
      </w:r>
      <w:r w:rsidR="00544048">
        <w:t>Council</w:t>
      </w:r>
      <w:r>
        <w:t xml:space="preserve"> and Concessionaire shall mutually identify and assign required </w:t>
      </w:r>
      <w:proofErr w:type="spellStart"/>
      <w:r>
        <w:t>Dutyholder</w:t>
      </w:r>
      <w:proofErr w:type="spellEnd"/>
      <w:r>
        <w:t xml:space="preserve"> </w:t>
      </w:r>
      <w:proofErr w:type="gramStart"/>
      <w:r>
        <w:t>roles;</w:t>
      </w:r>
      <w:proofErr w:type="gramEnd"/>
    </w:p>
    <w:p w14:paraId="7E180FFC" w14:textId="2540CC04" w:rsidR="00B704B9" w:rsidRDefault="00B704B9" w:rsidP="000F1D81">
      <w:pPr>
        <w:pStyle w:val="ListParagraph"/>
        <w:numPr>
          <w:ilvl w:val="0"/>
          <w:numId w:val="33"/>
        </w:numPr>
        <w:ind w:left="1418"/>
      </w:pPr>
      <w:r>
        <w:t xml:space="preserve">The Control of Noise at Work Regulations </w:t>
      </w:r>
      <w:proofErr w:type="gramStart"/>
      <w:r>
        <w:t>2005;</w:t>
      </w:r>
      <w:proofErr w:type="gramEnd"/>
    </w:p>
    <w:p w14:paraId="7C2A261D" w14:textId="16D3EC9F" w:rsidR="00B704B9" w:rsidRDefault="00B704B9" w:rsidP="000F1D81">
      <w:pPr>
        <w:pStyle w:val="ListParagraph"/>
        <w:numPr>
          <w:ilvl w:val="0"/>
          <w:numId w:val="33"/>
        </w:numPr>
        <w:ind w:left="1418"/>
      </w:pPr>
      <w:r>
        <w:t xml:space="preserve">The Control of Substances Hazardous to Health (Amendment) Regulations </w:t>
      </w:r>
      <w:proofErr w:type="gramStart"/>
      <w:r>
        <w:t>2004;</w:t>
      </w:r>
      <w:proofErr w:type="gramEnd"/>
    </w:p>
    <w:p w14:paraId="78051234" w14:textId="0E2D8605" w:rsidR="00B704B9" w:rsidRDefault="00B704B9" w:rsidP="000F1D81">
      <w:pPr>
        <w:pStyle w:val="ListParagraph"/>
        <w:numPr>
          <w:ilvl w:val="0"/>
          <w:numId w:val="33"/>
        </w:numPr>
        <w:ind w:left="1418"/>
      </w:pPr>
      <w:r>
        <w:t xml:space="preserve">The Control of Vibration at Work Regulations </w:t>
      </w:r>
      <w:proofErr w:type="gramStart"/>
      <w:r>
        <w:t>2005;</w:t>
      </w:r>
      <w:proofErr w:type="gramEnd"/>
    </w:p>
    <w:p w14:paraId="759855D7" w14:textId="2D3974F8" w:rsidR="00B704B9" w:rsidRDefault="00B704B9" w:rsidP="000F1D81">
      <w:pPr>
        <w:pStyle w:val="ListParagraph"/>
        <w:numPr>
          <w:ilvl w:val="0"/>
          <w:numId w:val="33"/>
        </w:numPr>
        <w:ind w:left="1418"/>
      </w:pPr>
      <w:r>
        <w:t xml:space="preserve">The Electricity at Work Regulations </w:t>
      </w:r>
      <w:proofErr w:type="gramStart"/>
      <w:r>
        <w:t>1989;</w:t>
      </w:r>
      <w:proofErr w:type="gramEnd"/>
    </w:p>
    <w:p w14:paraId="70220A2B" w14:textId="45836F7E" w:rsidR="00B704B9" w:rsidRDefault="00B704B9" w:rsidP="000F1D81">
      <w:pPr>
        <w:pStyle w:val="ListParagraph"/>
        <w:numPr>
          <w:ilvl w:val="0"/>
          <w:numId w:val="33"/>
        </w:numPr>
        <w:ind w:left="1418"/>
      </w:pPr>
      <w:r>
        <w:t xml:space="preserve">The Lifting Operations and Lifting Equipment Regulations </w:t>
      </w:r>
      <w:proofErr w:type="gramStart"/>
      <w:r>
        <w:t>1998;</w:t>
      </w:r>
      <w:proofErr w:type="gramEnd"/>
    </w:p>
    <w:p w14:paraId="64ED1791" w14:textId="4D1A02F0" w:rsidR="00B704B9" w:rsidRDefault="00B704B9" w:rsidP="000F1D81">
      <w:pPr>
        <w:pStyle w:val="ListParagraph"/>
        <w:numPr>
          <w:ilvl w:val="0"/>
          <w:numId w:val="33"/>
        </w:numPr>
        <w:ind w:left="1418"/>
      </w:pPr>
      <w:r>
        <w:t xml:space="preserve">The Manual Handling Operations Regulations </w:t>
      </w:r>
      <w:proofErr w:type="gramStart"/>
      <w:r>
        <w:t>19921;</w:t>
      </w:r>
      <w:proofErr w:type="gramEnd"/>
    </w:p>
    <w:p w14:paraId="76AE10EE" w14:textId="6B13EE75" w:rsidR="00B704B9" w:rsidRDefault="00B704B9" w:rsidP="000F1D81">
      <w:pPr>
        <w:pStyle w:val="ListParagraph"/>
        <w:numPr>
          <w:ilvl w:val="0"/>
          <w:numId w:val="33"/>
        </w:numPr>
        <w:ind w:left="1418"/>
      </w:pPr>
      <w:r>
        <w:t>The Provision and Use of Work Equipment Regulations (PUWER) 1998; and</w:t>
      </w:r>
    </w:p>
    <w:p w14:paraId="0ECC72F3" w14:textId="699CC41E" w:rsidR="00B704B9" w:rsidRDefault="00B704B9" w:rsidP="000F1D81">
      <w:pPr>
        <w:pStyle w:val="ListParagraph"/>
        <w:numPr>
          <w:ilvl w:val="0"/>
          <w:numId w:val="33"/>
        </w:numPr>
        <w:ind w:left="1418"/>
      </w:pPr>
      <w:r>
        <w:t>The Work at Height Regulations 2005.</w:t>
      </w:r>
    </w:p>
    <w:p w14:paraId="2196F1AF" w14:textId="1398577C" w:rsidR="009F13FF" w:rsidRDefault="00B704B9" w:rsidP="00B704B9">
      <w:pPr>
        <w:pStyle w:val="Heading3"/>
      </w:pPr>
      <w:r>
        <w:t xml:space="preserve">The Concessionaire shall prepare and implement a </w:t>
      </w:r>
      <w:r w:rsidR="00212D63">
        <w:t>Concession Agreement</w:t>
      </w:r>
      <w:r>
        <w:t xml:space="preserve">-specific </w:t>
      </w:r>
      <w:r w:rsidR="00BE7465">
        <w:t>H</w:t>
      </w:r>
      <w:r>
        <w:t xml:space="preserve">ealth, </w:t>
      </w:r>
      <w:r w:rsidR="00BE7465">
        <w:t>S</w:t>
      </w:r>
      <w:r>
        <w:t xml:space="preserve">afety, </w:t>
      </w:r>
      <w:r w:rsidR="00BE7465">
        <w:t>E</w:t>
      </w:r>
      <w:r>
        <w:t xml:space="preserve">nvironmental and </w:t>
      </w:r>
      <w:r w:rsidR="00BE7465">
        <w:t>Q</w:t>
      </w:r>
      <w:r>
        <w:t xml:space="preserve">uality (HSEQ) plan which shall detail the Concessionaire’s arrangements for the management of health, safety, the environment and quality during the </w:t>
      </w:r>
      <w:r w:rsidR="00212D63">
        <w:t>term of the Concession Agreement</w:t>
      </w:r>
      <w:r>
        <w:t>.</w:t>
      </w:r>
    </w:p>
    <w:p w14:paraId="6371C39C" w14:textId="77F356A6" w:rsidR="00B704B9" w:rsidRDefault="00B704B9" w:rsidP="009F13FF">
      <w:pPr>
        <w:pStyle w:val="Heading3"/>
      </w:pPr>
      <w:r>
        <w:t xml:space="preserve">The Concessionaire should consider the need for the completion of any Environmental Impact Assessment (EIA) in relation to the Scope of Work and shall inform the </w:t>
      </w:r>
      <w:r w:rsidR="00544048">
        <w:t>Council</w:t>
      </w:r>
      <w:r>
        <w:t xml:space="preserve"> of the need for an EIA as soon as is reasonably practicable.</w:t>
      </w:r>
    </w:p>
    <w:p w14:paraId="7D7E9682" w14:textId="77777777" w:rsidR="00E113B7" w:rsidRPr="00E113B7" w:rsidRDefault="00E113B7" w:rsidP="00E113B7"/>
    <w:p w14:paraId="1E6A2C0A" w14:textId="5E6B2517" w:rsidR="00B704B9" w:rsidRDefault="00B704B9" w:rsidP="009F13FF">
      <w:pPr>
        <w:pStyle w:val="Heading3"/>
      </w:pPr>
      <w:r>
        <w:lastRenderedPageBreak/>
        <w:t xml:space="preserve">The Concessionaire’s HSEQ plan shall be prepared and updated for each of the </w:t>
      </w:r>
      <w:r w:rsidR="00212D63">
        <w:t>Concession Agreement</w:t>
      </w:r>
      <w:r>
        <w:t xml:space="preserve"> delivery phases identified in Appendix A.</w:t>
      </w:r>
      <w:r w:rsidR="00524522">
        <w:t>1</w:t>
      </w:r>
      <w:r>
        <w:t xml:space="preserve">. </w:t>
      </w:r>
    </w:p>
    <w:p w14:paraId="6A28327A" w14:textId="6EF583E6" w:rsidR="00B704B9" w:rsidRDefault="00B704B9" w:rsidP="009F13FF">
      <w:pPr>
        <w:pStyle w:val="Heading3"/>
      </w:pPr>
      <w:r>
        <w:t xml:space="preserve">The initial HSEQ plan shall be submitted to the </w:t>
      </w:r>
      <w:r w:rsidR="00544048">
        <w:t>Council</w:t>
      </w:r>
      <w:r>
        <w:t xml:space="preserve"> within four weeks of the </w:t>
      </w:r>
      <w:r w:rsidR="00BA6038">
        <w:t>start of the Concession</w:t>
      </w:r>
      <w:r>
        <w:t xml:space="preserve"> for the </w:t>
      </w:r>
      <w:r w:rsidR="00544048">
        <w:t>Council</w:t>
      </w:r>
      <w:r>
        <w:t xml:space="preserve"> to review the plan in the context of the </w:t>
      </w:r>
      <w:r w:rsidR="00212D63">
        <w:t>Concession Agreement</w:t>
      </w:r>
      <w:r>
        <w:t xml:space="preserve"> requirements and to provide comments which the Concessionaire shall address in a final version of the initial plan.</w:t>
      </w:r>
    </w:p>
    <w:p w14:paraId="23257107" w14:textId="0A795D74" w:rsidR="00B704B9" w:rsidRDefault="00B704B9" w:rsidP="009F13FF">
      <w:pPr>
        <w:pStyle w:val="Heading3"/>
      </w:pPr>
      <w:r>
        <w:t xml:space="preserve">Subsequent updates to the HSEQ plan shall be submitted to the </w:t>
      </w:r>
      <w:r w:rsidR="00544048">
        <w:t>Council</w:t>
      </w:r>
      <w:r>
        <w:t xml:space="preserve"> as part of the Stage Gate review which precedes the next </w:t>
      </w:r>
      <w:r w:rsidR="00212D63">
        <w:t>Concession Agreement</w:t>
      </w:r>
      <w:r>
        <w:t xml:space="preserve"> delivery phase for the </w:t>
      </w:r>
      <w:r w:rsidR="00544048">
        <w:t>Council</w:t>
      </w:r>
      <w:r>
        <w:t xml:space="preserve"> to review the plan in the context of the </w:t>
      </w:r>
      <w:r w:rsidR="00212D63">
        <w:t>Concession Agreement</w:t>
      </w:r>
      <w:r>
        <w:t xml:space="preserve"> requirements and to provide comments which the Concessionaire shall address in a final version of each updated plan.</w:t>
      </w:r>
    </w:p>
    <w:p w14:paraId="6E6DD2EF" w14:textId="00E54ADB" w:rsidR="00B704B9" w:rsidRDefault="00B704B9" w:rsidP="009F13FF">
      <w:pPr>
        <w:pStyle w:val="Heading3"/>
      </w:pPr>
      <w:r>
        <w:t xml:space="preserve">The Concessionaire’s </w:t>
      </w:r>
      <w:r w:rsidR="00212D63">
        <w:t>Concession Agreement</w:t>
      </w:r>
      <w:r>
        <w:t>-specific HSEQ plan shall incorporate the safety and quality methodologies and commitments identified by the Concessionaire during tendering and the following items:</w:t>
      </w:r>
    </w:p>
    <w:p w14:paraId="06422046" w14:textId="75CC6781" w:rsidR="00B704B9" w:rsidRDefault="00B704B9" w:rsidP="000F1D81">
      <w:pPr>
        <w:pStyle w:val="ListNumberNoSpacing2"/>
        <w:numPr>
          <w:ilvl w:val="1"/>
          <w:numId w:val="34"/>
        </w:numPr>
      </w:pPr>
      <w:r>
        <w:t xml:space="preserve">The Concessionaire’s organisational arrangements </w:t>
      </w:r>
      <w:r w:rsidR="00212D63">
        <w:t>under</w:t>
      </w:r>
      <w:r>
        <w:t xml:space="preserve"> the </w:t>
      </w:r>
      <w:r w:rsidR="00212D63">
        <w:t>Concession Agreement</w:t>
      </w:r>
      <w:r>
        <w:t xml:space="preserve"> including:</w:t>
      </w:r>
    </w:p>
    <w:p w14:paraId="31DCE43D" w14:textId="0FF09019" w:rsidR="00B704B9" w:rsidRDefault="00B704B9" w:rsidP="000F1D81">
      <w:pPr>
        <w:pStyle w:val="ListParagraph"/>
        <w:numPr>
          <w:ilvl w:val="0"/>
          <w:numId w:val="35"/>
        </w:numPr>
        <w:ind w:left="1418"/>
      </w:pPr>
      <w:r>
        <w:t xml:space="preserve">a definition of the </w:t>
      </w:r>
      <w:r w:rsidR="00212D63">
        <w:t>Concession Agreement</w:t>
      </w:r>
      <w:r>
        <w:t xml:space="preserve"> and its </w:t>
      </w:r>
      <w:proofErr w:type="gramStart"/>
      <w:r>
        <w:t>documentation;</w:t>
      </w:r>
      <w:proofErr w:type="gramEnd"/>
    </w:p>
    <w:p w14:paraId="022CC497" w14:textId="01A375F6" w:rsidR="00B704B9" w:rsidRDefault="00B704B9" w:rsidP="000F1D81">
      <w:pPr>
        <w:pStyle w:val="ListParagraph"/>
        <w:numPr>
          <w:ilvl w:val="0"/>
          <w:numId w:val="35"/>
        </w:numPr>
        <w:ind w:left="1418"/>
      </w:pPr>
      <w:r>
        <w:t xml:space="preserve">the lines of command and communication links between parties involved in the </w:t>
      </w:r>
      <w:r w:rsidR="00212D63">
        <w:t xml:space="preserve">Concession </w:t>
      </w:r>
      <w:proofErr w:type="gramStart"/>
      <w:r w:rsidR="00212D63">
        <w:t>Agreement</w:t>
      </w:r>
      <w:r>
        <w:t>;</w:t>
      </w:r>
      <w:proofErr w:type="gramEnd"/>
    </w:p>
    <w:p w14:paraId="0A7E92D3" w14:textId="64A6CC64" w:rsidR="00B704B9" w:rsidRDefault="00B704B9" w:rsidP="000F1D81">
      <w:pPr>
        <w:pStyle w:val="ListParagraph"/>
        <w:numPr>
          <w:ilvl w:val="0"/>
          <w:numId w:val="35"/>
        </w:numPr>
        <w:ind w:left="1418"/>
      </w:pPr>
      <w:r>
        <w:t xml:space="preserve">the names, contact details, roles, responsibilities and </w:t>
      </w:r>
      <w:r w:rsidR="00544048">
        <w:t>authority</w:t>
      </w:r>
      <w:r>
        <w:t xml:space="preserve"> of the Key </w:t>
      </w:r>
      <w:proofErr w:type="gramStart"/>
      <w:r>
        <w:t>Personnel;</w:t>
      </w:r>
      <w:proofErr w:type="gramEnd"/>
    </w:p>
    <w:p w14:paraId="34D36473" w14:textId="49656774" w:rsidR="00B704B9" w:rsidRDefault="00B704B9" w:rsidP="000F1D81">
      <w:pPr>
        <w:pStyle w:val="ListParagraph"/>
        <w:numPr>
          <w:ilvl w:val="0"/>
          <w:numId w:val="35"/>
        </w:numPr>
        <w:ind w:left="1418"/>
      </w:pPr>
      <w:r>
        <w:t xml:space="preserve">identification of the Concessionaire’s own staff responsible for overseeing each activity and </w:t>
      </w:r>
      <w:proofErr w:type="gramStart"/>
      <w:r>
        <w:t>output;</w:t>
      </w:r>
      <w:proofErr w:type="gramEnd"/>
    </w:p>
    <w:p w14:paraId="2CC1584D" w14:textId="1BC7604E" w:rsidR="00B704B9" w:rsidRDefault="00B704B9" w:rsidP="000F1D81">
      <w:pPr>
        <w:pStyle w:val="ListParagraph"/>
        <w:numPr>
          <w:ilvl w:val="0"/>
          <w:numId w:val="35"/>
        </w:numPr>
        <w:ind w:left="1418"/>
      </w:pPr>
      <w:r>
        <w:t xml:space="preserve">identification of the Concessionaire’s sub-contractors including their roles in carrying out the </w:t>
      </w:r>
      <w:r w:rsidR="00212D63">
        <w:t>Concession Agreement</w:t>
      </w:r>
      <w:r>
        <w:t xml:space="preserve"> and contact </w:t>
      </w:r>
      <w:proofErr w:type="gramStart"/>
      <w:r>
        <w:t>details;</w:t>
      </w:r>
      <w:proofErr w:type="gramEnd"/>
    </w:p>
    <w:p w14:paraId="106545F9" w14:textId="77777777" w:rsidR="00B704B9" w:rsidRDefault="00B704B9" w:rsidP="009F13FF">
      <w:pPr>
        <w:pStyle w:val="ListNumberNoSpacing2"/>
      </w:pPr>
      <w:r>
        <w:t>The Concessionaire’s arrangements for managing:</w:t>
      </w:r>
    </w:p>
    <w:p w14:paraId="183A21F0" w14:textId="02CDBCF5" w:rsidR="00B704B9" w:rsidRDefault="00B704B9" w:rsidP="000F1D81">
      <w:pPr>
        <w:pStyle w:val="ListParagraph"/>
        <w:numPr>
          <w:ilvl w:val="0"/>
          <w:numId w:val="36"/>
        </w:numPr>
        <w:ind w:left="1418"/>
      </w:pPr>
      <w:r>
        <w:t>HSEQ hazards and risks</w:t>
      </w:r>
    </w:p>
    <w:p w14:paraId="0934A010" w14:textId="52A14F8F" w:rsidR="00B704B9" w:rsidRDefault="00B704B9" w:rsidP="000F1D81">
      <w:pPr>
        <w:pStyle w:val="ListParagraph"/>
        <w:numPr>
          <w:ilvl w:val="0"/>
          <w:numId w:val="36"/>
        </w:numPr>
        <w:ind w:left="1418"/>
      </w:pPr>
      <w:r>
        <w:t xml:space="preserve">health, safety and environmental </w:t>
      </w:r>
      <w:proofErr w:type="gramStart"/>
      <w:r>
        <w:t>incidents;</w:t>
      </w:r>
      <w:proofErr w:type="gramEnd"/>
    </w:p>
    <w:p w14:paraId="42ED338E" w14:textId="35DD2438" w:rsidR="00B704B9" w:rsidRDefault="00B704B9" w:rsidP="000F1D81">
      <w:pPr>
        <w:pStyle w:val="ListParagraph"/>
        <w:numPr>
          <w:ilvl w:val="0"/>
          <w:numId w:val="36"/>
        </w:numPr>
        <w:ind w:left="1418"/>
      </w:pPr>
      <w:r>
        <w:t xml:space="preserve">design </w:t>
      </w:r>
      <w:proofErr w:type="gramStart"/>
      <w:r>
        <w:t>work;</w:t>
      </w:r>
      <w:proofErr w:type="gramEnd"/>
    </w:p>
    <w:p w14:paraId="20DFB773" w14:textId="3F53D98D" w:rsidR="00B704B9" w:rsidRDefault="00B704B9" w:rsidP="000F1D81">
      <w:pPr>
        <w:pStyle w:val="ListParagraph"/>
        <w:numPr>
          <w:ilvl w:val="0"/>
          <w:numId w:val="36"/>
        </w:numPr>
        <w:ind w:left="1418"/>
      </w:pPr>
      <w:r>
        <w:t xml:space="preserve">construction </w:t>
      </w:r>
      <w:proofErr w:type="gramStart"/>
      <w:r>
        <w:t>work;</w:t>
      </w:r>
      <w:proofErr w:type="gramEnd"/>
    </w:p>
    <w:p w14:paraId="418D854D" w14:textId="20F06177" w:rsidR="00B704B9" w:rsidRDefault="00B704B9" w:rsidP="000F1D81">
      <w:pPr>
        <w:pStyle w:val="ListParagraph"/>
        <w:numPr>
          <w:ilvl w:val="0"/>
          <w:numId w:val="36"/>
        </w:numPr>
        <w:ind w:left="1418"/>
      </w:pPr>
      <w:r>
        <w:t xml:space="preserve">charge point </w:t>
      </w:r>
      <w:proofErr w:type="gramStart"/>
      <w:r>
        <w:t>operation;</w:t>
      </w:r>
      <w:proofErr w:type="gramEnd"/>
    </w:p>
    <w:p w14:paraId="6D3FC299" w14:textId="78E6576C" w:rsidR="00B704B9" w:rsidRDefault="00B704B9" w:rsidP="000F1D81">
      <w:pPr>
        <w:pStyle w:val="ListParagraph"/>
        <w:numPr>
          <w:ilvl w:val="0"/>
          <w:numId w:val="36"/>
        </w:numPr>
        <w:ind w:left="1418"/>
      </w:pPr>
      <w:r>
        <w:t xml:space="preserve">liaison and meetings with third </w:t>
      </w:r>
      <w:proofErr w:type="gramStart"/>
      <w:r>
        <w:t>parties;</w:t>
      </w:r>
      <w:proofErr w:type="gramEnd"/>
    </w:p>
    <w:p w14:paraId="42194970" w14:textId="361B79BF" w:rsidR="00B704B9" w:rsidRDefault="00B704B9" w:rsidP="000F1D81">
      <w:pPr>
        <w:pStyle w:val="ListParagraph"/>
        <w:numPr>
          <w:ilvl w:val="0"/>
          <w:numId w:val="36"/>
        </w:numPr>
        <w:ind w:left="1418"/>
      </w:pPr>
      <w:r>
        <w:t>sub-</w:t>
      </w:r>
      <w:proofErr w:type="gramStart"/>
      <w:r>
        <w:t>contractors;</w:t>
      </w:r>
      <w:proofErr w:type="gramEnd"/>
    </w:p>
    <w:p w14:paraId="56C95BB0" w14:textId="77777777" w:rsidR="009F13FF" w:rsidRDefault="00B704B9" w:rsidP="000F1D81">
      <w:pPr>
        <w:pStyle w:val="ListParagraph"/>
        <w:numPr>
          <w:ilvl w:val="0"/>
          <w:numId w:val="36"/>
        </w:numPr>
        <w:ind w:left="1418"/>
      </w:pPr>
      <w:proofErr w:type="gramStart"/>
      <w:r>
        <w:t>waste;</w:t>
      </w:r>
      <w:proofErr w:type="gramEnd"/>
    </w:p>
    <w:p w14:paraId="517A9527" w14:textId="77777777" w:rsidR="009F13FF" w:rsidRDefault="00B704B9" w:rsidP="000F1D81">
      <w:pPr>
        <w:pStyle w:val="ListParagraph"/>
        <w:numPr>
          <w:ilvl w:val="0"/>
          <w:numId w:val="36"/>
        </w:numPr>
        <w:ind w:left="1418"/>
      </w:pPr>
      <w:r>
        <w:lastRenderedPageBreak/>
        <w:t xml:space="preserve">the preparation, review and adjustment of the Implementation Plan to reflect changing circumstances and the recording of completed activities and </w:t>
      </w:r>
      <w:proofErr w:type="gramStart"/>
      <w:r>
        <w:t>outputs;</w:t>
      </w:r>
      <w:proofErr w:type="gramEnd"/>
    </w:p>
    <w:p w14:paraId="691A940C" w14:textId="77777777" w:rsidR="009F13FF" w:rsidRDefault="00B704B9" w:rsidP="000F1D81">
      <w:pPr>
        <w:pStyle w:val="ListParagraph"/>
        <w:numPr>
          <w:ilvl w:val="0"/>
          <w:numId w:val="36"/>
        </w:numPr>
        <w:ind w:left="1418"/>
      </w:pPr>
      <w:r>
        <w:t>HSEQ audits and reviews; and</w:t>
      </w:r>
    </w:p>
    <w:p w14:paraId="0F97D0C3" w14:textId="6810583D" w:rsidR="00B704B9" w:rsidRDefault="00B704B9" w:rsidP="000F1D81">
      <w:pPr>
        <w:pStyle w:val="ListParagraph"/>
        <w:numPr>
          <w:ilvl w:val="0"/>
          <w:numId w:val="36"/>
        </w:numPr>
        <w:ind w:left="1418"/>
      </w:pPr>
      <w:r>
        <w:t>continuous improvement.</w:t>
      </w:r>
    </w:p>
    <w:p w14:paraId="4E307BB7" w14:textId="77777777" w:rsidR="00B704B9" w:rsidRDefault="00B704B9" w:rsidP="009F13FF">
      <w:pPr>
        <w:pStyle w:val="ListNumberNoSpacing2"/>
      </w:pPr>
      <w:r>
        <w:t>The Concessionaire’s HSEQ control procedures for the Services, including.</w:t>
      </w:r>
    </w:p>
    <w:p w14:paraId="54CF22C7" w14:textId="77777777" w:rsidR="009F13FF" w:rsidRDefault="00B704B9" w:rsidP="000F1D81">
      <w:pPr>
        <w:pStyle w:val="ListParagraph"/>
        <w:numPr>
          <w:ilvl w:val="0"/>
          <w:numId w:val="37"/>
        </w:numPr>
        <w:ind w:left="1418"/>
      </w:pPr>
      <w:r>
        <w:t xml:space="preserve">the organisation for HSEQ </w:t>
      </w:r>
      <w:proofErr w:type="gramStart"/>
      <w:r>
        <w:t>control;</w:t>
      </w:r>
      <w:proofErr w:type="gramEnd"/>
    </w:p>
    <w:p w14:paraId="31C9EE7B" w14:textId="77777777" w:rsidR="009F13FF" w:rsidRDefault="00B704B9" w:rsidP="000F1D81">
      <w:pPr>
        <w:pStyle w:val="ListParagraph"/>
        <w:numPr>
          <w:ilvl w:val="0"/>
          <w:numId w:val="37"/>
        </w:numPr>
        <w:ind w:left="1418"/>
      </w:pPr>
      <w:r>
        <w:t xml:space="preserve">configuration management including document control; and hardware and software version </w:t>
      </w:r>
      <w:proofErr w:type="gramStart"/>
      <w:r>
        <w:t>control;</w:t>
      </w:r>
      <w:proofErr w:type="gramEnd"/>
    </w:p>
    <w:p w14:paraId="104A9D9E" w14:textId="77777777" w:rsidR="009F13FF" w:rsidRDefault="00B704B9" w:rsidP="000F1D81">
      <w:pPr>
        <w:pStyle w:val="ListParagraph"/>
        <w:numPr>
          <w:ilvl w:val="0"/>
          <w:numId w:val="37"/>
        </w:numPr>
        <w:ind w:left="1418"/>
      </w:pPr>
      <w:r>
        <w:t xml:space="preserve">control and approval of purchases of equipment and materials that will form part of the </w:t>
      </w:r>
      <w:proofErr w:type="gramStart"/>
      <w:r>
        <w:t>Services;</w:t>
      </w:r>
      <w:proofErr w:type="gramEnd"/>
    </w:p>
    <w:p w14:paraId="7930AE26" w14:textId="77777777" w:rsidR="009F13FF" w:rsidRDefault="00B704B9" w:rsidP="000F1D81">
      <w:pPr>
        <w:pStyle w:val="ListParagraph"/>
        <w:numPr>
          <w:ilvl w:val="0"/>
          <w:numId w:val="37"/>
        </w:numPr>
        <w:ind w:left="1418"/>
      </w:pPr>
      <w:r>
        <w:t xml:space="preserve">the procedures for the regular review and recording of the quality of the </w:t>
      </w:r>
      <w:proofErr w:type="gramStart"/>
      <w:r>
        <w:t>Services;</w:t>
      </w:r>
      <w:proofErr w:type="gramEnd"/>
    </w:p>
    <w:p w14:paraId="01EB4CCB" w14:textId="2F39B423" w:rsidR="009F13FF" w:rsidRDefault="00B704B9" w:rsidP="000F1D81">
      <w:pPr>
        <w:pStyle w:val="ListParagraph"/>
        <w:numPr>
          <w:ilvl w:val="0"/>
          <w:numId w:val="37"/>
        </w:numPr>
        <w:ind w:left="1418"/>
      </w:pPr>
      <w:r>
        <w:t xml:space="preserve">the procedure for the review and reporting of the quality of Services submitted for review but not accepted as conforming to the </w:t>
      </w:r>
      <w:r w:rsidR="004E7120">
        <w:t xml:space="preserve">Concession </w:t>
      </w:r>
      <w:proofErr w:type="gramStart"/>
      <w:r w:rsidR="004E7120">
        <w:t>Agreement</w:t>
      </w:r>
      <w:r>
        <w:t>;</w:t>
      </w:r>
      <w:proofErr w:type="gramEnd"/>
    </w:p>
    <w:p w14:paraId="2202E70A" w14:textId="77777777" w:rsidR="009F13FF" w:rsidRDefault="00B704B9" w:rsidP="000F1D81">
      <w:pPr>
        <w:pStyle w:val="ListParagraph"/>
        <w:numPr>
          <w:ilvl w:val="0"/>
          <w:numId w:val="37"/>
        </w:numPr>
        <w:ind w:left="1418"/>
      </w:pPr>
      <w:r>
        <w:t>the procedure for implementing and reporting corrective and preventative actions; and</w:t>
      </w:r>
    </w:p>
    <w:p w14:paraId="0349F7AB" w14:textId="798B3EFE" w:rsidR="00B704B9" w:rsidRDefault="00B704B9" w:rsidP="000F1D81">
      <w:pPr>
        <w:pStyle w:val="ListParagraph"/>
        <w:numPr>
          <w:ilvl w:val="0"/>
          <w:numId w:val="37"/>
        </w:numPr>
        <w:ind w:left="1418"/>
      </w:pPr>
      <w:r>
        <w:t xml:space="preserve">the procedure for handling complaints by the </w:t>
      </w:r>
      <w:r w:rsidR="00544048">
        <w:t>Council</w:t>
      </w:r>
      <w:r>
        <w:t xml:space="preserve"> or a third party.</w:t>
      </w:r>
    </w:p>
    <w:p w14:paraId="47AF1CFC" w14:textId="77777777" w:rsidR="00B704B9" w:rsidRDefault="00B704B9" w:rsidP="00C863EF">
      <w:pPr>
        <w:pStyle w:val="ListNumberNoSpacing2"/>
      </w:pPr>
      <w:r>
        <w:t>The Concessionaire shall have a nominated competent person responsible for health and safety.</w:t>
      </w:r>
    </w:p>
    <w:p w14:paraId="23F7BC6D" w14:textId="77777777" w:rsidR="00B704B9" w:rsidRDefault="00B704B9" w:rsidP="00C863EF">
      <w:pPr>
        <w:pStyle w:val="Heading3"/>
      </w:pPr>
      <w:r>
        <w:t>Installation, commissioning, testing and ongoing operation, maintenance, and inspection of the charging solutions on the public highway shall use a contractor registered through the Highways and Electrical Registration Scheme (HERS) operated by the Highway Electrical Association and they shall be in possession of a valid Electrotechnical Certification Scheme (ECS) card.</w:t>
      </w:r>
    </w:p>
    <w:p w14:paraId="72047A03" w14:textId="77777777" w:rsidR="00B704B9" w:rsidRDefault="00B704B9" w:rsidP="00C863EF">
      <w:pPr>
        <w:pStyle w:val="Heading3"/>
      </w:pPr>
      <w:r>
        <w:t xml:space="preserve">The Concessionaire, and sub-contracted parties shall hold appropriate and up-to-date accreditation/qualifications for installation of funded </w:t>
      </w:r>
      <w:proofErr w:type="spellStart"/>
      <w:r>
        <w:t>chargepoints</w:t>
      </w:r>
      <w:proofErr w:type="spellEnd"/>
      <w:r>
        <w:t>.</w:t>
      </w:r>
    </w:p>
    <w:p w14:paraId="30C9ABD1" w14:textId="77777777" w:rsidR="00B704B9" w:rsidRDefault="00B704B9" w:rsidP="00C863EF">
      <w:pPr>
        <w:pStyle w:val="Heading3"/>
      </w:pPr>
      <w:r>
        <w:t xml:space="preserve">The Concessionaire shall fully understand the process, or have experience, working with DNOs for new connections for EV </w:t>
      </w:r>
      <w:proofErr w:type="spellStart"/>
      <w:r>
        <w:t>chargepoint</w:t>
      </w:r>
      <w:proofErr w:type="spellEnd"/>
      <w:r>
        <w:t xml:space="preserve"> installations.</w:t>
      </w:r>
    </w:p>
    <w:p w14:paraId="43D14BF7" w14:textId="0B73B71C" w:rsidR="00B704B9" w:rsidRDefault="00B704B9" w:rsidP="00C863EF">
      <w:pPr>
        <w:pStyle w:val="Heading3"/>
      </w:pPr>
      <w:r>
        <w:t xml:space="preserve">The Concessionaire and all sub-contracted parties shall ensure all work is carried out in accordance with all the applicable processes, legislative requirements of the LA highways department and other relevant </w:t>
      </w:r>
      <w:r w:rsidR="00544048">
        <w:t>Council</w:t>
      </w:r>
      <w:r>
        <w:t>’s.</w:t>
      </w:r>
    </w:p>
    <w:p w14:paraId="2B45ED85" w14:textId="77777777" w:rsidR="00C863EF" w:rsidRPr="00C863EF" w:rsidRDefault="00C863EF" w:rsidP="00C863EF"/>
    <w:p w14:paraId="4F5C10CE" w14:textId="50187FB6" w:rsidR="00B704B9" w:rsidRDefault="00B704B9" w:rsidP="00C863EF">
      <w:pPr>
        <w:pStyle w:val="Heading3"/>
      </w:pPr>
      <w:r>
        <w:lastRenderedPageBreak/>
        <w:t xml:space="preserve">The Concessionaire and all sub-contracted parties shall ensure they follow the </w:t>
      </w:r>
      <w:r w:rsidR="004E7120">
        <w:t>c</w:t>
      </w:r>
      <w:r>
        <w:t xml:space="preserve">onsiderate </w:t>
      </w:r>
      <w:r w:rsidR="004E7120">
        <w:t>c</w:t>
      </w:r>
      <w:r>
        <w:t xml:space="preserve">onstructors </w:t>
      </w:r>
      <w:r w:rsidR="004E7120">
        <w:t>s</w:t>
      </w:r>
      <w:r>
        <w:t xml:space="preserve">cheme code of practice and shall carry out installation </w:t>
      </w:r>
      <w:r w:rsidR="001F579B">
        <w:t>W</w:t>
      </w:r>
      <w:r>
        <w:t>orks with utmost consideration to the local environment, any residents, businesses and visitors to the area.</w:t>
      </w:r>
    </w:p>
    <w:p w14:paraId="19FD9305" w14:textId="77777777" w:rsidR="00B704B9" w:rsidRDefault="00B704B9" w:rsidP="00C863EF">
      <w:pPr>
        <w:pStyle w:val="Heading3"/>
      </w:pPr>
      <w:r>
        <w:t>The Concessionaire should consider the code of practice set out in ENA Engineering Recommendation G39 “Electrical safety in the planning, installation, commissioning and maintenance of public lighting and other street furniture”.</w:t>
      </w:r>
    </w:p>
    <w:p w14:paraId="21B1677E" w14:textId="66F79514" w:rsidR="00713FC4" w:rsidRDefault="00713FC4" w:rsidP="00713FC4">
      <w:pPr>
        <w:pStyle w:val="Heading3"/>
      </w:pPr>
      <w:r>
        <w:t xml:space="preserve">The </w:t>
      </w:r>
      <w:r w:rsidR="00544048">
        <w:t>Council</w:t>
      </w:r>
      <w:r>
        <w:t xml:space="preserve"> is to monitor the Concessionaire’s health and safety performance through:</w:t>
      </w:r>
    </w:p>
    <w:p w14:paraId="0B782013" w14:textId="77777777" w:rsidR="00713FC4" w:rsidRDefault="00713FC4" w:rsidP="000F1D81">
      <w:pPr>
        <w:pStyle w:val="ListNumberNoSpacing2"/>
        <w:numPr>
          <w:ilvl w:val="1"/>
          <w:numId w:val="50"/>
        </w:numPr>
      </w:pPr>
      <w:r>
        <w:t xml:space="preserve">the Concessionaire’s health and safety incident </w:t>
      </w:r>
      <w:proofErr w:type="gramStart"/>
      <w:r>
        <w:t>reporting;</w:t>
      </w:r>
      <w:proofErr w:type="gramEnd"/>
    </w:p>
    <w:p w14:paraId="48F24029" w14:textId="77777777" w:rsidR="00713FC4" w:rsidRDefault="00713FC4" w:rsidP="000F1D81">
      <w:pPr>
        <w:pStyle w:val="ListNumberNoSpacing2"/>
        <w:numPr>
          <w:ilvl w:val="1"/>
          <w:numId w:val="50"/>
        </w:numPr>
      </w:pPr>
      <w:r>
        <w:t>the Concessionaire’s performance reporting in accordance with section 1.12 of this document; and</w:t>
      </w:r>
    </w:p>
    <w:p w14:paraId="4E1ABFDC" w14:textId="5142A325" w:rsidR="00713FC4" w:rsidRDefault="00713FC4" w:rsidP="000F1D81">
      <w:pPr>
        <w:pStyle w:val="ListNumberNoSpacing2"/>
        <w:numPr>
          <w:ilvl w:val="1"/>
          <w:numId w:val="50"/>
        </w:numPr>
      </w:pPr>
      <w:r>
        <w:t xml:space="preserve">audits of the Concessionaire’s construction site health, safety and welfare arrangements which will be conducted by the </w:t>
      </w:r>
      <w:r w:rsidR="00544048">
        <w:t>Council</w:t>
      </w:r>
      <w:r>
        <w:t xml:space="preserve"> during periodic site visits.</w:t>
      </w:r>
    </w:p>
    <w:p w14:paraId="733F41DF" w14:textId="3CC191FC" w:rsidR="00713FC4" w:rsidRDefault="00713FC4" w:rsidP="00713FC4">
      <w:pPr>
        <w:pStyle w:val="Heading3"/>
      </w:pPr>
      <w:r>
        <w:t xml:space="preserve">The Concessionaire shall facilitate the </w:t>
      </w:r>
      <w:r w:rsidR="00544048">
        <w:t>Council</w:t>
      </w:r>
      <w:r>
        <w:t xml:space="preserve">’s audits of construction site health, safety and welfare arrangements and shall ensure that all personnel engaged in construction work cooperate with the </w:t>
      </w:r>
      <w:r w:rsidR="00544048">
        <w:t>Council</w:t>
      </w:r>
      <w:r>
        <w:t xml:space="preserve"> during the audit process.</w:t>
      </w:r>
    </w:p>
    <w:p w14:paraId="07339AD1" w14:textId="430FC2BE" w:rsidR="0061346D" w:rsidRPr="0061346D" w:rsidRDefault="00713FC4" w:rsidP="00713FC4">
      <w:pPr>
        <w:pStyle w:val="Heading3"/>
      </w:pPr>
      <w:r>
        <w:t xml:space="preserve">For all construction sites forming part of the </w:t>
      </w:r>
      <w:r w:rsidR="004E7120">
        <w:t>Concession Agreement</w:t>
      </w:r>
      <w:r>
        <w:t>, the Concessionaire shall provide the welfare facilities required by Schedule 2 of the Construction (Design and Management) Regulations 2015.</w:t>
      </w:r>
    </w:p>
    <w:p w14:paraId="2FFDD4AD" w14:textId="77777777" w:rsidR="00B704B9" w:rsidRDefault="00B704B9" w:rsidP="00C863EF">
      <w:pPr>
        <w:pStyle w:val="Heading2"/>
      </w:pPr>
      <w:bookmarkStart w:id="10" w:name="_Toc205309807"/>
      <w:bookmarkStart w:id="11" w:name="_Toc211513059"/>
      <w:r>
        <w:t>Stage Gate Reviews</w:t>
      </w:r>
      <w:bookmarkEnd w:id="10"/>
      <w:bookmarkEnd w:id="11"/>
    </w:p>
    <w:p w14:paraId="37D4AA9E" w14:textId="49E5F45F" w:rsidR="00B704B9" w:rsidRDefault="00B704B9" w:rsidP="00C863EF">
      <w:pPr>
        <w:pStyle w:val="Heading3"/>
      </w:pPr>
      <w:r>
        <w:t xml:space="preserve">Stage Gate reviews are to be used by the Concessionaire to demonstrate or provide to the </w:t>
      </w:r>
      <w:r w:rsidR="00544048">
        <w:t>Council</w:t>
      </w:r>
      <w:r>
        <w:t>:</w:t>
      </w:r>
    </w:p>
    <w:p w14:paraId="616EC9CD" w14:textId="77777777" w:rsidR="00C863EF" w:rsidRDefault="00B704B9" w:rsidP="000F1D81">
      <w:pPr>
        <w:pStyle w:val="ListNumberNoSpacing2"/>
        <w:numPr>
          <w:ilvl w:val="1"/>
          <w:numId w:val="38"/>
        </w:numPr>
      </w:pPr>
      <w:r>
        <w:t xml:space="preserve">that delivery of the Services is occurring at each site under the Concession: </w:t>
      </w:r>
    </w:p>
    <w:p w14:paraId="1BA749EB" w14:textId="77777777" w:rsidR="00C863EF" w:rsidRDefault="00B704B9" w:rsidP="000F1D81">
      <w:pPr>
        <w:pStyle w:val="ListNumberNoSpacing2"/>
        <w:numPr>
          <w:ilvl w:val="1"/>
          <w:numId w:val="38"/>
        </w:numPr>
      </w:pPr>
      <w:r>
        <w:t xml:space="preserve">the Milestones that have been </w:t>
      </w:r>
      <w:proofErr w:type="gramStart"/>
      <w:r>
        <w:t>completed;</w:t>
      </w:r>
      <w:proofErr w:type="gramEnd"/>
    </w:p>
    <w:p w14:paraId="5C2AC518" w14:textId="22FEAB92" w:rsidR="00C863EF" w:rsidRDefault="00B704B9" w:rsidP="000F1D81">
      <w:pPr>
        <w:pStyle w:val="ListNumberNoSpacing2"/>
        <w:numPr>
          <w:ilvl w:val="1"/>
          <w:numId w:val="38"/>
        </w:numPr>
      </w:pPr>
      <w:r>
        <w:t xml:space="preserve">required outputs have met the requirements of the </w:t>
      </w:r>
      <w:r w:rsidR="004E7120">
        <w:t xml:space="preserve">Concession </w:t>
      </w:r>
      <w:proofErr w:type="gramStart"/>
      <w:r w:rsidR="004E7120">
        <w:t>Agreement</w:t>
      </w:r>
      <w:r>
        <w:t>;</w:t>
      </w:r>
      <w:proofErr w:type="gramEnd"/>
    </w:p>
    <w:p w14:paraId="72E9B491" w14:textId="77777777" w:rsidR="00C863EF" w:rsidRDefault="00B704B9" w:rsidP="000F1D81">
      <w:pPr>
        <w:pStyle w:val="ListNumberNoSpacing2"/>
        <w:numPr>
          <w:ilvl w:val="1"/>
          <w:numId w:val="38"/>
        </w:numPr>
      </w:pPr>
      <w:r>
        <w:t xml:space="preserve">lessons learnt from prior Concession phases have been incorporated from previous work or reviews to demonstrate continuous </w:t>
      </w:r>
      <w:proofErr w:type="gramStart"/>
      <w:r>
        <w:t>improvement;</w:t>
      </w:r>
      <w:proofErr w:type="gramEnd"/>
    </w:p>
    <w:p w14:paraId="5785F958" w14:textId="77777777" w:rsidR="00C863EF" w:rsidRDefault="00B704B9" w:rsidP="000F1D81">
      <w:pPr>
        <w:pStyle w:val="ListNumberNoSpacing2"/>
        <w:numPr>
          <w:ilvl w:val="1"/>
          <w:numId w:val="38"/>
        </w:numPr>
      </w:pPr>
      <w:r>
        <w:t xml:space="preserve">any details of relevant costs associated with the next phase of </w:t>
      </w:r>
      <w:proofErr w:type="gramStart"/>
      <w:r>
        <w:t>work;</w:t>
      </w:r>
      <w:proofErr w:type="gramEnd"/>
    </w:p>
    <w:p w14:paraId="49F754E1" w14:textId="77777777" w:rsidR="00C863EF" w:rsidRDefault="00B704B9" w:rsidP="000F1D81">
      <w:pPr>
        <w:pStyle w:val="ListNumberNoSpacing2"/>
        <w:numPr>
          <w:ilvl w:val="1"/>
          <w:numId w:val="38"/>
        </w:numPr>
      </w:pPr>
      <w:r>
        <w:t xml:space="preserve">updates to the Concessionaire’s Implementation </w:t>
      </w:r>
      <w:proofErr w:type="gramStart"/>
      <w:r>
        <w:t>Plan;</w:t>
      </w:r>
      <w:proofErr w:type="gramEnd"/>
    </w:p>
    <w:p w14:paraId="414B81F0" w14:textId="77777777" w:rsidR="00C863EF" w:rsidRDefault="00B704B9" w:rsidP="000F1D81">
      <w:pPr>
        <w:pStyle w:val="ListNumberNoSpacing2"/>
        <w:numPr>
          <w:ilvl w:val="1"/>
          <w:numId w:val="38"/>
        </w:numPr>
      </w:pPr>
      <w:r>
        <w:t>risks inherent in the next phases of work that have been identified, and appropriate mitigations are in place; and</w:t>
      </w:r>
    </w:p>
    <w:p w14:paraId="586F3870" w14:textId="39313A62" w:rsidR="00B704B9" w:rsidRDefault="00B704B9" w:rsidP="000F1D81">
      <w:pPr>
        <w:pStyle w:val="ListNumberNoSpacing2"/>
        <w:numPr>
          <w:ilvl w:val="1"/>
          <w:numId w:val="38"/>
        </w:numPr>
      </w:pPr>
      <w:r>
        <w:t xml:space="preserve">the formal request for </w:t>
      </w:r>
      <w:r w:rsidR="00544614">
        <w:t>a</w:t>
      </w:r>
      <w:r>
        <w:t xml:space="preserve">pproval from the </w:t>
      </w:r>
      <w:r w:rsidR="00F86A66">
        <w:t>Council</w:t>
      </w:r>
      <w:r>
        <w:t xml:space="preserve"> to proceed with the Implementation Plan.</w:t>
      </w:r>
    </w:p>
    <w:p w14:paraId="2FA732B0" w14:textId="77777777" w:rsidR="00B704B9" w:rsidRDefault="00B704B9" w:rsidP="00C863EF">
      <w:pPr>
        <w:pStyle w:val="Heading3"/>
      </w:pPr>
      <w:r>
        <w:lastRenderedPageBreak/>
        <w:t>The Concessionaire shall chair and determine the agenda and format for each Stage Gate review, which shall:</w:t>
      </w:r>
    </w:p>
    <w:p w14:paraId="5F3FDDA1" w14:textId="77777777" w:rsidR="00901FD1" w:rsidRDefault="00B704B9" w:rsidP="000F1D81">
      <w:pPr>
        <w:pStyle w:val="ListNumberNoSpacing2"/>
        <w:numPr>
          <w:ilvl w:val="1"/>
          <w:numId w:val="39"/>
        </w:numPr>
      </w:pPr>
      <w:r>
        <w:t>take place at a meeting or during a telephone/on-line conference between the Parties; and</w:t>
      </w:r>
    </w:p>
    <w:p w14:paraId="730DBB17" w14:textId="0FC1F1AA" w:rsidR="00B704B9" w:rsidRDefault="00B704B9" w:rsidP="000F1D81">
      <w:pPr>
        <w:pStyle w:val="ListNumberNoSpacing2"/>
        <w:numPr>
          <w:ilvl w:val="1"/>
          <w:numId w:val="39"/>
        </w:numPr>
      </w:pPr>
      <w:r>
        <w:t xml:space="preserve">take the form of a presentation of information by the Concessionaire to the </w:t>
      </w:r>
      <w:r w:rsidR="00F86A66">
        <w:t>Council</w:t>
      </w:r>
      <w:r>
        <w:t>.</w:t>
      </w:r>
    </w:p>
    <w:p w14:paraId="70CF653A" w14:textId="0347D9C5" w:rsidR="00B704B9" w:rsidRDefault="00B704B9" w:rsidP="00901FD1">
      <w:pPr>
        <w:pStyle w:val="Heading3"/>
      </w:pPr>
      <w:r>
        <w:t xml:space="preserve">The </w:t>
      </w:r>
      <w:r w:rsidR="00F86A66">
        <w:t>Council</w:t>
      </w:r>
      <w:r>
        <w:t xml:space="preserve"> will record the outcomes of each Stage Gate review.</w:t>
      </w:r>
    </w:p>
    <w:p w14:paraId="33D9FDDF" w14:textId="4387ED06" w:rsidR="00B704B9" w:rsidRDefault="00B704B9" w:rsidP="00901FD1">
      <w:pPr>
        <w:pStyle w:val="Heading3"/>
      </w:pPr>
      <w:r>
        <w:t xml:space="preserve">The Concessionaire shall co-ordinate the date, time and duration of each Stage Gate review meeting or telephone conference with the </w:t>
      </w:r>
      <w:r w:rsidR="00F86A66">
        <w:t>Council</w:t>
      </w:r>
      <w:r>
        <w:t xml:space="preserve"> so that the arrangements for the meeting or telephone conference are mutually agreed.</w:t>
      </w:r>
    </w:p>
    <w:p w14:paraId="0F415922" w14:textId="2C892321" w:rsidR="00901FD1" w:rsidRPr="00901FD1" w:rsidRDefault="00B704B9" w:rsidP="00901FD1">
      <w:pPr>
        <w:pStyle w:val="Heading3"/>
      </w:pPr>
      <w:r>
        <w:t xml:space="preserve">The Concessionaire shall provide the </w:t>
      </w:r>
      <w:r w:rsidR="00F86A66">
        <w:t>Council</w:t>
      </w:r>
      <w:r>
        <w:t xml:space="preserve"> with at least two weeks’ notice of the requirement for a Stage Gate review meeting or telephone conference.</w:t>
      </w:r>
    </w:p>
    <w:p w14:paraId="3E53206A" w14:textId="63A885F8" w:rsidR="00B704B9" w:rsidRDefault="00B704B9" w:rsidP="00901FD1">
      <w:pPr>
        <w:pStyle w:val="Heading3"/>
      </w:pPr>
      <w:r>
        <w:t xml:space="preserve">Wherever possible, the Concessionaire shall schedule Stage Gate reviews for multiple sites to take place during the same meeting or telephone conference to make the best use of the Concessionaire’s and the </w:t>
      </w:r>
      <w:r w:rsidR="00F86A66">
        <w:t>Council</w:t>
      </w:r>
      <w:r>
        <w:t>’s time.</w:t>
      </w:r>
    </w:p>
    <w:p w14:paraId="160F6903" w14:textId="4EB95633" w:rsidR="00B704B9" w:rsidRDefault="00B704B9" w:rsidP="00901FD1">
      <w:pPr>
        <w:pStyle w:val="Heading3"/>
      </w:pPr>
      <w:r>
        <w:t xml:space="preserve">Meetings shall be held online or at the </w:t>
      </w:r>
      <w:r w:rsidR="00F86A66">
        <w:t>Council</w:t>
      </w:r>
      <w:r>
        <w:t>’s offices, although they may be held elsewhere, or by telecom, by mutual agreement between the Parties.</w:t>
      </w:r>
    </w:p>
    <w:p w14:paraId="6EF4AB46" w14:textId="4CDE15D1" w:rsidR="00B704B9" w:rsidRDefault="00B704B9" w:rsidP="00901FD1">
      <w:pPr>
        <w:pStyle w:val="Heading3"/>
      </w:pPr>
      <w:r>
        <w:t xml:space="preserve">The Concessionaire shall submit the agenda and supporting documentation for each </w:t>
      </w:r>
      <w:r w:rsidR="003230E1">
        <w:t>Stage Gate</w:t>
      </w:r>
      <w:r>
        <w:t xml:space="preserve"> review to the </w:t>
      </w:r>
      <w:r w:rsidR="00F86A66">
        <w:t>Council</w:t>
      </w:r>
      <w:r>
        <w:t xml:space="preserve"> in electronic form at least two working days before the scheduled Stage Gate review meeting or telephone/video conference.</w:t>
      </w:r>
    </w:p>
    <w:p w14:paraId="3B5B839B" w14:textId="2FAFD487" w:rsidR="00B704B9" w:rsidRDefault="00B704B9" w:rsidP="00901FD1">
      <w:pPr>
        <w:pStyle w:val="Heading3"/>
      </w:pPr>
      <w:r>
        <w:t xml:space="preserve">The Concessionaire shall include copies of all the required outputs from the current </w:t>
      </w:r>
      <w:r w:rsidR="004E7120">
        <w:t>Concession Agreement</w:t>
      </w:r>
      <w:r>
        <w:t xml:space="preserve"> delivery phase in the package of supporting documentation. </w:t>
      </w:r>
    </w:p>
    <w:p w14:paraId="3A68DA76" w14:textId="03D9087B" w:rsidR="00B704B9" w:rsidRDefault="00B704B9" w:rsidP="003230E1">
      <w:pPr>
        <w:pStyle w:val="Heading3"/>
      </w:pPr>
      <w:r>
        <w:t xml:space="preserve">The </w:t>
      </w:r>
      <w:r w:rsidR="00F86A66">
        <w:t>Council</w:t>
      </w:r>
      <w:r>
        <w:t xml:space="preserve"> will determine, document and issue the outcomes of each Stage Gate review in writing within one week of the Stage Gate review meeting or telephone conference, including:</w:t>
      </w:r>
    </w:p>
    <w:p w14:paraId="6202A26B" w14:textId="71F15946" w:rsidR="003230E1" w:rsidRDefault="00B704B9" w:rsidP="000F1D81">
      <w:pPr>
        <w:pStyle w:val="ListNumberNoSpacing2"/>
        <w:numPr>
          <w:ilvl w:val="1"/>
          <w:numId w:val="40"/>
        </w:numPr>
      </w:pPr>
      <w:r>
        <w:t xml:space="preserve">whether the </w:t>
      </w:r>
      <w:r w:rsidR="00F86A66">
        <w:t>Council</w:t>
      </w:r>
      <w:r>
        <w:t xml:space="preserve"> is giving </w:t>
      </w:r>
      <w:r w:rsidR="00F86A66">
        <w:t>a</w:t>
      </w:r>
      <w:r>
        <w:t xml:space="preserve">pproval for a site to proceed to the next </w:t>
      </w:r>
      <w:r w:rsidR="004E7120">
        <w:t>Concession Agreement</w:t>
      </w:r>
      <w:r>
        <w:t xml:space="preserve"> delivery phase or rejecting the Concessionaire’s </w:t>
      </w:r>
      <w:proofErr w:type="gramStart"/>
      <w:r>
        <w:t>proposals;</w:t>
      </w:r>
      <w:proofErr w:type="gramEnd"/>
    </w:p>
    <w:p w14:paraId="1099F305" w14:textId="479ADF97" w:rsidR="003230E1" w:rsidRDefault="00B704B9" w:rsidP="000F1D81">
      <w:pPr>
        <w:pStyle w:val="ListNumberNoSpacing2"/>
        <w:numPr>
          <w:ilvl w:val="1"/>
          <w:numId w:val="40"/>
        </w:numPr>
      </w:pPr>
      <w:r>
        <w:t xml:space="preserve">the basis on which the </w:t>
      </w:r>
      <w:r w:rsidR="00544048">
        <w:t>Council</w:t>
      </w:r>
      <w:r>
        <w:t xml:space="preserve"> has made its determination; and</w:t>
      </w:r>
    </w:p>
    <w:p w14:paraId="12868363" w14:textId="1E8B7474" w:rsidR="00B704B9" w:rsidRDefault="00B704B9" w:rsidP="000F1D81">
      <w:pPr>
        <w:pStyle w:val="ListNumberNoSpacing2"/>
        <w:numPr>
          <w:ilvl w:val="1"/>
          <w:numId w:val="40"/>
        </w:numPr>
      </w:pPr>
      <w:r>
        <w:t>any actions arising from the Stage Gate review.</w:t>
      </w:r>
    </w:p>
    <w:p w14:paraId="4D6B2888" w14:textId="77777777" w:rsidR="00B704B9" w:rsidRDefault="00B704B9" w:rsidP="003230E1">
      <w:pPr>
        <w:pStyle w:val="Heading3"/>
      </w:pPr>
      <w:r>
        <w:lastRenderedPageBreak/>
        <w:t>The Concessionaire shall co-ordinate, attend and provide information to support Stage Gate reviews.</w:t>
      </w:r>
    </w:p>
    <w:p w14:paraId="03CFE03D" w14:textId="77777777" w:rsidR="00B704B9" w:rsidRDefault="00B704B9" w:rsidP="004D3139">
      <w:pPr>
        <w:pStyle w:val="Heading2"/>
      </w:pPr>
      <w:bookmarkStart w:id="12" w:name="_Toc205309810"/>
      <w:bookmarkStart w:id="13" w:name="_Toc211513060"/>
      <w:r>
        <w:t>Mutual Recognition</w:t>
      </w:r>
      <w:bookmarkEnd w:id="12"/>
      <w:bookmarkEnd w:id="13"/>
    </w:p>
    <w:p w14:paraId="58DA39A8" w14:textId="742E354D" w:rsidR="00B704B9" w:rsidRDefault="00B704B9" w:rsidP="0003468E">
      <w:pPr>
        <w:pStyle w:val="Heading3"/>
      </w:pPr>
      <w:r>
        <w:t xml:space="preserve">Where there is a requirement in the </w:t>
      </w:r>
      <w:r w:rsidR="004E7120">
        <w:t>Concession Agreement</w:t>
      </w:r>
      <w:r>
        <w:t xml:space="preserve"> for compliance with any part of a British Standard or other technical specification, that requirement may be met by compliance with:</w:t>
      </w:r>
    </w:p>
    <w:p w14:paraId="16E096BA" w14:textId="77777777" w:rsidR="00DB1AC3" w:rsidRDefault="00B704B9" w:rsidP="00B704B9">
      <w:pPr>
        <w:pStyle w:val="ListNumberNoSpacing2"/>
        <w:numPr>
          <w:ilvl w:val="1"/>
          <w:numId w:val="42"/>
        </w:numPr>
      </w:pPr>
      <w:r>
        <w:t xml:space="preserve">a standard or code of practice of a national standards body or equivalent body of any European Economic Area (EEA) state or the Republic of </w:t>
      </w:r>
      <w:proofErr w:type="gramStart"/>
      <w:r>
        <w:t>Turkey;</w:t>
      </w:r>
      <w:proofErr w:type="gramEnd"/>
    </w:p>
    <w:p w14:paraId="5F44D1F4" w14:textId="77777777" w:rsidR="00DB1AC3" w:rsidRDefault="00B704B9" w:rsidP="00B704B9">
      <w:pPr>
        <w:pStyle w:val="ListNumberNoSpacing2"/>
        <w:numPr>
          <w:ilvl w:val="1"/>
          <w:numId w:val="42"/>
        </w:numPr>
      </w:pPr>
      <w:r>
        <w:t xml:space="preserve">any international standard recognised for use as a standard or code of practice by any EEA state or the Republic of </w:t>
      </w:r>
      <w:proofErr w:type="gramStart"/>
      <w:r>
        <w:t>Turkey;</w:t>
      </w:r>
      <w:proofErr w:type="gramEnd"/>
    </w:p>
    <w:p w14:paraId="10DA3E9A" w14:textId="77777777" w:rsidR="00DB1AC3" w:rsidRDefault="00B704B9" w:rsidP="00B704B9">
      <w:pPr>
        <w:pStyle w:val="ListNumberNoSpacing2"/>
        <w:numPr>
          <w:ilvl w:val="1"/>
          <w:numId w:val="42"/>
        </w:numPr>
      </w:pPr>
      <w:r>
        <w:t>a technical specification recognised for use as a standard by a public authority of any EEA state or the Republic of Turkey; or</w:t>
      </w:r>
    </w:p>
    <w:p w14:paraId="5352D41F" w14:textId="77777777" w:rsidR="00DB1AC3" w:rsidRDefault="00B704B9" w:rsidP="00B704B9">
      <w:pPr>
        <w:pStyle w:val="ListNumberNoSpacing2"/>
        <w:numPr>
          <w:ilvl w:val="1"/>
          <w:numId w:val="42"/>
        </w:numPr>
      </w:pPr>
      <w:r>
        <w:t xml:space="preserve">a European Technical Assessment issued in accordance with the procedure set out in regulation (EU) No. </w:t>
      </w:r>
      <w:proofErr w:type="gramStart"/>
      <w:r>
        <w:t>305/2011;</w:t>
      </w:r>
      <w:proofErr w:type="gramEnd"/>
    </w:p>
    <w:p w14:paraId="36D03962" w14:textId="1521F8CF" w:rsidR="00B704B9" w:rsidRDefault="00B704B9" w:rsidP="00B704B9">
      <w:pPr>
        <w:pStyle w:val="ListNumberNoSpacing2"/>
        <w:numPr>
          <w:ilvl w:val="1"/>
          <w:numId w:val="42"/>
        </w:numPr>
      </w:pPr>
      <w:r>
        <w:t>provided that the relevant standard enables an equivalent level of performance and safety to be achieved to that provided for by the stated British Standard or technical specification.</w:t>
      </w:r>
    </w:p>
    <w:p w14:paraId="6D362B55" w14:textId="017792E4" w:rsidR="00A739FE" w:rsidRDefault="00B704B9" w:rsidP="00B704B9">
      <w:r>
        <w:t> </w:t>
      </w:r>
      <w:r w:rsidR="00A739FE">
        <w:br w:type="page"/>
      </w:r>
    </w:p>
    <w:p w14:paraId="522947B3" w14:textId="77777777" w:rsidR="00B704B9" w:rsidRDefault="00B704B9" w:rsidP="00A739FE">
      <w:pPr>
        <w:pStyle w:val="Heading1"/>
      </w:pPr>
      <w:bookmarkStart w:id="14" w:name="_Toc205309811"/>
      <w:bookmarkStart w:id="15" w:name="_Toc211513061"/>
      <w:r>
        <w:lastRenderedPageBreak/>
        <w:t>SPECIFIC OBLIGATIONS</w:t>
      </w:r>
      <w:bookmarkEnd w:id="14"/>
      <w:bookmarkEnd w:id="15"/>
    </w:p>
    <w:p w14:paraId="14B0868E" w14:textId="7A7139B9" w:rsidR="00B704B9" w:rsidRDefault="00B704B9" w:rsidP="00A739FE">
      <w:pPr>
        <w:pStyle w:val="Heading2"/>
      </w:pPr>
      <w:bookmarkStart w:id="16" w:name="_Toc205309812"/>
      <w:bookmarkStart w:id="17" w:name="_Toc211513062"/>
      <w:r>
        <w:t>Site Identification</w:t>
      </w:r>
      <w:bookmarkEnd w:id="16"/>
      <w:bookmarkEnd w:id="17"/>
    </w:p>
    <w:p w14:paraId="5326B7F9" w14:textId="50E2ED6B" w:rsidR="00B704B9" w:rsidRDefault="00B704B9" w:rsidP="00A739FE">
      <w:pPr>
        <w:pStyle w:val="Heading3"/>
      </w:pPr>
      <w:r>
        <w:t>For sites which are identified in Schedule 1</w:t>
      </w:r>
      <w:r w:rsidR="000E118E">
        <w:t>6</w:t>
      </w:r>
      <w:r>
        <w:t xml:space="preserve"> (Sites), the Concessionaire shall:</w:t>
      </w:r>
    </w:p>
    <w:p w14:paraId="318FB3E2" w14:textId="0532BA20" w:rsidR="00422136" w:rsidRDefault="00B704B9" w:rsidP="000F1D81">
      <w:pPr>
        <w:pStyle w:val="ListNumberNoSpacing2"/>
        <w:numPr>
          <w:ilvl w:val="1"/>
          <w:numId w:val="43"/>
        </w:numPr>
      </w:pPr>
      <w:r>
        <w:t>confirm the deliverability of all the sites for the installation and operation of new charge points which meet the minimum requirements identified in Appendix A.</w:t>
      </w:r>
      <w:r w:rsidR="00FB44CC">
        <w:t>3</w:t>
      </w:r>
      <w:r>
        <w:t xml:space="preserve"> and Appendix A.</w:t>
      </w:r>
      <w:proofErr w:type="gramStart"/>
      <w:r w:rsidR="00FB44CC">
        <w:t>4</w:t>
      </w:r>
      <w:r>
        <w:t>;</w:t>
      </w:r>
      <w:proofErr w:type="gramEnd"/>
    </w:p>
    <w:p w14:paraId="1C241A16" w14:textId="2B06EB7A" w:rsidR="00422136" w:rsidRDefault="00B704B9" w:rsidP="000F1D81">
      <w:pPr>
        <w:pStyle w:val="ListNumberNoSpacing2"/>
        <w:numPr>
          <w:ilvl w:val="1"/>
          <w:numId w:val="43"/>
        </w:numPr>
      </w:pPr>
      <w:r>
        <w:t xml:space="preserve">establish the feasibility of installing and operating a new charge point in accordance with the requirements of the </w:t>
      </w:r>
      <w:r w:rsidR="004E7120">
        <w:t>Concession Agreement</w:t>
      </w:r>
      <w:r>
        <w:t xml:space="preserve"> at each of the preferred sites, including engagement/checks with landowners, site operators, planning </w:t>
      </w:r>
      <w:r w:rsidR="00544048">
        <w:t>a</w:t>
      </w:r>
      <w:r>
        <w:t>uthority’s, electricity network operators and any other relevant parties; and</w:t>
      </w:r>
    </w:p>
    <w:p w14:paraId="52856143" w14:textId="4A0EB996" w:rsidR="00B704B9" w:rsidRDefault="00B704B9" w:rsidP="000F1D81">
      <w:pPr>
        <w:pStyle w:val="ListNumberNoSpacing2"/>
        <w:numPr>
          <w:ilvl w:val="1"/>
          <w:numId w:val="43"/>
        </w:numPr>
      </w:pPr>
      <w:r>
        <w:t xml:space="preserve">participate in the </w:t>
      </w:r>
      <w:r w:rsidR="00544048">
        <w:t>Council</w:t>
      </w:r>
      <w:r>
        <w:t>’s Stage Gate review of site viability and the delivery</w:t>
      </w:r>
      <w:r w:rsidR="00607568">
        <w:t>.</w:t>
      </w:r>
    </w:p>
    <w:p w14:paraId="4D5AE0FC" w14:textId="43D2ADCA" w:rsidR="007835DE" w:rsidRDefault="00B704B9" w:rsidP="007835DE">
      <w:pPr>
        <w:pStyle w:val="Heading3"/>
      </w:pPr>
      <w:r>
        <w:t>Sites are categorised as: Category A</w:t>
      </w:r>
      <w:r w:rsidR="008B2CCB">
        <w:t xml:space="preserve"> (“the Sites”)</w:t>
      </w:r>
      <w:r>
        <w:t xml:space="preserve"> – Mandatory sites for development; and Category B</w:t>
      </w:r>
      <w:r w:rsidR="008B2CCB">
        <w:t xml:space="preserve"> (“Option Sites”)</w:t>
      </w:r>
      <w:r>
        <w:t xml:space="preserve"> – Proposed sites for development, </w:t>
      </w:r>
      <w:r w:rsidR="00544048">
        <w:t>Council</w:t>
      </w:r>
      <w:r>
        <w:t xml:space="preserve"> and Concessionaire to agree approach to development post award including the right to substitute sites in accordance with </w:t>
      </w:r>
      <w:r w:rsidR="004065AD">
        <w:t>s</w:t>
      </w:r>
      <w:r>
        <w:t xml:space="preserve">ection </w:t>
      </w:r>
      <w:r w:rsidR="00607568">
        <w:t>2.4</w:t>
      </w:r>
      <w:r>
        <w:t>. The figure below contains a map of all identified sites.</w:t>
      </w:r>
    </w:p>
    <w:p w14:paraId="3914B60A" w14:textId="6A986184" w:rsidR="007835DE" w:rsidRDefault="007835DE" w:rsidP="007835DE">
      <w:pPr>
        <w:spacing w:before="120"/>
      </w:pPr>
      <w:r w:rsidRPr="00230254">
        <w:rPr>
          <w:rStyle w:val="RedColour"/>
          <w:rFonts w:asciiTheme="majorHAnsi" w:eastAsia="Times New Roman" w:hAnsiTheme="majorHAnsi" w:cstheme="majorHAnsi"/>
          <w:noProof/>
          <w:color w:val="000000" w:themeColor="text1"/>
        </w:rPr>
        <w:drawing>
          <wp:inline distT="0" distB="0" distL="0" distR="0" wp14:anchorId="72E1F485" wp14:editId="494B102D">
            <wp:extent cx="5731510" cy="4051552"/>
            <wp:effectExtent l="0" t="0" r="2540" b="6350"/>
            <wp:docPr id="81196903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69039" name="Picture 1" descr="A map of a city&#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051552"/>
                    </a:xfrm>
                    <a:prstGeom prst="rect">
                      <a:avLst/>
                    </a:prstGeom>
                    <a:noFill/>
                    <a:ln>
                      <a:noFill/>
                    </a:ln>
                  </pic:spPr>
                </pic:pic>
              </a:graphicData>
            </a:graphic>
          </wp:inline>
        </w:drawing>
      </w:r>
    </w:p>
    <w:p w14:paraId="55413F44" w14:textId="77777777" w:rsidR="00587E0A" w:rsidRDefault="00587E0A" w:rsidP="00587E0A">
      <w:pPr>
        <w:spacing w:before="120"/>
      </w:pPr>
    </w:p>
    <w:p w14:paraId="787C7134" w14:textId="5346914E" w:rsidR="00587E0A" w:rsidRPr="007835DE" w:rsidRDefault="00587E0A" w:rsidP="00587E0A">
      <w:pPr>
        <w:pStyle w:val="Heading3"/>
      </w:pPr>
      <w:r w:rsidRPr="00587E0A">
        <w:lastRenderedPageBreak/>
        <w:t>The Council requires all Category A sites as described in Schedule 1 to be installed and operational within 9 months of the Concession Agreement signature. The Council requires all Category B sites as described in Schedule 1 to be installed and operational within 18 months of the Concession Agreement signature.</w:t>
      </w:r>
    </w:p>
    <w:p w14:paraId="0B77676B" w14:textId="77777777" w:rsidR="00B704B9" w:rsidRDefault="00B704B9" w:rsidP="00AE257A">
      <w:pPr>
        <w:pStyle w:val="Heading2"/>
      </w:pPr>
      <w:bookmarkStart w:id="18" w:name="_Toc205309813"/>
      <w:bookmarkStart w:id="19" w:name="_Toc211513063"/>
      <w:r>
        <w:t>Site Delivery Planning</w:t>
      </w:r>
      <w:bookmarkEnd w:id="18"/>
      <w:bookmarkEnd w:id="19"/>
    </w:p>
    <w:p w14:paraId="18BA78BF" w14:textId="4C28A6CF" w:rsidR="00B704B9" w:rsidRDefault="00B704B9" w:rsidP="00CD678B">
      <w:pPr>
        <w:pStyle w:val="Heading3"/>
      </w:pPr>
      <w:r>
        <w:t>IACC have secured grid connections and/or budgetary estimates for the provision of grid connections at sites as detailed in Schedule 1</w:t>
      </w:r>
      <w:r w:rsidR="000814B4">
        <w:t>6</w:t>
      </w:r>
      <w:r>
        <w:t xml:space="preserve"> (Sites). The Concessionaire is required to seek final quotations where applicable as a part of site delivery.</w:t>
      </w:r>
    </w:p>
    <w:p w14:paraId="44B6F9B3" w14:textId="3B4ECD78" w:rsidR="00B704B9" w:rsidRDefault="00B704B9" w:rsidP="00661EF8">
      <w:pPr>
        <w:pStyle w:val="Heading3"/>
      </w:pPr>
      <w:r>
        <w:t xml:space="preserve">For each site which is confirmed for the installation and operation of a new charge point by the </w:t>
      </w:r>
      <w:r w:rsidR="00544048">
        <w:t>Council</w:t>
      </w:r>
      <w:r>
        <w:t xml:space="preserve"> at the preceding Stage Gate review, the Concessionaire shall:</w:t>
      </w:r>
    </w:p>
    <w:p w14:paraId="07A9EC2C" w14:textId="77777777" w:rsidR="00661EF8" w:rsidRDefault="00B704B9" w:rsidP="000F1D81">
      <w:pPr>
        <w:pStyle w:val="ListNumberNoSpacing2"/>
        <w:numPr>
          <w:ilvl w:val="1"/>
          <w:numId w:val="45"/>
        </w:numPr>
      </w:pPr>
      <w:r>
        <w:t xml:space="preserve">secure a licence for access to the site for the purposes of completing the detailed design for the site and construction </w:t>
      </w:r>
      <w:proofErr w:type="gramStart"/>
      <w:r>
        <w:t>planning;</w:t>
      </w:r>
      <w:proofErr w:type="gramEnd"/>
    </w:p>
    <w:p w14:paraId="643EC50A" w14:textId="571A0B70" w:rsidR="00661EF8" w:rsidRDefault="00B704B9" w:rsidP="000F1D81">
      <w:pPr>
        <w:pStyle w:val="ListNumberNoSpacing2"/>
        <w:numPr>
          <w:ilvl w:val="1"/>
          <w:numId w:val="45"/>
        </w:numPr>
      </w:pPr>
      <w:r>
        <w:t>obtain planning permission(s), for all equipment and associated infrastructure, as required, at the specified location (to include any legal fees associated with gaining necessary planning permissions</w:t>
      </w:r>
      <w:proofErr w:type="gramStart"/>
      <w:r>
        <w:t>);</w:t>
      </w:r>
      <w:proofErr w:type="gramEnd"/>
    </w:p>
    <w:p w14:paraId="1F5EA206" w14:textId="1B46F3DC" w:rsidR="00661EF8" w:rsidRDefault="00B704B9" w:rsidP="000F1D81">
      <w:pPr>
        <w:pStyle w:val="ListNumberNoSpacing2"/>
        <w:numPr>
          <w:ilvl w:val="1"/>
          <w:numId w:val="45"/>
        </w:numPr>
      </w:pPr>
      <w:r>
        <w:t>complete the detailed design for the site in accordance with the requirements of Appendix A.</w:t>
      </w:r>
      <w:r w:rsidR="004065AD">
        <w:t>3</w:t>
      </w:r>
      <w:r>
        <w:t xml:space="preserve"> and Appendix A.</w:t>
      </w:r>
      <w:proofErr w:type="gramStart"/>
      <w:r w:rsidR="004065AD">
        <w:t>4</w:t>
      </w:r>
      <w:r>
        <w:t>;</w:t>
      </w:r>
      <w:proofErr w:type="gramEnd"/>
    </w:p>
    <w:p w14:paraId="09013A96" w14:textId="77777777" w:rsidR="00661EF8" w:rsidRDefault="00B704B9" w:rsidP="000F1D81">
      <w:pPr>
        <w:pStyle w:val="ListNumberNoSpacing2"/>
        <w:numPr>
          <w:ilvl w:val="1"/>
          <w:numId w:val="45"/>
        </w:numPr>
      </w:pPr>
      <w:r>
        <w:t xml:space="preserve">formally accept lease documentation which will form the basis of the initial fifteen (15) year agreement between the Concessionaire and land / site owner (with the option to extend for five (5) years). Any costs associated with the lease process will be the responsibility of the </w:t>
      </w:r>
      <w:proofErr w:type="gramStart"/>
      <w:r>
        <w:t>Concessionaire;</w:t>
      </w:r>
      <w:proofErr w:type="gramEnd"/>
    </w:p>
    <w:p w14:paraId="0FAFF7A0" w14:textId="77777777" w:rsidR="00661EF8" w:rsidRDefault="00B704B9" w:rsidP="000F1D81">
      <w:pPr>
        <w:pStyle w:val="ListNumberNoSpacing2"/>
        <w:numPr>
          <w:ilvl w:val="1"/>
          <w:numId w:val="45"/>
        </w:numPr>
      </w:pPr>
      <w:r>
        <w:t xml:space="preserve">cover any legal fees associated with the agreement of way leaves required to enable grid connection </w:t>
      </w:r>
      <w:proofErr w:type="gramStart"/>
      <w:r>
        <w:t>activities;</w:t>
      </w:r>
      <w:proofErr w:type="gramEnd"/>
    </w:p>
    <w:p w14:paraId="426EDF68" w14:textId="77777777" w:rsidR="00661EF8" w:rsidRDefault="00B704B9" w:rsidP="000F1D81">
      <w:pPr>
        <w:pStyle w:val="ListNumberNoSpacing2"/>
        <w:numPr>
          <w:ilvl w:val="1"/>
          <w:numId w:val="45"/>
        </w:numPr>
      </w:pPr>
      <w:r>
        <w:t xml:space="preserve">cover the cost of each supplied operational charging point </w:t>
      </w:r>
      <w:proofErr w:type="gramStart"/>
      <w:r>
        <w:t>unit;</w:t>
      </w:r>
      <w:proofErr w:type="gramEnd"/>
    </w:p>
    <w:p w14:paraId="0309EE77" w14:textId="77777777" w:rsidR="00661EF8" w:rsidRDefault="00B704B9" w:rsidP="000F1D81">
      <w:pPr>
        <w:pStyle w:val="ListNumberNoSpacing2"/>
        <w:numPr>
          <w:ilvl w:val="1"/>
          <w:numId w:val="45"/>
        </w:numPr>
      </w:pPr>
      <w:r>
        <w:t>design signing and bay markings associated with the provision of charging points, as detailed in section A.</w:t>
      </w:r>
      <w:proofErr w:type="gramStart"/>
      <w:r>
        <w:t>7.4;</w:t>
      </w:r>
      <w:proofErr w:type="gramEnd"/>
    </w:p>
    <w:p w14:paraId="2F2B7BF3" w14:textId="29F864AC" w:rsidR="00661EF8" w:rsidRDefault="00B704B9" w:rsidP="000F1D81">
      <w:pPr>
        <w:pStyle w:val="ListNumberNoSpacing2"/>
        <w:numPr>
          <w:ilvl w:val="1"/>
          <w:numId w:val="45"/>
        </w:numPr>
      </w:pPr>
      <w:r>
        <w:t xml:space="preserve">prepare a design report which sets out the scope of construction </w:t>
      </w:r>
      <w:r w:rsidR="001F579B">
        <w:t>W</w:t>
      </w:r>
      <w:r>
        <w:t xml:space="preserve">orks to be undertaken, and includes pre-construction information, a construction phase plan, and an updated site delivery risk </w:t>
      </w:r>
      <w:proofErr w:type="gramStart"/>
      <w:r>
        <w:t>assessment;</w:t>
      </w:r>
      <w:proofErr w:type="gramEnd"/>
    </w:p>
    <w:p w14:paraId="15DF656D" w14:textId="5F80D310" w:rsidR="00661EF8" w:rsidRDefault="00B704B9" w:rsidP="000F1D81">
      <w:pPr>
        <w:pStyle w:val="ListNumberNoSpacing2"/>
        <w:numPr>
          <w:ilvl w:val="1"/>
          <w:numId w:val="45"/>
        </w:numPr>
      </w:pPr>
      <w:r>
        <w:t>commence preparation of the health and safety file for the site in accordance with Appendix A.</w:t>
      </w:r>
      <w:r w:rsidR="004065AD">
        <w:t>6</w:t>
      </w:r>
      <w:r>
        <w:t>; and</w:t>
      </w:r>
    </w:p>
    <w:p w14:paraId="6C883DB2" w14:textId="3929D561" w:rsidR="00B704B9" w:rsidRDefault="00B704B9" w:rsidP="000F1D81">
      <w:pPr>
        <w:pStyle w:val="ListNumberNoSpacing2"/>
        <w:numPr>
          <w:ilvl w:val="1"/>
          <w:numId w:val="45"/>
        </w:numPr>
      </w:pPr>
      <w:r>
        <w:t xml:space="preserve">participate in the </w:t>
      </w:r>
      <w:r w:rsidR="00544048">
        <w:t>Council</w:t>
      </w:r>
      <w:r>
        <w:t>’s Stage Gate reviews to confirm the continued viability of the site and the completion of all legal processes and design activities ahead of site delivery.</w:t>
      </w:r>
    </w:p>
    <w:p w14:paraId="48A424AD" w14:textId="77777777" w:rsidR="00DB1AC3" w:rsidRDefault="00DB1AC3" w:rsidP="00DB1AC3"/>
    <w:p w14:paraId="38D93798" w14:textId="1BCD6474" w:rsidR="00A8559E" w:rsidRDefault="00A8559E" w:rsidP="00A8559E">
      <w:pPr>
        <w:pStyle w:val="Heading2"/>
      </w:pPr>
      <w:bookmarkStart w:id="20" w:name="_Toc205309814"/>
      <w:bookmarkStart w:id="21" w:name="_Toc211513064"/>
      <w:r>
        <w:lastRenderedPageBreak/>
        <w:t>Minimum Provisions for Proposed Charge Point Sites</w:t>
      </w:r>
      <w:bookmarkEnd w:id="20"/>
      <w:bookmarkEnd w:id="21"/>
    </w:p>
    <w:p w14:paraId="52047964" w14:textId="3097E9ED" w:rsidR="00E113B7" w:rsidRDefault="00A8559E" w:rsidP="00A8559E">
      <w:pPr>
        <w:pStyle w:val="Heading3"/>
      </w:pPr>
      <w:r>
        <w:t xml:space="preserve">Sites designated by the </w:t>
      </w:r>
      <w:r w:rsidR="00544048">
        <w:t>Council</w:t>
      </w:r>
      <w:r>
        <w:t xml:space="preserve"> for the installation and operation of new charge points shall, as a minimum already have a paved and adequately drained area which is sufficient to meet vehicle loading requirements without requiring pavement or drainage </w:t>
      </w:r>
      <w:r w:rsidR="001F579B">
        <w:t>W</w:t>
      </w:r>
      <w:r>
        <w:t>orks.</w:t>
      </w:r>
    </w:p>
    <w:p w14:paraId="48CEAB7A" w14:textId="4D321600" w:rsidR="00A8559E" w:rsidRDefault="00A8559E" w:rsidP="00A8559E">
      <w:pPr>
        <w:pStyle w:val="Heading3"/>
      </w:pPr>
      <w:r>
        <w:t xml:space="preserve">The </w:t>
      </w:r>
      <w:r w:rsidR="00544048">
        <w:t>Council</w:t>
      </w:r>
      <w:r>
        <w:t xml:space="preserve"> shall consider location specific limits on the amount of light emission permissible, including but not limited to:</w:t>
      </w:r>
    </w:p>
    <w:p w14:paraId="15FF4A17" w14:textId="77777777" w:rsidR="00E113B7" w:rsidRDefault="00A8559E" w:rsidP="00A8559E">
      <w:pPr>
        <w:pStyle w:val="ListNumberNoSpacing2"/>
        <w:numPr>
          <w:ilvl w:val="1"/>
          <w:numId w:val="80"/>
        </w:numPr>
      </w:pPr>
      <w:r>
        <w:t>Locations with Dark skies status</w:t>
      </w:r>
    </w:p>
    <w:p w14:paraId="7D6C3A79" w14:textId="33561859" w:rsidR="00DB1AC3" w:rsidRDefault="00A8559E" w:rsidP="00B7636B">
      <w:pPr>
        <w:pStyle w:val="ListNumberNoSpacing2"/>
        <w:numPr>
          <w:ilvl w:val="1"/>
          <w:numId w:val="80"/>
        </w:numPr>
      </w:pPr>
      <w:r>
        <w:t>Areas of Outstanding Natural Beauty (AONB)</w:t>
      </w:r>
    </w:p>
    <w:p w14:paraId="67B73BCE" w14:textId="56F86C47" w:rsidR="00E113B7" w:rsidRDefault="00A8559E" w:rsidP="00A8559E">
      <w:pPr>
        <w:pStyle w:val="Heading3"/>
      </w:pPr>
      <w:r>
        <w:t xml:space="preserve">The </w:t>
      </w:r>
      <w:r w:rsidR="00544048">
        <w:t>Council</w:t>
      </w:r>
      <w:r>
        <w:t xml:space="preserve"> shall identify sites for the Concessionaire such that the Concessionaire can design and construct the charge point site so that the needs of disabled electric vehicle users are met.</w:t>
      </w:r>
    </w:p>
    <w:p w14:paraId="09855962" w14:textId="35463F0A" w:rsidR="00A8559E" w:rsidRDefault="00A8559E" w:rsidP="00A8559E">
      <w:pPr>
        <w:pStyle w:val="Heading3"/>
      </w:pPr>
      <w:r>
        <w:t xml:space="preserve">Sites designated by the </w:t>
      </w:r>
      <w:r w:rsidR="00544048">
        <w:t>Council</w:t>
      </w:r>
      <w:r>
        <w:t xml:space="preserve"> for the installation and operation of new charge points may be covered by CCTV. Where this is not available it will be at the discretion of the Concessionaire to install, operate and maintain the equipment to provide coverage should it be required, for example, to deter vandalism.</w:t>
      </w:r>
    </w:p>
    <w:p w14:paraId="41B3C11D" w14:textId="77777777" w:rsidR="00B704B9" w:rsidRDefault="00B704B9" w:rsidP="00661EF8">
      <w:pPr>
        <w:pStyle w:val="Heading2"/>
      </w:pPr>
      <w:bookmarkStart w:id="22" w:name="_Toc205309815"/>
      <w:bookmarkStart w:id="23" w:name="_Toc211513065"/>
      <w:r>
        <w:t>Site Delivery</w:t>
      </w:r>
      <w:bookmarkEnd w:id="22"/>
      <w:bookmarkEnd w:id="23"/>
    </w:p>
    <w:p w14:paraId="170B88CE" w14:textId="1D101B4C" w:rsidR="00694BAE" w:rsidRDefault="00483C7C" w:rsidP="00483C7C">
      <w:pPr>
        <w:pStyle w:val="Heading3"/>
      </w:pPr>
      <w:r w:rsidRPr="00483C7C">
        <w:t>Confirmation of the validity and viability of each site’s development is the responsibility of the Concessionaire.</w:t>
      </w:r>
    </w:p>
    <w:p w14:paraId="6BE69370" w14:textId="77777777" w:rsidR="00E113B7" w:rsidRDefault="00302999" w:rsidP="00302999">
      <w:pPr>
        <w:pStyle w:val="Heading3"/>
      </w:pPr>
      <w:r>
        <w:t xml:space="preserve">The Concessionaire required to examine each individual site as viable and suitable for the installation of a charging point and confirm this acceptance by completing the lease documentation to occupy and use the site for fifteen (15) years with the option to extend for five (5) years. </w:t>
      </w:r>
    </w:p>
    <w:p w14:paraId="5005355B" w14:textId="573A0D80" w:rsidR="00B7636B" w:rsidRPr="00B7636B" w:rsidRDefault="00302999" w:rsidP="00B7636B">
      <w:pPr>
        <w:pStyle w:val="Heading3"/>
      </w:pPr>
      <w:r>
        <w:t xml:space="preserve">All risks and costs associated with the site after the lease has been accepted and signed, rest with the Concessionaire. This includes any repositioning of the charge point equipment or use of alternative parking bays in or adjacent to the </w:t>
      </w:r>
      <w:r w:rsidR="00544048">
        <w:t>Council</w:t>
      </w:r>
      <w:r>
        <w:t xml:space="preserve"> nominated location, unless the repositioning is specifically required by the </w:t>
      </w:r>
      <w:r w:rsidR="00544048">
        <w:t>Council</w:t>
      </w:r>
      <w:r>
        <w:t>.</w:t>
      </w:r>
    </w:p>
    <w:p w14:paraId="1A486867" w14:textId="2BEA9DB0" w:rsidR="00B7636B" w:rsidRDefault="00184F62" w:rsidP="00B7636B">
      <w:pPr>
        <w:pStyle w:val="Heading3"/>
      </w:pPr>
      <w:r>
        <w:t xml:space="preserve">Any costs incurred due to the failure of a site where the DNO states supply of appropriate power to a site is not viable or point of connection will be at a final cost deemed unacceptable to the </w:t>
      </w:r>
      <w:r w:rsidR="00544048">
        <w:t>Council</w:t>
      </w:r>
      <w:r>
        <w:t xml:space="preserve">, will not be reimbursed by the </w:t>
      </w:r>
      <w:r w:rsidR="00544048">
        <w:t>Council</w:t>
      </w:r>
      <w:r>
        <w:t>. This is noted as a project risk which is mitigated by the requirement that no physical work should be commenced until all the approval</w:t>
      </w:r>
      <w:r w:rsidR="008D475A">
        <w:t xml:space="preserve"> is given</w:t>
      </w:r>
      <w:r>
        <w:t xml:space="preserve"> by the </w:t>
      </w:r>
      <w:r w:rsidR="00544048">
        <w:t>Council</w:t>
      </w:r>
      <w:r>
        <w:t>.</w:t>
      </w:r>
    </w:p>
    <w:p w14:paraId="18E8C11F" w14:textId="77777777" w:rsidR="00B7636B" w:rsidRPr="00B7636B" w:rsidRDefault="00B7636B" w:rsidP="00B7636B"/>
    <w:p w14:paraId="28043B4C" w14:textId="60A185B3" w:rsidR="00B704B9" w:rsidRDefault="00B704B9" w:rsidP="00661EF8">
      <w:pPr>
        <w:pStyle w:val="Heading3"/>
      </w:pPr>
      <w:r>
        <w:lastRenderedPageBreak/>
        <w:t xml:space="preserve">For each site which is </w:t>
      </w:r>
      <w:r w:rsidR="008D475A">
        <w:t>a</w:t>
      </w:r>
      <w:r>
        <w:t xml:space="preserve">pproved for delivery of Services by the </w:t>
      </w:r>
      <w:r w:rsidR="00544048">
        <w:t>Council</w:t>
      </w:r>
      <w:r w:rsidR="008D475A">
        <w:t>,</w:t>
      </w:r>
      <w:r>
        <w:t xml:space="preserve"> the Concessionaire shall:</w:t>
      </w:r>
    </w:p>
    <w:p w14:paraId="142459CC" w14:textId="2A85DF56" w:rsidR="00661EF8" w:rsidRDefault="00B704B9" w:rsidP="000F1D81">
      <w:pPr>
        <w:pStyle w:val="ListNumberNoSpacing2"/>
        <w:numPr>
          <w:ilvl w:val="1"/>
          <w:numId w:val="46"/>
        </w:numPr>
      </w:pPr>
      <w:r>
        <w:t xml:space="preserve">complete the installation, electrical connection, testing and commissioning of the new charge point(s) and associated infrastructure in accordance with the </w:t>
      </w:r>
      <w:r w:rsidR="008D475A">
        <w:t>a</w:t>
      </w:r>
      <w:r>
        <w:t xml:space="preserve">pproved design and construction phase </w:t>
      </w:r>
      <w:proofErr w:type="gramStart"/>
      <w:r>
        <w:t>plan;</w:t>
      </w:r>
      <w:proofErr w:type="gramEnd"/>
    </w:p>
    <w:p w14:paraId="0B794B11" w14:textId="1449DA00" w:rsidR="00661EF8" w:rsidRDefault="00B704B9" w:rsidP="00B704B9">
      <w:pPr>
        <w:pStyle w:val="ListNumberNoSpacing2"/>
      </w:pPr>
      <w:r>
        <w:t>complete the health and safety file for the site in accordance with Appendix A.</w:t>
      </w:r>
      <w:proofErr w:type="gramStart"/>
      <w:r w:rsidR="006B374B">
        <w:t>6</w:t>
      </w:r>
      <w:r>
        <w:t>;</w:t>
      </w:r>
      <w:proofErr w:type="gramEnd"/>
    </w:p>
    <w:p w14:paraId="40B826AE" w14:textId="4889289E" w:rsidR="00661EF8" w:rsidRDefault="00B704B9" w:rsidP="00B704B9">
      <w:pPr>
        <w:pStyle w:val="ListNumberNoSpacing2"/>
      </w:pPr>
      <w:r>
        <w:t>complete a Maintenance Plan for the site in accordance with Appendix A.</w:t>
      </w:r>
      <w:proofErr w:type="gramStart"/>
      <w:r w:rsidR="00EC3AE6">
        <w:t>7</w:t>
      </w:r>
      <w:r>
        <w:t>;</w:t>
      </w:r>
      <w:proofErr w:type="gramEnd"/>
    </w:p>
    <w:p w14:paraId="3367452F" w14:textId="61A061E4" w:rsidR="00B704B9" w:rsidRDefault="00B704B9" w:rsidP="00B704B9">
      <w:pPr>
        <w:pStyle w:val="ListNumberNoSpacing2"/>
      </w:pPr>
      <w:r>
        <w:t xml:space="preserve">participate in the </w:t>
      </w:r>
      <w:r w:rsidR="00544048">
        <w:t>Council</w:t>
      </w:r>
      <w:r>
        <w:t xml:space="preserve">’s Stage Gate review of the installed site and health and safety file to confirm that all the </w:t>
      </w:r>
      <w:r w:rsidR="00544048">
        <w:t>Council</w:t>
      </w:r>
      <w:r>
        <w:t>’s operational and technical requirements have been met for site operation.</w:t>
      </w:r>
    </w:p>
    <w:p w14:paraId="6AEB4B7D" w14:textId="5DF48E2C" w:rsidR="008841E3" w:rsidRPr="008841E3" w:rsidRDefault="00661EF8" w:rsidP="008841E3">
      <w:pPr>
        <w:pStyle w:val="Heading3"/>
      </w:pPr>
      <w:r>
        <w:t>The Concessionaire shall</w:t>
      </w:r>
      <w:r w:rsidR="00B704B9">
        <w:t xml:space="preserve"> </w:t>
      </w:r>
      <w:proofErr w:type="gramStart"/>
      <w:r w:rsidR="00B704B9">
        <w:t>compl</w:t>
      </w:r>
      <w:r>
        <w:t>y</w:t>
      </w:r>
      <w:r w:rsidR="00B704B9">
        <w:t xml:space="preserve"> with</w:t>
      </w:r>
      <w:r w:rsidR="008841E3">
        <w:t xml:space="preserve"> The</w:t>
      </w:r>
      <w:r w:rsidR="00B704B9">
        <w:t xml:space="preserve"> Waste Electrical and Electronic Equipment (WEEE) </w:t>
      </w:r>
      <w:r w:rsidR="008841E3">
        <w:t xml:space="preserve">Directive </w:t>
      </w:r>
      <w:r w:rsidR="00B704B9">
        <w:t>at all times</w:t>
      </w:r>
      <w:proofErr w:type="gramEnd"/>
      <w:r w:rsidR="00B704B9">
        <w:t xml:space="preserve"> during the </w:t>
      </w:r>
      <w:r w:rsidR="004E7120">
        <w:t>Concession Agreement</w:t>
      </w:r>
      <w:r w:rsidR="007835DE">
        <w:t>.</w:t>
      </w:r>
    </w:p>
    <w:p w14:paraId="60A6B2C7" w14:textId="4E51EF97" w:rsidR="00B704B9" w:rsidRDefault="00B704B9" w:rsidP="00B704B9">
      <w:pPr>
        <w:pStyle w:val="Heading3"/>
      </w:pPr>
      <w:r>
        <w:t>The Concessionaire shall ensure that all refuse and waste from the installation (of local connection assets and EV charging equipment), operation and maintenance, and end-of-life, shall be segregated and disposed of in a responsible and environmentally conscious manner in full compliance with relevant recycling and waste disposal regulations.</w:t>
      </w:r>
    </w:p>
    <w:p w14:paraId="76256E42" w14:textId="77777777" w:rsidR="00B704B9" w:rsidRDefault="00B704B9" w:rsidP="0058061B">
      <w:pPr>
        <w:pStyle w:val="Heading2"/>
      </w:pPr>
      <w:bookmarkStart w:id="24" w:name="_Toc205309816"/>
      <w:bookmarkStart w:id="25" w:name="_Toc211513066"/>
      <w:r>
        <w:t>Site Operations and Maintenance</w:t>
      </w:r>
      <w:bookmarkEnd w:id="24"/>
      <w:bookmarkEnd w:id="25"/>
    </w:p>
    <w:p w14:paraId="1503BE62" w14:textId="77777777" w:rsidR="00B704B9" w:rsidRDefault="00B704B9" w:rsidP="0058061B">
      <w:pPr>
        <w:pStyle w:val="Heading3"/>
      </w:pPr>
      <w:r>
        <w:t>The Concessionaire’s access to and use of the sites shall be governed by the conditions of the relevant lease and underlease.</w:t>
      </w:r>
    </w:p>
    <w:p w14:paraId="4BAB785D" w14:textId="61EC201B" w:rsidR="00B704B9" w:rsidRDefault="00B704B9" w:rsidP="0058061B">
      <w:pPr>
        <w:pStyle w:val="Heading3"/>
      </w:pPr>
      <w:r>
        <w:t xml:space="preserve">For each site which is </w:t>
      </w:r>
      <w:r w:rsidR="008D475A">
        <w:t>a</w:t>
      </w:r>
      <w:r>
        <w:t xml:space="preserve">pproved for operation of the new charge point(s) by the </w:t>
      </w:r>
      <w:r w:rsidR="00544048">
        <w:t>Council</w:t>
      </w:r>
      <w:r w:rsidR="008D475A">
        <w:t xml:space="preserve">, </w:t>
      </w:r>
      <w:r>
        <w:t>the Concessionaire shall:</w:t>
      </w:r>
    </w:p>
    <w:p w14:paraId="3AD1865B" w14:textId="15C43DAD" w:rsidR="0058061B" w:rsidRDefault="00B704B9" w:rsidP="000F1D81">
      <w:pPr>
        <w:pStyle w:val="ListNumberNoSpacing2"/>
        <w:numPr>
          <w:ilvl w:val="1"/>
          <w:numId w:val="47"/>
        </w:numPr>
      </w:pPr>
      <w:r>
        <w:t xml:space="preserve">operate and retain responsibility for the maintenance of the charge point and associated infrastructure for the remainder of the site lease term in accordance with the conditions of the lease, and the requirements of </w:t>
      </w:r>
      <w:r w:rsidR="00E175F3">
        <w:t xml:space="preserve">section </w:t>
      </w:r>
      <w:proofErr w:type="gramStart"/>
      <w:r w:rsidR="00E175F3">
        <w:t>2.6</w:t>
      </w:r>
      <w:r>
        <w:t>;</w:t>
      </w:r>
      <w:proofErr w:type="gramEnd"/>
    </w:p>
    <w:p w14:paraId="7202C583" w14:textId="09C3F135" w:rsidR="0058061B" w:rsidRDefault="00B704B9" w:rsidP="000F1D81">
      <w:pPr>
        <w:pStyle w:val="ListNumberNoSpacing2"/>
        <w:numPr>
          <w:ilvl w:val="1"/>
          <w:numId w:val="47"/>
        </w:numPr>
      </w:pPr>
      <w:r>
        <w:t xml:space="preserve">unless otherwise agreed in writing with the </w:t>
      </w:r>
      <w:r w:rsidR="00544048">
        <w:t>Council</w:t>
      </w:r>
      <w:r>
        <w:t xml:space="preserve">, prepare a site decommissioning and reinstatement plan in accordance with </w:t>
      </w:r>
      <w:r w:rsidR="00E175F3">
        <w:t>section 2.</w:t>
      </w:r>
      <w:r w:rsidR="00AA1EB0">
        <w:t>6</w:t>
      </w:r>
      <w:r>
        <w:t xml:space="preserve"> for submission to the </w:t>
      </w:r>
      <w:r w:rsidR="00544048">
        <w:t>Council</w:t>
      </w:r>
      <w:r>
        <w:t xml:space="preserve"> twelve (12) months before the end of the site operational period; and </w:t>
      </w:r>
    </w:p>
    <w:p w14:paraId="039A5BD4" w14:textId="405A2FF5" w:rsidR="0058061B" w:rsidRDefault="00B704B9" w:rsidP="000F1D81">
      <w:pPr>
        <w:pStyle w:val="ListNumberNoSpacing2"/>
        <w:numPr>
          <w:ilvl w:val="1"/>
          <w:numId w:val="47"/>
        </w:numPr>
      </w:pPr>
      <w:r>
        <w:t xml:space="preserve">participate in the </w:t>
      </w:r>
      <w:r w:rsidR="00544048">
        <w:t>Council</w:t>
      </w:r>
      <w:r>
        <w:t xml:space="preserve">’s Stage Gate review of the site decommissioning and reinstatement plan in accordance to confirm the </w:t>
      </w:r>
      <w:r w:rsidR="00544048">
        <w:t>Council</w:t>
      </w:r>
      <w:r>
        <w:t xml:space="preserve">’s requirements for site decommissioning and </w:t>
      </w:r>
      <w:proofErr w:type="gramStart"/>
      <w:r>
        <w:t>reinstatement;</w:t>
      </w:r>
      <w:proofErr w:type="gramEnd"/>
    </w:p>
    <w:p w14:paraId="1E0B7D4F" w14:textId="77777777" w:rsidR="0058061B" w:rsidRDefault="00B704B9" w:rsidP="000F1D81">
      <w:pPr>
        <w:pStyle w:val="ListNumberNoSpacing2"/>
        <w:numPr>
          <w:ilvl w:val="1"/>
          <w:numId w:val="47"/>
        </w:numPr>
      </w:pPr>
      <w:r>
        <w:t>make annual payments to the landowner in respect of any renumeration agreements agreed with the landowner as specified in the site lease agreement; and</w:t>
      </w:r>
    </w:p>
    <w:p w14:paraId="7D4C3D6E" w14:textId="055AF846" w:rsidR="00B704B9" w:rsidRDefault="00B704B9" w:rsidP="000F1D81">
      <w:pPr>
        <w:pStyle w:val="ListNumberNoSpacing2"/>
        <w:numPr>
          <w:ilvl w:val="1"/>
          <w:numId w:val="47"/>
        </w:numPr>
      </w:pPr>
      <w:r>
        <w:t xml:space="preserve">all of which shall be funded through the Concessionaire’s operation of the charge point on a commercial basis and without any funding from the </w:t>
      </w:r>
      <w:r w:rsidR="00544048">
        <w:t>Council</w:t>
      </w:r>
      <w:r>
        <w:t>.</w:t>
      </w:r>
    </w:p>
    <w:p w14:paraId="70DDAAB5" w14:textId="77FD9FE4" w:rsidR="00B704B9" w:rsidRDefault="00366E3D" w:rsidP="00605238">
      <w:pPr>
        <w:pStyle w:val="Heading2"/>
      </w:pPr>
      <w:bookmarkStart w:id="26" w:name="_Toc205309817"/>
      <w:bookmarkStart w:id="27" w:name="_Toc211513067"/>
      <w:r>
        <w:lastRenderedPageBreak/>
        <w:t>Concession Agreement</w:t>
      </w:r>
      <w:r w:rsidR="00B704B9">
        <w:t xml:space="preserve"> Close-Out</w:t>
      </w:r>
      <w:bookmarkEnd w:id="26"/>
      <w:bookmarkEnd w:id="27"/>
      <w:r w:rsidR="00B704B9">
        <w:t xml:space="preserve">  </w:t>
      </w:r>
    </w:p>
    <w:p w14:paraId="02EAC470" w14:textId="17F047DD" w:rsidR="00B704B9" w:rsidRDefault="00B704B9" w:rsidP="00605238">
      <w:pPr>
        <w:pStyle w:val="Heading3"/>
      </w:pPr>
      <w:r>
        <w:t xml:space="preserve">For each site which is </w:t>
      </w:r>
      <w:r w:rsidR="008D475A">
        <w:t>a</w:t>
      </w:r>
      <w:r>
        <w:t xml:space="preserve">pproved for decommissioning and reinstatement by the </w:t>
      </w:r>
      <w:r w:rsidR="00544048">
        <w:t>Council</w:t>
      </w:r>
      <w:r>
        <w:t xml:space="preserve"> at the preceding Stage Gate review, the Concessionaire shall decommission and reinstate the site in accordance with an </w:t>
      </w:r>
      <w:r w:rsidR="008D475A">
        <w:t>a</w:t>
      </w:r>
      <w:r>
        <w:t>pproved site decommissioning and reinstatement plan.</w:t>
      </w:r>
    </w:p>
    <w:p w14:paraId="037EB8B6" w14:textId="416EE910" w:rsidR="00B704B9" w:rsidRDefault="00B704B9" w:rsidP="00605238">
      <w:pPr>
        <w:pStyle w:val="Heading3"/>
      </w:pPr>
      <w:r>
        <w:t>Such decommissioning and reinstatement of the site shall take place before the end of the operational period identified in Appendix A.</w:t>
      </w:r>
      <w:r w:rsidR="002E6ACF">
        <w:t>3</w:t>
      </w:r>
      <w:r>
        <w:t>.</w:t>
      </w:r>
    </w:p>
    <w:p w14:paraId="5E404995" w14:textId="3B5C5237" w:rsidR="00DB1AC3" w:rsidRDefault="00B704B9" w:rsidP="002756AC">
      <w:pPr>
        <w:pStyle w:val="Heading3"/>
      </w:pPr>
      <w:r>
        <w:t xml:space="preserve">Decommissioning and reinstatement of the site shall be funded by the Concessionaire and without further funding from the </w:t>
      </w:r>
      <w:r w:rsidR="00544048">
        <w:t>Council</w:t>
      </w:r>
      <w:r>
        <w:t xml:space="preserve"> without prejudice to the funding described in the site lease.</w:t>
      </w:r>
    </w:p>
    <w:p w14:paraId="116A963C" w14:textId="041DF449" w:rsidR="00DB1AC3" w:rsidRDefault="002756AC" w:rsidP="002756AC">
      <w:pPr>
        <w:pStyle w:val="Heading3"/>
      </w:pPr>
      <w:r>
        <w:t xml:space="preserve">Should the </w:t>
      </w:r>
      <w:r w:rsidR="00544048">
        <w:t>Council</w:t>
      </w:r>
      <w:r>
        <w:t xml:space="preserve"> require the charge point to be removed at the end of the lease term the Concessionaire is required to have a decommissioning and reinstatement plan for each charge point.</w:t>
      </w:r>
    </w:p>
    <w:p w14:paraId="21A41273" w14:textId="520E80A8" w:rsidR="002756AC" w:rsidRDefault="002756AC" w:rsidP="002756AC">
      <w:pPr>
        <w:pStyle w:val="Heading3"/>
      </w:pPr>
      <w:r>
        <w:t>The Concessionaire’s site decommissioning and reinstatement plan for each charge point site shall be based on:</w:t>
      </w:r>
    </w:p>
    <w:p w14:paraId="396C5760" w14:textId="77777777" w:rsidR="00DB1AC3" w:rsidRDefault="002756AC" w:rsidP="002756AC">
      <w:pPr>
        <w:pStyle w:val="ListNumberNoSpacing2"/>
        <w:numPr>
          <w:ilvl w:val="1"/>
          <w:numId w:val="81"/>
        </w:numPr>
      </w:pPr>
      <w:r>
        <w:t xml:space="preserve">the requirements of the site leases </w:t>
      </w:r>
    </w:p>
    <w:p w14:paraId="63E8BBB9" w14:textId="77777777" w:rsidR="00DB1AC3" w:rsidRDefault="002756AC" w:rsidP="002756AC">
      <w:pPr>
        <w:pStyle w:val="ListNumberNoSpacing2"/>
        <w:numPr>
          <w:ilvl w:val="1"/>
          <w:numId w:val="81"/>
        </w:numPr>
      </w:pPr>
      <w:r>
        <w:t>liaison with the landowner to establish the landlord’s views on the plans for site decommissioning and reinstatement, and an alternative option to retain the site; and</w:t>
      </w:r>
    </w:p>
    <w:p w14:paraId="027BDF8A" w14:textId="379C510E" w:rsidR="002756AC" w:rsidRDefault="002756AC" w:rsidP="002756AC">
      <w:pPr>
        <w:pStyle w:val="ListNumberNoSpacing2"/>
        <w:numPr>
          <w:ilvl w:val="1"/>
          <w:numId w:val="81"/>
        </w:numPr>
      </w:pPr>
      <w:r>
        <w:t xml:space="preserve">liaison with the </w:t>
      </w:r>
      <w:r w:rsidR="00544048">
        <w:t>Council</w:t>
      </w:r>
      <w:r>
        <w:t xml:space="preserve"> to establish the </w:t>
      </w:r>
      <w:r w:rsidR="00544048">
        <w:t>Council</w:t>
      </w:r>
      <w:r>
        <w:t>’s views on the plans for site decommissioning and reinstatement, and an alternative option to retain the site.</w:t>
      </w:r>
    </w:p>
    <w:p w14:paraId="51C805A9" w14:textId="77777777" w:rsidR="00DB1AC3" w:rsidRDefault="002756AC" w:rsidP="002756AC">
      <w:pPr>
        <w:pStyle w:val="Heading3"/>
      </w:pPr>
      <w:r>
        <w:t>The Concessionaire’s site decommissioning and reinstatement plan for each charge point site shall define the Concessionaire’s plans for:</w:t>
      </w:r>
    </w:p>
    <w:p w14:paraId="0BEF05A3" w14:textId="77777777" w:rsidR="00DB1AC3" w:rsidRDefault="002756AC" w:rsidP="002756AC">
      <w:pPr>
        <w:pStyle w:val="ListNumberNoSpacing2"/>
        <w:numPr>
          <w:ilvl w:val="1"/>
          <w:numId w:val="82"/>
        </w:numPr>
      </w:pPr>
      <w:r>
        <w:t>maximising recycling of equipment and infrastructure to be removed; and</w:t>
      </w:r>
    </w:p>
    <w:p w14:paraId="7BF1395D" w14:textId="12CADF8E" w:rsidR="002756AC" w:rsidRDefault="002756AC" w:rsidP="002756AC">
      <w:pPr>
        <w:pStyle w:val="ListNumberNoSpacing2"/>
        <w:numPr>
          <w:ilvl w:val="1"/>
          <w:numId w:val="82"/>
        </w:numPr>
      </w:pPr>
      <w:r>
        <w:t>treatment of waste.</w:t>
      </w:r>
    </w:p>
    <w:p w14:paraId="016FE9C4" w14:textId="547F0DD0" w:rsidR="002756AC" w:rsidRPr="002756AC" w:rsidRDefault="002756AC" w:rsidP="00DB1AC3">
      <w:pPr>
        <w:pStyle w:val="Heading3"/>
      </w:pPr>
      <w:r>
        <w:t xml:space="preserve">Should the landowner not require the charge point to be removed at the end of the </w:t>
      </w:r>
      <w:r w:rsidR="00366E3D">
        <w:t xml:space="preserve">Concession Agreement </w:t>
      </w:r>
      <w:r>
        <w:t>term, any ongoing relationship is a matter for the Concessionaire and landowner to resolve.</w:t>
      </w:r>
    </w:p>
    <w:p w14:paraId="7A5F76C4" w14:textId="0693992B" w:rsidR="007B67D2" w:rsidRDefault="007B67D2" w:rsidP="00BE2B74">
      <w:r>
        <w:br w:type="page"/>
      </w:r>
    </w:p>
    <w:p w14:paraId="5E4834A7" w14:textId="5DF5712C" w:rsidR="00F93151" w:rsidRDefault="00F2321E" w:rsidP="005B344A">
      <w:pPr>
        <w:pStyle w:val="Appendix1"/>
      </w:pPr>
      <w:bookmarkStart w:id="28" w:name="_Toc211513068"/>
      <w:r>
        <w:lastRenderedPageBreak/>
        <w:t>Indicative site delivery approach</w:t>
      </w:r>
      <w:bookmarkEnd w:id="28"/>
    </w:p>
    <w:p w14:paraId="0E5A6A33" w14:textId="47922E3C" w:rsidR="008524B6" w:rsidRDefault="002C0070" w:rsidP="008524B6">
      <w:r w:rsidRPr="00230254">
        <w:rPr>
          <w:rFonts w:asciiTheme="majorHAnsi" w:hAnsiTheme="majorHAnsi" w:cstheme="majorHAnsi"/>
        </w:rPr>
        <w:object w:dxaOrig="16180" w:dyaOrig="23210" w14:anchorId="23A9E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95pt;height:616.3pt" o:ole="">
            <v:imagedata r:id="rId16" o:title="" croptop="2850f" cropbottom="379f" cropleft="457f" cropright="457f"/>
          </v:shape>
          <o:OLEObject Type="Embed" ProgID="Visio.Drawing.15" ShapeID="_x0000_i1025" DrawAspect="Content" ObjectID="_1822819863" r:id="rId17"/>
        </w:object>
      </w:r>
    </w:p>
    <w:p w14:paraId="11670E0C" w14:textId="183EB7F7" w:rsidR="008524B6" w:rsidRDefault="008524B6" w:rsidP="008524B6">
      <w:pPr>
        <w:pStyle w:val="Appendix1"/>
        <w:numPr>
          <w:ilvl w:val="0"/>
          <w:numId w:val="0"/>
        </w:numPr>
        <w:ind w:left="1077" w:hanging="1077"/>
      </w:pPr>
      <w:r>
        <w:br w:type="page"/>
      </w:r>
    </w:p>
    <w:p w14:paraId="21289399" w14:textId="1C906524" w:rsidR="003226B9" w:rsidRDefault="004E7120" w:rsidP="005B344A">
      <w:pPr>
        <w:pStyle w:val="Appendix1"/>
      </w:pPr>
      <w:bookmarkStart w:id="29" w:name="_Toc211513069"/>
      <w:r>
        <w:lastRenderedPageBreak/>
        <w:t>Concession Agreement</w:t>
      </w:r>
      <w:r w:rsidR="00AA51D2">
        <w:t xml:space="preserve"> management arrangements</w:t>
      </w:r>
      <w:bookmarkEnd w:id="29"/>
    </w:p>
    <w:p w14:paraId="048F281E" w14:textId="0C0B800F" w:rsidR="00156CB2" w:rsidRDefault="00302F54" w:rsidP="005B344A">
      <w:pPr>
        <w:pStyle w:val="Appendix2"/>
      </w:pPr>
      <w:bookmarkStart w:id="30" w:name="_Toc211513070"/>
      <w:r>
        <w:t>Overview</w:t>
      </w:r>
      <w:bookmarkEnd w:id="30"/>
    </w:p>
    <w:p w14:paraId="34453D07" w14:textId="28F5EE8E" w:rsidR="00A90A9A" w:rsidRPr="00A90A9A" w:rsidRDefault="00A90A9A" w:rsidP="005B344A">
      <w:pPr>
        <w:pStyle w:val="Appendix3"/>
      </w:pPr>
      <w:r w:rsidRPr="00A90A9A">
        <w:t xml:space="preserve">This appendix summarises the </w:t>
      </w:r>
      <w:r w:rsidR="00544048">
        <w:t>Council</w:t>
      </w:r>
      <w:r w:rsidRPr="00A90A9A">
        <w:t xml:space="preserve">’s (client’s) arrangements and requirements for managing the </w:t>
      </w:r>
      <w:r w:rsidR="004E7120">
        <w:t>Concession Agreement</w:t>
      </w:r>
      <w:r w:rsidRPr="00A90A9A">
        <w:t xml:space="preserve"> including</w:t>
      </w:r>
      <w:proofErr w:type="gramStart"/>
      <w:r w:rsidRPr="00A90A9A">
        <w:t>, in particular, the</w:t>
      </w:r>
      <w:proofErr w:type="gramEnd"/>
      <w:r w:rsidRPr="00A90A9A">
        <w:t xml:space="preserve"> arrangements and requirements for managing the </w:t>
      </w:r>
      <w:r w:rsidR="004E7120">
        <w:t>Concession Agreement</w:t>
      </w:r>
      <w:r w:rsidRPr="00A90A9A">
        <w:t xml:space="preserve"> so that health, safety and welfare is secured.</w:t>
      </w:r>
    </w:p>
    <w:p w14:paraId="69AE6E40" w14:textId="0575ECB1" w:rsidR="00023E88" w:rsidRDefault="00E53E84" w:rsidP="005B344A">
      <w:pPr>
        <w:pStyle w:val="Appendix2"/>
      </w:pPr>
      <w:bookmarkStart w:id="31" w:name="_Toc211513071"/>
      <w:r>
        <w:t>Concession</w:t>
      </w:r>
      <w:r w:rsidR="00023E88">
        <w:t xml:space="preserve"> Team</w:t>
      </w:r>
      <w:bookmarkEnd w:id="31"/>
    </w:p>
    <w:p w14:paraId="0B852292" w14:textId="505A1A40" w:rsidR="008524B6" w:rsidRPr="008524B6" w:rsidRDefault="00023E88" w:rsidP="008524B6">
      <w:pPr>
        <w:pStyle w:val="Appendix3"/>
      </w:pPr>
      <w:r>
        <w:t xml:space="preserve">The </w:t>
      </w:r>
      <w:r w:rsidR="00544048">
        <w:t>Council</w:t>
      </w:r>
      <w:r>
        <w:t xml:space="preserve">’s arrangements and expectations for the assembly of the team for the </w:t>
      </w:r>
      <w:r w:rsidR="004E7120">
        <w:t>Concession Agreement</w:t>
      </w:r>
      <w:r>
        <w:t xml:space="preserve"> are illustrated in Figure 1. Duty holders, as defined in the Construction (Design and Management) Regulations 2015, are also identified in </w:t>
      </w:r>
      <w:r w:rsidR="002C0070">
        <w:t>the figure</w:t>
      </w:r>
      <w:r>
        <w:t xml:space="preserve"> </w:t>
      </w:r>
      <w:r w:rsidR="002C0070">
        <w:t>below</w:t>
      </w:r>
      <w:r w:rsidR="005B344A">
        <w:t>.</w:t>
      </w:r>
    </w:p>
    <w:p w14:paraId="2CB3CF68" w14:textId="31888954" w:rsidR="008524B6" w:rsidRPr="00230254" w:rsidRDefault="007E76D8" w:rsidP="007E76D8">
      <w:pPr>
        <w:spacing w:before="120"/>
      </w:pPr>
      <w:r w:rsidRPr="00230254">
        <w:object w:dxaOrig="10704" w:dyaOrig="10441" w14:anchorId="2254DD20">
          <v:shape id="_x0000_i1026" type="#_x0000_t75" style="width:441.65pt;height:430.95pt" o:ole="">
            <v:imagedata r:id="rId18" o:title=""/>
          </v:shape>
          <o:OLEObject Type="Embed" ProgID="Visio.Drawing.15" ShapeID="_x0000_i1026" DrawAspect="Content" ObjectID="_1822819864" r:id="rId19"/>
        </w:object>
      </w:r>
    </w:p>
    <w:p w14:paraId="2F7E9188" w14:textId="77777777" w:rsidR="005B344A" w:rsidRPr="005B344A" w:rsidRDefault="005B344A" w:rsidP="005B344A"/>
    <w:p w14:paraId="124340A0" w14:textId="49C83133" w:rsidR="00AD6A3E" w:rsidRDefault="00AD6A3E" w:rsidP="00B355EA">
      <w:pPr>
        <w:pStyle w:val="Appendix3"/>
      </w:pPr>
      <w:r>
        <w:lastRenderedPageBreak/>
        <w:t xml:space="preserve">The </w:t>
      </w:r>
      <w:r w:rsidR="00544048">
        <w:t>Council</w:t>
      </w:r>
      <w:r>
        <w:t xml:space="preserve"> is using the tendering process for the </w:t>
      </w:r>
      <w:r w:rsidR="004E7120">
        <w:t>Concession Agreement</w:t>
      </w:r>
      <w:r>
        <w:t xml:space="preserve"> to assure itself that the appointed Concessionaire and any organisation appointed by the Concessionaire have the organisational capability to manage the health and safety risks inherent in the </w:t>
      </w:r>
      <w:r w:rsidR="004E7120">
        <w:t>Concession Agreement</w:t>
      </w:r>
      <w:r>
        <w:t>.</w:t>
      </w:r>
    </w:p>
    <w:p w14:paraId="39130701" w14:textId="44997276" w:rsidR="00AD6A3E" w:rsidRDefault="00AD6A3E" w:rsidP="00B355EA">
      <w:pPr>
        <w:pStyle w:val="Appendix3"/>
      </w:pPr>
      <w:r>
        <w:t xml:space="preserve">Any individual appointed by the Concessionaire to perform a key role in managing the health and safety risks inherent in the </w:t>
      </w:r>
      <w:r w:rsidR="004E7120">
        <w:t>Concession Agreement</w:t>
      </w:r>
      <w:r>
        <w:t xml:space="preserve"> (e.g., a person nominated to coordinate the Concessionaire’s delivery of the principal designer role) shall be subject to a separate </w:t>
      </w:r>
      <w:r w:rsidR="00544048">
        <w:t>Council</w:t>
      </w:r>
      <w:r>
        <w:t xml:space="preserve"> assessment of that individual’s skills, knowledge and experience.</w:t>
      </w:r>
    </w:p>
    <w:p w14:paraId="2A0072C7" w14:textId="2F19F230" w:rsidR="00AD6A3E" w:rsidRDefault="00AD6A3E" w:rsidP="00B355EA">
      <w:pPr>
        <w:pStyle w:val="Appendix3"/>
      </w:pPr>
      <w:r>
        <w:t xml:space="preserve">The </w:t>
      </w:r>
      <w:r w:rsidR="00544048">
        <w:t>Council</w:t>
      </w:r>
      <w:r>
        <w:t xml:space="preserve"> may request the replacement of any individual that does not demonstrate the skills, knowledge or experience to perform the health and safety duties for which that person has been nominated.</w:t>
      </w:r>
    </w:p>
    <w:p w14:paraId="6E4005B8" w14:textId="5B2174EA" w:rsidR="00AD6A3E" w:rsidRDefault="00AD6A3E" w:rsidP="00B355EA">
      <w:pPr>
        <w:pStyle w:val="Appendix2"/>
      </w:pPr>
      <w:bookmarkStart w:id="32" w:name="_Toc211513072"/>
      <w:r>
        <w:t>Roles, Functions and Responsibilities</w:t>
      </w:r>
      <w:bookmarkEnd w:id="32"/>
    </w:p>
    <w:p w14:paraId="0D9E7198" w14:textId="1859930A" w:rsidR="00AD6A3E" w:rsidRDefault="00AD6A3E" w:rsidP="00AD6A3E">
      <w:pPr>
        <w:pStyle w:val="Appendix3"/>
      </w:pPr>
      <w:r>
        <w:t xml:space="preserve">The </w:t>
      </w:r>
      <w:r w:rsidR="00544048">
        <w:t>Council</w:t>
      </w:r>
      <w:r>
        <w:t xml:space="preserve"> is appointing the Concessionaire to undertake the roles, functions and responsibilities defined in the </w:t>
      </w:r>
      <w:r w:rsidR="004E7120">
        <w:t>Concession Agreement</w:t>
      </w:r>
      <w:r>
        <w:t>.</w:t>
      </w:r>
      <w:r w:rsidR="00BE1E32">
        <w:t xml:space="preserve"> </w:t>
      </w:r>
      <w:r>
        <w:t xml:space="preserve">The </w:t>
      </w:r>
      <w:r w:rsidR="00544048">
        <w:t>Council</w:t>
      </w:r>
      <w:r>
        <w:t xml:space="preserve"> will:</w:t>
      </w:r>
    </w:p>
    <w:p w14:paraId="35EF4420" w14:textId="436BAA9E" w:rsidR="00BE1E32" w:rsidRDefault="00AD6A3E" w:rsidP="000F1D81">
      <w:pPr>
        <w:pStyle w:val="ListNumberNoSpacing2"/>
        <w:numPr>
          <w:ilvl w:val="1"/>
          <w:numId w:val="51"/>
        </w:numPr>
      </w:pPr>
      <w:r>
        <w:t xml:space="preserve">plan and document their requirements for the delivery of the </w:t>
      </w:r>
      <w:r w:rsidR="004E7120">
        <w:t xml:space="preserve">Concession </w:t>
      </w:r>
      <w:proofErr w:type="gramStart"/>
      <w:r w:rsidR="004E7120">
        <w:t>Agreement</w:t>
      </w:r>
      <w:r>
        <w:t>;</w:t>
      </w:r>
      <w:proofErr w:type="gramEnd"/>
    </w:p>
    <w:p w14:paraId="68427F8E" w14:textId="2341D3EC" w:rsidR="00BE1E32" w:rsidRDefault="00AD6A3E" w:rsidP="000F1D81">
      <w:pPr>
        <w:pStyle w:val="ListNumberNoSpacing2"/>
        <w:numPr>
          <w:ilvl w:val="1"/>
          <w:numId w:val="51"/>
        </w:numPr>
      </w:pPr>
      <w:r>
        <w:t xml:space="preserve">execute their responsibilities under the </w:t>
      </w:r>
      <w:r w:rsidR="004E7120">
        <w:t>Concession Agreement</w:t>
      </w:r>
      <w:r>
        <w:t xml:space="preserve">; and </w:t>
      </w:r>
    </w:p>
    <w:p w14:paraId="266AED77" w14:textId="57498A74" w:rsidR="00BE1E32" w:rsidRDefault="00AD6A3E" w:rsidP="000F1D81">
      <w:pPr>
        <w:pStyle w:val="ListNumberNoSpacing2"/>
        <w:numPr>
          <w:ilvl w:val="1"/>
          <w:numId w:val="51"/>
        </w:numPr>
      </w:pPr>
      <w:r>
        <w:t xml:space="preserve">monitor the Concessionaire’s performance and provide assurance to that the Concessionaire is meeting the requirements of the Construction (Design and Management) Regulations 2015 and the other requirements of the </w:t>
      </w:r>
      <w:r w:rsidR="004E7120">
        <w:t>Concession Agreement</w:t>
      </w:r>
      <w:r>
        <w:t>.</w:t>
      </w:r>
    </w:p>
    <w:p w14:paraId="15262C3F" w14:textId="77777777" w:rsidR="00BE1E32" w:rsidRDefault="00AD6A3E" w:rsidP="00AD6A3E">
      <w:pPr>
        <w:pStyle w:val="Appendix3"/>
      </w:pPr>
      <w:r>
        <w:t xml:space="preserve">The Concessionaire shall define the </w:t>
      </w:r>
      <w:proofErr w:type="gramStart"/>
      <w:r>
        <w:t>particular roles</w:t>
      </w:r>
      <w:proofErr w:type="gramEnd"/>
      <w:r>
        <w:t>, functions and responsibilities of the team members that it appoints. Such details shall be included in the pre-construction information and construction phase plans that the Concessionaire shall prepare.</w:t>
      </w:r>
    </w:p>
    <w:p w14:paraId="4D8B1416" w14:textId="601EB582" w:rsidR="00AD6A3E" w:rsidRDefault="00AD6A3E" w:rsidP="00BE1E32">
      <w:pPr>
        <w:pStyle w:val="Appendix2"/>
      </w:pPr>
      <w:bookmarkStart w:id="33" w:name="_Toc211513073"/>
      <w:r>
        <w:t>Arrangements for Project Delivery Communications and Cooperation</w:t>
      </w:r>
      <w:bookmarkEnd w:id="33"/>
    </w:p>
    <w:p w14:paraId="6B8E663B" w14:textId="7B0B0EC9" w:rsidR="00AD6A3E" w:rsidRDefault="00AD6A3E" w:rsidP="00BE1E32">
      <w:pPr>
        <w:pStyle w:val="Appendix3"/>
      </w:pPr>
      <w:r>
        <w:t xml:space="preserve">The following mechanisms will be used for communication between the </w:t>
      </w:r>
      <w:r w:rsidR="00544048">
        <w:t>Council</w:t>
      </w:r>
      <w:r>
        <w:t xml:space="preserve"> and the Concessionaire throughout the task, and shall include reviews of the arrangements for securing health, safety and welfare: </w:t>
      </w:r>
    </w:p>
    <w:p w14:paraId="510A2357" w14:textId="279D4B00" w:rsidR="00336055" w:rsidRDefault="00AD6A3E" w:rsidP="000F1D81">
      <w:pPr>
        <w:pStyle w:val="ListNumberNoSpacing2"/>
        <w:numPr>
          <w:ilvl w:val="1"/>
          <w:numId w:val="52"/>
        </w:numPr>
      </w:pPr>
      <w:r>
        <w:t xml:space="preserve">Stage Gate reviews in accordance with </w:t>
      </w:r>
      <w:r w:rsidR="007E4FB6">
        <w:t>section</w:t>
      </w:r>
      <w:r>
        <w:t xml:space="preserve"> </w:t>
      </w:r>
      <w:r w:rsidR="007E4FB6">
        <w:t>1</w:t>
      </w:r>
      <w:r>
        <w:t>.</w:t>
      </w:r>
      <w:r w:rsidR="007E4FB6">
        <w:t>6</w:t>
      </w:r>
      <w:r>
        <w:t>.</w:t>
      </w:r>
    </w:p>
    <w:p w14:paraId="4AE96AC5" w14:textId="3E18DAA1" w:rsidR="00AD6A3E" w:rsidRDefault="00AD6A3E" w:rsidP="000F1D81">
      <w:pPr>
        <w:pStyle w:val="ListNumberNoSpacing2"/>
        <w:numPr>
          <w:ilvl w:val="1"/>
          <w:numId w:val="52"/>
        </w:numPr>
      </w:pPr>
      <w:r>
        <w:t xml:space="preserve">Formal submissions made by the Concessionaire in accordance with the </w:t>
      </w:r>
      <w:r w:rsidR="004E7120">
        <w:t>Concession Agreement</w:t>
      </w:r>
      <w:r>
        <w:t>.</w:t>
      </w:r>
    </w:p>
    <w:p w14:paraId="77B1DAA9" w14:textId="4D983C5A" w:rsidR="00AD6A3E" w:rsidRDefault="00AD6A3E" w:rsidP="00336055">
      <w:pPr>
        <w:pStyle w:val="Appendix3"/>
      </w:pPr>
      <w:r>
        <w:t>The Concessionaire shall develop mechanisms for communicating and cooperating with the designers and contractors that it appoints. Such mechanisms shall be defined in the pre-construction information and construction phase plans that the Concessionaire shall prepare.</w:t>
      </w:r>
    </w:p>
    <w:p w14:paraId="7D1E7017" w14:textId="29935335" w:rsidR="00AD6A3E" w:rsidRDefault="00AD6A3E" w:rsidP="00336055">
      <w:pPr>
        <w:pStyle w:val="Appendix2"/>
      </w:pPr>
      <w:bookmarkStart w:id="34" w:name="_Toc211513074"/>
      <w:r>
        <w:lastRenderedPageBreak/>
        <w:t>Notification</w:t>
      </w:r>
      <w:bookmarkEnd w:id="34"/>
      <w:r>
        <w:t xml:space="preserve"> </w:t>
      </w:r>
    </w:p>
    <w:p w14:paraId="07C99ED8" w14:textId="77777777" w:rsidR="00CF6892" w:rsidRDefault="00AD6A3E" w:rsidP="00AD6A3E">
      <w:pPr>
        <w:pStyle w:val="Appendix3"/>
      </w:pPr>
      <w:r>
        <w:t>The Concessionaire shall prepare, submit and, if necessary, update the notice required by Regulation 6 (Notification) of the Construction (Design and Management) Regulations 2015.</w:t>
      </w:r>
    </w:p>
    <w:p w14:paraId="4585A80D" w14:textId="14C2BB76" w:rsidR="00CF6892" w:rsidRDefault="00AD6A3E" w:rsidP="00AD6A3E">
      <w:pPr>
        <w:pStyle w:val="Appendix3"/>
      </w:pPr>
      <w:r>
        <w:t xml:space="preserve">The Concessionaire shall provide copies of such notices to the </w:t>
      </w:r>
      <w:r w:rsidR="00544048">
        <w:t>Council</w:t>
      </w:r>
      <w:r>
        <w:t xml:space="preserve"> as soon as they have been submitted.</w:t>
      </w:r>
    </w:p>
    <w:p w14:paraId="36B55544" w14:textId="035741D8" w:rsidR="00AD6A3E" w:rsidRDefault="00AD6A3E" w:rsidP="00AD6A3E">
      <w:pPr>
        <w:pStyle w:val="Appendix3"/>
      </w:pPr>
      <w:r>
        <w:t>The Concessionaire shall display copies of such notices in any construction site offices so they can be read by workers engaged in construction work.</w:t>
      </w:r>
    </w:p>
    <w:p w14:paraId="6594E698" w14:textId="144D8F8B" w:rsidR="00AD6A3E" w:rsidRDefault="00AD6A3E" w:rsidP="00BF4949">
      <w:pPr>
        <w:pStyle w:val="Appendix2"/>
      </w:pPr>
      <w:bookmarkStart w:id="35" w:name="_Toc211513075"/>
      <w:r>
        <w:t>Pre-Construction Information</w:t>
      </w:r>
      <w:bookmarkEnd w:id="35"/>
    </w:p>
    <w:p w14:paraId="1C5F4DB5" w14:textId="283AA04C" w:rsidR="00AD6A3E" w:rsidRDefault="00AD6A3E" w:rsidP="00BF4949">
      <w:pPr>
        <w:pStyle w:val="Appendix3"/>
      </w:pPr>
      <w:r>
        <w:t>For each site at which construction work is planned, the Concessionaire shall:</w:t>
      </w:r>
    </w:p>
    <w:p w14:paraId="3C5DE2CF" w14:textId="77777777" w:rsidR="00BF4949" w:rsidRDefault="00AD6A3E" w:rsidP="000F1D81">
      <w:pPr>
        <w:pStyle w:val="ListNumberNoSpacing2"/>
        <w:numPr>
          <w:ilvl w:val="1"/>
          <w:numId w:val="53"/>
        </w:numPr>
      </w:pPr>
      <w:r>
        <w:t>obtain and collate pre-construction information from each of the parties designated as a client under the Construction (Design and Management) Regulations 2015; and</w:t>
      </w:r>
    </w:p>
    <w:p w14:paraId="77FEBFEE" w14:textId="4B4BF75F" w:rsidR="00AD6A3E" w:rsidRDefault="00AD6A3E" w:rsidP="000F1D81">
      <w:pPr>
        <w:pStyle w:val="ListNumberNoSpacing2"/>
        <w:numPr>
          <w:ilvl w:val="1"/>
          <w:numId w:val="53"/>
        </w:numPr>
      </w:pPr>
      <w:r>
        <w:t>disseminate the pre-construction information to the designers and contractors for that site.</w:t>
      </w:r>
    </w:p>
    <w:p w14:paraId="75751C1E" w14:textId="13A89C0E" w:rsidR="00BF4949" w:rsidRDefault="00AD6A3E" w:rsidP="00AD6A3E">
      <w:pPr>
        <w:pStyle w:val="Appendix3"/>
      </w:pPr>
      <w:r>
        <w:t xml:space="preserve">The </w:t>
      </w:r>
      <w:r w:rsidR="00544048">
        <w:t>Council</w:t>
      </w:r>
      <w:r>
        <w:t xml:space="preserve"> has specified its requirements for the design of each charge point site. The Concessionaire shall consider the residual health, safety and welfare risks identified in the </w:t>
      </w:r>
      <w:r w:rsidR="00544048">
        <w:t>Council</w:t>
      </w:r>
      <w:r>
        <w:t>’s design risk assessment during the Concessionaire’s preparation of pre-construction information.</w:t>
      </w:r>
    </w:p>
    <w:p w14:paraId="30714649" w14:textId="71A66EFB" w:rsidR="0012611B" w:rsidRDefault="00AD6A3E" w:rsidP="003D7F93">
      <w:pPr>
        <w:pStyle w:val="Appendix3"/>
      </w:pPr>
      <w:r>
        <w:t xml:space="preserve">All the pre-construction information that the </w:t>
      </w:r>
      <w:r w:rsidR="00544048">
        <w:t>Council</w:t>
      </w:r>
      <w:r>
        <w:t xml:space="preserve"> currently holds is detailed in the </w:t>
      </w:r>
      <w:r w:rsidR="00212D63">
        <w:t>Concession Agreement</w:t>
      </w:r>
      <w:r>
        <w:t>.</w:t>
      </w:r>
      <w:r w:rsidR="0012611B">
        <w:br w:type="page"/>
      </w:r>
    </w:p>
    <w:p w14:paraId="5331C59E" w14:textId="69BC67E0" w:rsidR="006036E9" w:rsidRDefault="006036E9" w:rsidP="00E81FFE">
      <w:pPr>
        <w:pStyle w:val="Appendix1"/>
      </w:pPr>
      <w:bookmarkStart w:id="36" w:name="_Toc211513076"/>
      <w:r>
        <w:lastRenderedPageBreak/>
        <w:t>SITE DESIGN REQUIREMENTS</w:t>
      </w:r>
      <w:bookmarkEnd w:id="36"/>
    </w:p>
    <w:p w14:paraId="37771F82" w14:textId="24C4A6A5" w:rsidR="006036E9" w:rsidRDefault="006036E9" w:rsidP="00E81FFE">
      <w:pPr>
        <w:pStyle w:val="Appendix2"/>
      </w:pPr>
      <w:bookmarkStart w:id="37" w:name="_Toc211513077"/>
      <w:r>
        <w:t>Operational Service Life</w:t>
      </w:r>
      <w:bookmarkEnd w:id="37"/>
    </w:p>
    <w:p w14:paraId="70008149" w14:textId="731B1D29" w:rsidR="006036E9" w:rsidRDefault="006036E9" w:rsidP="00E81FFE">
      <w:pPr>
        <w:pStyle w:val="Appendix3"/>
      </w:pPr>
      <w:r>
        <w:t xml:space="preserve">The operational service life of each charge point site </w:t>
      </w:r>
      <w:r w:rsidR="008D475A">
        <w:t>a</w:t>
      </w:r>
      <w:r>
        <w:t xml:space="preserve">pproved for installation and operation by the </w:t>
      </w:r>
      <w:r w:rsidR="00544048">
        <w:t>Council</w:t>
      </w:r>
      <w:r>
        <w:t xml:space="preserve"> shall be for a minimum of fifteen (15) years from the point of installation. The Concessionaire shall reflect the required operational service life in:</w:t>
      </w:r>
    </w:p>
    <w:p w14:paraId="1E9F2114" w14:textId="77777777" w:rsidR="00E81FFE" w:rsidRDefault="006036E9" w:rsidP="000F1D81">
      <w:pPr>
        <w:pStyle w:val="ListNumberNoSpacing2"/>
        <w:numPr>
          <w:ilvl w:val="1"/>
          <w:numId w:val="54"/>
        </w:numPr>
      </w:pPr>
      <w:r>
        <w:t xml:space="preserve">the quality of the Concessionaire’s design, fabrication and installation of each charge point unit and the associated </w:t>
      </w:r>
      <w:proofErr w:type="gramStart"/>
      <w:r>
        <w:t>infrastructure;</w:t>
      </w:r>
      <w:proofErr w:type="gramEnd"/>
    </w:p>
    <w:p w14:paraId="6B50BEDF" w14:textId="7CD73750" w:rsidR="00E81FFE" w:rsidRDefault="006036E9" w:rsidP="000F1D81">
      <w:pPr>
        <w:pStyle w:val="ListNumberNoSpacing2"/>
        <w:numPr>
          <w:ilvl w:val="1"/>
          <w:numId w:val="54"/>
        </w:numPr>
      </w:pPr>
      <w:r>
        <w:t>the regime devised by the Concessionaire to operate, inspect, test, maintain, repair and renew charge point(s) and their associated infrastructure shall be in accordance with Appendix A.</w:t>
      </w:r>
      <w:r w:rsidR="002E05F9">
        <w:t>7</w:t>
      </w:r>
      <w:r>
        <w:t>; and</w:t>
      </w:r>
    </w:p>
    <w:p w14:paraId="3466FE09" w14:textId="0D9013B5" w:rsidR="006036E9" w:rsidRDefault="006036E9" w:rsidP="000F1D81">
      <w:pPr>
        <w:pStyle w:val="ListNumberNoSpacing2"/>
        <w:numPr>
          <w:ilvl w:val="1"/>
          <w:numId w:val="54"/>
        </w:numPr>
      </w:pPr>
      <w:r>
        <w:t>the potential to extend the Concession Agreement by a further five (5) years.</w:t>
      </w:r>
    </w:p>
    <w:p w14:paraId="6E2C5F2E" w14:textId="61ACB3AA" w:rsidR="006036E9" w:rsidRDefault="006036E9" w:rsidP="00E81FFE">
      <w:pPr>
        <w:pStyle w:val="Appendix3"/>
      </w:pPr>
      <w:r>
        <w:t xml:space="preserve">If during the operational period the Concessionaire and landowner agree that the charge point equipment should be updated or replaced, this should be discussed with the </w:t>
      </w:r>
      <w:r w:rsidR="00544048">
        <w:t>Council</w:t>
      </w:r>
      <w:r>
        <w:t xml:space="preserve"> and may be permitted by the </w:t>
      </w:r>
      <w:r w:rsidR="00544048">
        <w:t>Council</w:t>
      </w:r>
      <w:r>
        <w:t xml:space="preserve"> provided all </w:t>
      </w:r>
      <w:r w:rsidR="001F579B">
        <w:t>W</w:t>
      </w:r>
      <w:r>
        <w:t>orks are at the expense of the Concessionaire.</w:t>
      </w:r>
    </w:p>
    <w:p w14:paraId="374C6597" w14:textId="78FE5C9A" w:rsidR="006036E9" w:rsidRDefault="006036E9" w:rsidP="00E81FFE">
      <w:pPr>
        <w:pStyle w:val="Appendix2"/>
      </w:pPr>
      <w:bookmarkStart w:id="38" w:name="_Toc211513078"/>
      <w:r>
        <w:t>Site Layout and Infrastructure</w:t>
      </w:r>
      <w:bookmarkEnd w:id="38"/>
    </w:p>
    <w:p w14:paraId="08E231B1" w14:textId="67A556A9" w:rsidR="006036E9" w:rsidRDefault="006036E9" w:rsidP="00E81FFE">
      <w:pPr>
        <w:pStyle w:val="Appendix3"/>
      </w:pPr>
      <w:r>
        <w:t>The Concessionaire shall subject each site to a formal design process in which:</w:t>
      </w:r>
    </w:p>
    <w:p w14:paraId="1593E151" w14:textId="61966D35" w:rsidR="00E81FFE" w:rsidRDefault="006036E9" w:rsidP="000F1D81">
      <w:pPr>
        <w:pStyle w:val="ListNumberNoSpacing2"/>
        <w:numPr>
          <w:ilvl w:val="1"/>
          <w:numId w:val="55"/>
        </w:numPr>
      </w:pPr>
      <w:r>
        <w:t xml:space="preserve">the design and layout of the site is determined in accordance with the requirements of this document; the </w:t>
      </w:r>
      <w:proofErr w:type="gramStart"/>
      <w:r>
        <w:t>particular requirements</w:t>
      </w:r>
      <w:proofErr w:type="gramEnd"/>
      <w:r>
        <w:t xml:space="preserve"> and recommendations of the charge point unit manufacturer; and </w:t>
      </w:r>
      <w:r w:rsidR="005D700F">
        <w:t>g</w:t>
      </w:r>
      <w:r>
        <w:t xml:space="preserve">ood </w:t>
      </w:r>
      <w:r w:rsidR="005D700F">
        <w:t>i</w:t>
      </w:r>
      <w:r>
        <w:t xml:space="preserve">ndustry </w:t>
      </w:r>
      <w:proofErr w:type="gramStart"/>
      <w:r w:rsidR="005D700F">
        <w:t>p</w:t>
      </w:r>
      <w:r>
        <w:t>ractice;</w:t>
      </w:r>
      <w:proofErr w:type="gramEnd"/>
    </w:p>
    <w:p w14:paraId="6B564677" w14:textId="07431AF2" w:rsidR="00E81FFE" w:rsidRDefault="006036E9" w:rsidP="000F1D81">
      <w:pPr>
        <w:pStyle w:val="ListNumberNoSpacing2"/>
        <w:numPr>
          <w:ilvl w:val="1"/>
          <w:numId w:val="55"/>
        </w:numPr>
      </w:pPr>
      <w:r>
        <w:t>designs and documentation are prepared for the purposes of safely constructing the site in accordance with the Concessionaire’s Implementation Plan, safely operating and maintaining the site in accordance with Appendix A.</w:t>
      </w:r>
      <w:r w:rsidR="00847A53">
        <w:t>7</w:t>
      </w:r>
      <w:r>
        <w:t>; and</w:t>
      </w:r>
    </w:p>
    <w:p w14:paraId="184A364D" w14:textId="5065C57E" w:rsidR="006036E9" w:rsidRDefault="006036E9" w:rsidP="000F1D81">
      <w:pPr>
        <w:pStyle w:val="ListNumberNoSpacing2"/>
        <w:numPr>
          <w:ilvl w:val="1"/>
          <w:numId w:val="55"/>
        </w:numPr>
      </w:pPr>
      <w:r>
        <w:t xml:space="preserve">consideration is given to the safe operation, maintenance, renewal and decommissioning of the site, and the measures necessary to address any residual safety hazards for individuals that may </w:t>
      </w:r>
      <w:proofErr w:type="gramStart"/>
      <w:r>
        <w:t>come into contact with</w:t>
      </w:r>
      <w:proofErr w:type="gramEnd"/>
      <w:r>
        <w:t xml:space="preserve"> the site once it is operational.</w:t>
      </w:r>
    </w:p>
    <w:p w14:paraId="7211E689" w14:textId="17C8CFBE" w:rsidR="006036E9" w:rsidRDefault="006036E9" w:rsidP="00E81FFE">
      <w:pPr>
        <w:pStyle w:val="Appendix3"/>
      </w:pPr>
      <w:r>
        <w:t>The Concessionaire shall provide the following items of infrastructure at each charge point location:</w:t>
      </w:r>
    </w:p>
    <w:p w14:paraId="12F0EB25" w14:textId="6AE71A4A" w:rsidR="00E81FFE" w:rsidRDefault="006036E9" w:rsidP="000F1D81">
      <w:pPr>
        <w:pStyle w:val="ListNumberNoSpacing2"/>
        <w:numPr>
          <w:ilvl w:val="1"/>
          <w:numId w:val="56"/>
        </w:numPr>
      </w:pPr>
      <w:r>
        <w:t xml:space="preserve">charge point units and their foundations. The </w:t>
      </w:r>
      <w:r w:rsidR="00544048">
        <w:t>Council</w:t>
      </w:r>
      <w:r>
        <w:t xml:space="preserve"> will ensure that a minimum of one paved parking spaces </w:t>
      </w:r>
      <w:proofErr w:type="gramStart"/>
      <w:r>
        <w:t>are</w:t>
      </w:r>
      <w:proofErr w:type="gramEnd"/>
      <w:r>
        <w:t xml:space="preserve"> provided at sites where one charge point is required. If any disruption to these spaces or the surrounding area occurs during the installation of the charge point or power supply the Concessionaire will be required to reinstate the </w:t>
      </w:r>
      <w:proofErr w:type="gramStart"/>
      <w:r>
        <w:t>surface;</w:t>
      </w:r>
      <w:proofErr w:type="gramEnd"/>
    </w:p>
    <w:p w14:paraId="4389CBEF" w14:textId="77777777" w:rsidR="00E81FFE" w:rsidRDefault="006036E9" w:rsidP="000F1D81">
      <w:pPr>
        <w:pStyle w:val="ListNumberNoSpacing2"/>
        <w:numPr>
          <w:ilvl w:val="1"/>
          <w:numId w:val="56"/>
        </w:numPr>
      </w:pPr>
      <w:r>
        <w:lastRenderedPageBreak/>
        <w:t xml:space="preserve">a feeder pillar (cabinet) to house the electrical connection supply and associated </w:t>
      </w:r>
      <w:proofErr w:type="gramStart"/>
      <w:r>
        <w:t>equipment;</w:t>
      </w:r>
      <w:proofErr w:type="gramEnd"/>
    </w:p>
    <w:p w14:paraId="78AB8FD6" w14:textId="77777777" w:rsidR="00E81FFE" w:rsidRDefault="006036E9" w:rsidP="000F1D81">
      <w:pPr>
        <w:pStyle w:val="ListNumberNoSpacing2"/>
        <w:numPr>
          <w:ilvl w:val="1"/>
          <w:numId w:val="56"/>
        </w:numPr>
      </w:pPr>
      <w:r>
        <w:t xml:space="preserve">ground or electrical installation work required </w:t>
      </w:r>
      <w:proofErr w:type="gramStart"/>
      <w:r>
        <w:t>in order to</w:t>
      </w:r>
      <w:proofErr w:type="gramEnd"/>
      <w:r>
        <w:t xml:space="preserve"> connect the charge points to the feeder </w:t>
      </w:r>
      <w:proofErr w:type="gramStart"/>
      <w:r>
        <w:t>pillar;</w:t>
      </w:r>
      <w:proofErr w:type="gramEnd"/>
    </w:p>
    <w:p w14:paraId="2156291C" w14:textId="77777777" w:rsidR="00E81FFE" w:rsidRDefault="006036E9" w:rsidP="000F1D81">
      <w:pPr>
        <w:pStyle w:val="ListNumberNoSpacing2"/>
        <w:numPr>
          <w:ilvl w:val="1"/>
          <w:numId w:val="56"/>
        </w:numPr>
      </w:pPr>
      <w:r>
        <w:t xml:space="preserve">an appropriate impact protection and/or vehicle restraint system (see A.5.3); and </w:t>
      </w:r>
    </w:p>
    <w:p w14:paraId="51EDE107" w14:textId="77556023" w:rsidR="006036E9" w:rsidRDefault="006036E9" w:rsidP="000F1D81">
      <w:pPr>
        <w:pStyle w:val="ListNumberNoSpacing2"/>
        <w:numPr>
          <w:ilvl w:val="1"/>
          <w:numId w:val="56"/>
        </w:numPr>
      </w:pPr>
      <w:r>
        <w:t>traffic signs and road markings; at time of installation / marking only.</w:t>
      </w:r>
    </w:p>
    <w:p w14:paraId="2DDEAC13" w14:textId="760BAEE9" w:rsidR="006036E9" w:rsidRDefault="006036E9" w:rsidP="00E81FFE">
      <w:pPr>
        <w:pStyle w:val="Appendix3"/>
      </w:pPr>
      <w:r>
        <w:t xml:space="preserve">The Concessionaire shall work with the </w:t>
      </w:r>
      <w:r w:rsidR="00544048">
        <w:t>Council</w:t>
      </w:r>
      <w:r>
        <w:t xml:space="preserve"> to ensure sites are externally illuminated in accordance with the minimum lighting recommendations in the Health and Safety Executive's "Lighting at work, HSG38, </w:t>
      </w:r>
      <w:proofErr w:type="gramStart"/>
      <w:r>
        <w:t>Published</w:t>
      </w:r>
      <w:proofErr w:type="gramEnd"/>
      <w:r>
        <w:t xml:space="preserve"> 1997” so that site users </w:t>
      </w:r>
      <w:proofErr w:type="gramStart"/>
      <w:r>
        <w:t>are able to</w:t>
      </w:r>
      <w:proofErr w:type="gramEnd"/>
      <w:r>
        <w:t xml:space="preserve"> move around the area and use the charge </w:t>
      </w:r>
      <w:proofErr w:type="gramStart"/>
      <w:r>
        <w:t>point unit with expediency at all times</w:t>
      </w:r>
      <w:proofErr w:type="gramEnd"/>
      <w:r>
        <w:t xml:space="preserve"> for:</w:t>
      </w:r>
    </w:p>
    <w:p w14:paraId="3F1705B9" w14:textId="77777777" w:rsidR="00E81FFE" w:rsidRDefault="006036E9" w:rsidP="000F1D81">
      <w:pPr>
        <w:pStyle w:val="ListNumberNoSpacing2"/>
        <w:numPr>
          <w:ilvl w:val="1"/>
          <w:numId w:val="57"/>
        </w:numPr>
      </w:pPr>
      <w:r>
        <w:t xml:space="preserve">the safe use of electric vehicle charging </w:t>
      </w:r>
      <w:proofErr w:type="gramStart"/>
      <w:r>
        <w:t>infrastructure;</w:t>
      </w:r>
      <w:proofErr w:type="gramEnd"/>
    </w:p>
    <w:p w14:paraId="4EDFF3E5" w14:textId="77777777" w:rsidR="00E81FFE" w:rsidRDefault="006036E9" w:rsidP="000F1D81">
      <w:pPr>
        <w:pStyle w:val="ListNumberNoSpacing2"/>
        <w:numPr>
          <w:ilvl w:val="1"/>
          <w:numId w:val="57"/>
        </w:numPr>
      </w:pPr>
      <w:r>
        <w:t xml:space="preserve">checking of vehicle connectors, plugs and socket outlets for evidence of damage prior to </w:t>
      </w:r>
      <w:proofErr w:type="gramStart"/>
      <w:r>
        <w:t>use;</w:t>
      </w:r>
      <w:proofErr w:type="gramEnd"/>
    </w:p>
    <w:p w14:paraId="46E604D5" w14:textId="77777777" w:rsidR="00E81FFE" w:rsidRDefault="006036E9" w:rsidP="000F1D81">
      <w:pPr>
        <w:pStyle w:val="ListNumberNoSpacing2"/>
        <w:numPr>
          <w:ilvl w:val="1"/>
          <w:numId w:val="57"/>
        </w:numPr>
      </w:pPr>
      <w:r>
        <w:t>the safe insertion and removal of vehicle connectors, plugs and socket outlets; and</w:t>
      </w:r>
    </w:p>
    <w:p w14:paraId="74F5B682" w14:textId="62ED5BC2" w:rsidR="006036E9" w:rsidRDefault="006036E9" w:rsidP="000F1D81">
      <w:pPr>
        <w:pStyle w:val="ListNumberNoSpacing2"/>
        <w:numPr>
          <w:ilvl w:val="1"/>
          <w:numId w:val="57"/>
        </w:numPr>
      </w:pPr>
      <w:r>
        <w:t>identification of trip hazards, including charging cables around the charging infrastructure.</w:t>
      </w:r>
    </w:p>
    <w:p w14:paraId="64C895A6" w14:textId="77777777" w:rsidR="00E81FFE" w:rsidRDefault="006036E9" w:rsidP="006036E9">
      <w:pPr>
        <w:pStyle w:val="Appendix3"/>
      </w:pPr>
      <w:r>
        <w:t>The Concessionaire shall consider the use of motion sensors (PIRs) with timers for locations where careful consideration of light emission is warranted, considering regional requirements such as Dark Skies status.</w:t>
      </w:r>
    </w:p>
    <w:p w14:paraId="4AC54857" w14:textId="77777777" w:rsidR="00E81FFE" w:rsidRDefault="006036E9" w:rsidP="006036E9">
      <w:pPr>
        <w:pStyle w:val="Appendix3"/>
      </w:pPr>
      <w:r>
        <w:t>The Concessionaire shall review and comply with the Electric Vehicle Charging Infrastructure Welsh National Standards and the best practice documents it draws upon in relation to accessibility requirements.</w:t>
      </w:r>
    </w:p>
    <w:p w14:paraId="27F796A6" w14:textId="77777777" w:rsidR="00E81FFE" w:rsidRDefault="006036E9" w:rsidP="006036E9">
      <w:pPr>
        <w:pStyle w:val="Appendix3"/>
      </w:pPr>
      <w:r>
        <w:t>The Concessionaire shall comply with The Equality Act 2010 which legally protects people with protected characteristics from discrimination and for public organisations. Within Wales this is implemented through the Public Sector Equality Duty.</w:t>
      </w:r>
    </w:p>
    <w:p w14:paraId="605CCEE0" w14:textId="77777777" w:rsidR="00E81FFE" w:rsidRDefault="006036E9" w:rsidP="006036E9">
      <w:pPr>
        <w:pStyle w:val="Appendix3"/>
      </w:pPr>
      <w:r>
        <w:t>Accordingly, the Concessionaire should consult the BS 8300 series of standards in relation to recommended locations of electric vehicle charging infrastructure user interface elements and the location of parking spaces in relation to charging infrastructure.</w:t>
      </w:r>
    </w:p>
    <w:p w14:paraId="1D36399C" w14:textId="77777777" w:rsidR="00E81FFE" w:rsidRDefault="006036E9" w:rsidP="006036E9">
      <w:pPr>
        <w:pStyle w:val="Appendix3"/>
      </w:pPr>
      <w:r>
        <w:t xml:space="preserve">The Concessionaire shall apply the guidance in PAS 1899 (Electric vehicles – Accessible charging – Specification) when determining the standard of provision of access routes to the charge point unit, and the location, orientation and form of construction of the charge point unit and the associated infrastructure e.g. parking bays, </w:t>
      </w:r>
      <w:proofErr w:type="spellStart"/>
      <w:r>
        <w:t>chargepoint</w:t>
      </w:r>
      <w:proofErr w:type="spellEnd"/>
      <w:r>
        <w:t xml:space="preserve"> component/holster heights and screen/visual interfaces.</w:t>
      </w:r>
    </w:p>
    <w:p w14:paraId="0E8714AF" w14:textId="77777777" w:rsidR="00E81FFE" w:rsidRDefault="006036E9" w:rsidP="006036E9">
      <w:pPr>
        <w:pStyle w:val="Appendix3"/>
      </w:pPr>
      <w:r>
        <w:lastRenderedPageBreak/>
        <w:t>The Concessionaire should consider accessibility requirements in relation to the needs of any devised inspection, maintenance, and testing regime of the electric vehicle charging infrastructure.</w:t>
      </w:r>
    </w:p>
    <w:p w14:paraId="0A27900A" w14:textId="34528CE6" w:rsidR="006036E9" w:rsidRDefault="006036E9" w:rsidP="006036E9">
      <w:pPr>
        <w:pStyle w:val="Appendix3"/>
      </w:pPr>
      <w:r>
        <w:t>It is recognised that charge points can supply two vehicles at the same time, multiple bays (more than three) may be required to ensure adequate access to the charging points at sites where more than one charge point is installed. The Concessionaire will need to take in to account the topography of the individual site / car park and ensure that this is accounted for when submitting their proposed design. Please note that only one of the bays is required to have the minimum dimensions and features described in PAS 1899.</w:t>
      </w:r>
    </w:p>
    <w:p w14:paraId="12DF129C" w14:textId="163E3D18" w:rsidR="006036E9" w:rsidRDefault="006036E9" w:rsidP="00E81FFE">
      <w:pPr>
        <w:pStyle w:val="Appendix2"/>
      </w:pPr>
      <w:bookmarkStart w:id="39" w:name="_Toc211513079"/>
      <w:r>
        <w:t>Vehicle Restraint and Impact Protection Systems</w:t>
      </w:r>
      <w:bookmarkEnd w:id="39"/>
    </w:p>
    <w:p w14:paraId="503CC6CF" w14:textId="77777777" w:rsidR="00E81FFE" w:rsidRDefault="006036E9" w:rsidP="006036E9">
      <w:pPr>
        <w:pStyle w:val="Appendix3"/>
      </w:pPr>
      <w:r>
        <w:t>The Concessionaire shall provide vehicle restraint systems to protect each charge point unit from low-speed impacts (up to and including 30mph) by errant vehicles. The vehicle restraint systems employed shall not obstruct access to the charge point unit by users or maintenance personnel.</w:t>
      </w:r>
    </w:p>
    <w:p w14:paraId="49D11A95" w14:textId="77777777" w:rsidR="00E81FFE" w:rsidRDefault="006036E9" w:rsidP="006036E9">
      <w:pPr>
        <w:pStyle w:val="Appendix3"/>
      </w:pPr>
      <w:r>
        <w:t>The vehicle restraint systems employed shall not cause damage to the charge point unit if subject to a low-speed impact (up to and including 30mph) from an errant vehicle.</w:t>
      </w:r>
    </w:p>
    <w:p w14:paraId="03CAB01E" w14:textId="77777777" w:rsidR="00E81FFE" w:rsidRDefault="006036E9" w:rsidP="006036E9">
      <w:pPr>
        <w:pStyle w:val="Appendix3"/>
      </w:pPr>
      <w:r>
        <w:t>The Concessionaire shall consider impact protection in conjunction with BS 8300 series of standards, PAS 1899, BS EN IEC 61439-7 clause 8.2.1.702, and BS 7671 where appropriate, depending on the location of the electric vehicle charging infrastructure.</w:t>
      </w:r>
    </w:p>
    <w:p w14:paraId="4B7B899F" w14:textId="17434CD7" w:rsidR="006036E9" w:rsidRDefault="006036E9" w:rsidP="006036E9">
      <w:pPr>
        <w:pStyle w:val="Appendix3"/>
      </w:pPr>
      <w:r>
        <w:t xml:space="preserve">The Concessionaire shall determine whether a </w:t>
      </w:r>
      <w:r w:rsidR="00193DE6">
        <w:t>R</w:t>
      </w:r>
      <w:r>
        <w:t xml:space="preserve">oad </w:t>
      </w:r>
      <w:r w:rsidR="00193DE6">
        <w:t>R</w:t>
      </w:r>
      <w:r>
        <w:t xml:space="preserve">estraint </w:t>
      </w:r>
      <w:r w:rsidR="00193DE6">
        <w:t>R</w:t>
      </w:r>
      <w:r>
        <w:t xml:space="preserve">isk </w:t>
      </w:r>
      <w:r w:rsidR="00193DE6">
        <w:t>A</w:t>
      </w:r>
      <w:r>
        <w:t xml:space="preserve">ssessment </w:t>
      </w:r>
      <w:r w:rsidR="00193DE6">
        <w:t>P</w:t>
      </w:r>
      <w:r>
        <w:t>rocess (RRRAP) is required at each charge point site location.</w:t>
      </w:r>
    </w:p>
    <w:p w14:paraId="59ACA121" w14:textId="77777777" w:rsidR="00E81FFE" w:rsidRDefault="006036E9" w:rsidP="006036E9">
      <w:pPr>
        <w:pStyle w:val="Appendix2"/>
      </w:pPr>
      <w:bookmarkStart w:id="40" w:name="_Toc211513080"/>
      <w:r>
        <w:t>Traffic Signs and Road Markings</w:t>
      </w:r>
      <w:bookmarkEnd w:id="40"/>
    </w:p>
    <w:p w14:paraId="1B9E2037" w14:textId="701B12C9" w:rsidR="006036E9" w:rsidRDefault="006036E9" w:rsidP="00E81FFE">
      <w:pPr>
        <w:pStyle w:val="Appendix3"/>
      </w:pPr>
      <w:r>
        <w:t>The Concessionaire shall furnish each charge point site with clear road traffic signs and road markings to indicate:</w:t>
      </w:r>
    </w:p>
    <w:p w14:paraId="21B57275" w14:textId="77777777" w:rsidR="00E81FFE" w:rsidRDefault="006036E9" w:rsidP="000F1D81">
      <w:pPr>
        <w:pStyle w:val="ListNumberNoSpacing2"/>
        <w:numPr>
          <w:ilvl w:val="1"/>
          <w:numId w:val="58"/>
        </w:numPr>
      </w:pPr>
      <w:r>
        <w:t xml:space="preserve">the dedicated parking bay where vehicles must park to access the charge point </w:t>
      </w:r>
      <w:proofErr w:type="gramStart"/>
      <w:r>
        <w:t>unit;</w:t>
      </w:r>
      <w:proofErr w:type="gramEnd"/>
      <w:r>
        <w:t xml:space="preserve"> </w:t>
      </w:r>
    </w:p>
    <w:p w14:paraId="4FC60D2A" w14:textId="38D917D2" w:rsidR="00E81FFE" w:rsidRDefault="006036E9" w:rsidP="000F1D81">
      <w:pPr>
        <w:pStyle w:val="ListNumberNoSpacing2"/>
        <w:numPr>
          <w:ilvl w:val="1"/>
          <w:numId w:val="58"/>
        </w:numPr>
      </w:pPr>
      <w:r>
        <w:t xml:space="preserve">user access routes, which have been agreed with the </w:t>
      </w:r>
      <w:r w:rsidR="00544048">
        <w:t>Council</w:t>
      </w:r>
      <w:r>
        <w:t xml:space="preserve"> and site owner, to and from the dedicated parking bay and charge point unit within the car park (if charger is obscured or not readily visibly upon entry to car park); and </w:t>
      </w:r>
    </w:p>
    <w:p w14:paraId="5876DF44" w14:textId="7BADA5FE" w:rsidR="006036E9" w:rsidRDefault="006036E9" w:rsidP="000F1D81">
      <w:pPr>
        <w:pStyle w:val="ListNumberNoSpacing2"/>
        <w:numPr>
          <w:ilvl w:val="1"/>
          <w:numId w:val="58"/>
        </w:numPr>
      </w:pPr>
      <w:r>
        <w:t>the restrictions applicable to users of the dedicated parking bay.</w:t>
      </w:r>
    </w:p>
    <w:p w14:paraId="410EAF72" w14:textId="77777777" w:rsidR="00E81FFE" w:rsidRDefault="006036E9" w:rsidP="006036E9">
      <w:pPr>
        <w:pStyle w:val="Appendix3"/>
      </w:pPr>
      <w:r>
        <w:t xml:space="preserve">The Concessionaire shall provide at least one (1) traffic sign adjacent to each charge point unit identifying that the dedicated parking bay is to be used for parking for “electric vehicle recharging point only.” The Welsh </w:t>
      </w:r>
      <w:r>
        <w:lastRenderedPageBreak/>
        <w:t>Government prescribed traffic sign 660.9 shall be used when marking an electric vehicle charge point.</w:t>
      </w:r>
    </w:p>
    <w:p w14:paraId="71E905FB" w14:textId="1BDA69CC" w:rsidR="00E81FFE" w:rsidRDefault="006036E9" w:rsidP="006036E9">
      <w:pPr>
        <w:pStyle w:val="Appendix3"/>
      </w:pPr>
      <w:r>
        <w:t xml:space="preserve">The Concessionaire shall engage with the </w:t>
      </w:r>
      <w:r w:rsidR="00544048">
        <w:t>Council</w:t>
      </w:r>
      <w:r>
        <w:t xml:space="preserve"> to gain approval of their proposed signage schedule/design for each site.</w:t>
      </w:r>
    </w:p>
    <w:p w14:paraId="1758B7FA" w14:textId="77777777" w:rsidR="00E81FFE" w:rsidRDefault="006036E9" w:rsidP="006036E9">
      <w:pPr>
        <w:pStyle w:val="Appendix3"/>
      </w:pPr>
      <w:r>
        <w:t>The Concessionaire shall review and comply with the Electric Vehicle Charging Infrastructure Welsh National Standards in relation to road markings.</w:t>
      </w:r>
    </w:p>
    <w:p w14:paraId="600AC386" w14:textId="260DBBC1" w:rsidR="00E81FFE" w:rsidRDefault="006036E9" w:rsidP="006036E9">
      <w:pPr>
        <w:pStyle w:val="Appendix3"/>
      </w:pPr>
      <w:r>
        <w:t xml:space="preserve">The Concessionaire shall provide an appropriate symbol or text road marking to identify the dedicated parking bays, including any logos or bay markings features required by the </w:t>
      </w:r>
      <w:r w:rsidR="00544048">
        <w:t>Council</w:t>
      </w:r>
      <w:r>
        <w:t xml:space="preserve"> or landowner.</w:t>
      </w:r>
    </w:p>
    <w:p w14:paraId="47C3A128" w14:textId="62B02F98" w:rsidR="00E81FFE" w:rsidRDefault="006036E9" w:rsidP="006036E9">
      <w:pPr>
        <w:pStyle w:val="Appendix3"/>
      </w:pPr>
      <w:r>
        <w:t xml:space="preserve">The traffic signs and road markings applied to charge point sites shall be consistent with other electric vehicle charging facilities within </w:t>
      </w:r>
      <w:r w:rsidR="00544048">
        <w:t>the local</w:t>
      </w:r>
      <w:r>
        <w:t xml:space="preserve"> area. The </w:t>
      </w:r>
      <w:r w:rsidR="00544048">
        <w:t>Council</w:t>
      </w:r>
      <w:r>
        <w:t xml:space="preserve"> shall be consulted as to the required designs and markings.  The Concessionaire shall consider requirements of the </w:t>
      </w:r>
      <w:r w:rsidR="00544048">
        <w:t>Council</w:t>
      </w:r>
      <w:r>
        <w:t xml:space="preserve"> (and the landowner, if this is not the same) and the geography of the individual site / car park and submit their proposed markings to support their layout design.</w:t>
      </w:r>
    </w:p>
    <w:p w14:paraId="7EC9C6C2" w14:textId="77777777" w:rsidR="00E81FFE" w:rsidRDefault="006036E9" w:rsidP="006036E9">
      <w:pPr>
        <w:pStyle w:val="Appendix3"/>
      </w:pPr>
      <w:r>
        <w:t>All traffic signs placed in Wales that display text shall be bilingual with the Welsh language displayed first, in accordance with the Welsh Language (Wales) Measure 2011.</w:t>
      </w:r>
    </w:p>
    <w:p w14:paraId="0079E45A" w14:textId="52A97CEF" w:rsidR="006036E9" w:rsidRDefault="006036E9" w:rsidP="006036E9">
      <w:pPr>
        <w:pStyle w:val="Appendix3"/>
      </w:pPr>
      <w:r>
        <w:t xml:space="preserve">It is the responsibility of the Concessionaire to oversee the process of providing signs and bay markings, either by undertaking this work themselves or by appointing a suitably qualified sub-contractor or </w:t>
      </w:r>
      <w:r w:rsidR="00544048">
        <w:t>Council</w:t>
      </w:r>
      <w:r>
        <w:t xml:space="preserve"> to undertake this work on their behalf. </w:t>
      </w:r>
    </w:p>
    <w:p w14:paraId="5F39F183" w14:textId="72CF97ED" w:rsidR="006036E9" w:rsidRDefault="006036E9" w:rsidP="00E81FFE">
      <w:pPr>
        <w:pStyle w:val="Appendix2"/>
      </w:pPr>
      <w:bookmarkStart w:id="41" w:name="_Toc211513081"/>
      <w:r>
        <w:t>Electrical Installations</w:t>
      </w:r>
      <w:bookmarkEnd w:id="41"/>
    </w:p>
    <w:p w14:paraId="75C6951F" w14:textId="77777777" w:rsidR="00E81FFE" w:rsidRDefault="006036E9" w:rsidP="006036E9">
      <w:pPr>
        <w:pStyle w:val="Appendix3"/>
      </w:pPr>
      <w:r>
        <w:t>Electrical designs and installations shall comply with BS 7671 (Requirements for Electrical Installations) and the applicable guidance within the Code of Practice for Electric Charging Equipment Installation published by The Institution of Engineering and Technology (IET).</w:t>
      </w:r>
    </w:p>
    <w:p w14:paraId="25CD5C1D" w14:textId="46318BA2" w:rsidR="006036E9" w:rsidRDefault="006036E9" w:rsidP="00E81FFE">
      <w:pPr>
        <w:pStyle w:val="Appendix2"/>
      </w:pPr>
      <w:bookmarkStart w:id="42" w:name="_Toc211513082"/>
      <w:r>
        <w:t>Fire Safety</w:t>
      </w:r>
      <w:bookmarkEnd w:id="42"/>
    </w:p>
    <w:p w14:paraId="1B816E1D" w14:textId="77777777" w:rsidR="00E81FFE" w:rsidRDefault="006036E9" w:rsidP="006036E9">
      <w:pPr>
        <w:pStyle w:val="Appendix3"/>
      </w:pPr>
      <w:r>
        <w:t>The Concessionaire shall ensure that flammable or combustible material storage is not located in or near a designated charging area.</w:t>
      </w:r>
    </w:p>
    <w:p w14:paraId="386725AB" w14:textId="77777777" w:rsidR="00F333D8" w:rsidRDefault="006036E9" w:rsidP="006036E9">
      <w:pPr>
        <w:pStyle w:val="Appendix3"/>
      </w:pPr>
      <w:r>
        <w:t>The Concessionaire shall ensure that any charging equipment located internally is protected by an automatic fire detection installation complying with BS 5839-6. Where nearby alarms are used within the building an interlinked system should be used to active the alarms on the rest of the premises.</w:t>
      </w:r>
    </w:p>
    <w:p w14:paraId="302EFD0F" w14:textId="3851E266" w:rsidR="006036E9" w:rsidRDefault="006036E9" w:rsidP="006036E9">
      <w:pPr>
        <w:pStyle w:val="Appendix3"/>
      </w:pPr>
      <w:r>
        <w:lastRenderedPageBreak/>
        <w:t>If a premises has an existing active fire suppression system e.g., sprinkler, or an assessment has deemed one necessary. The Concessionaire shall ensure that if this system interacts with charging equipment, it is checked to ensure it is suitable and that the system is interlinked with the charging equipment i.e., power is removed if the suppression system is activated.</w:t>
      </w:r>
    </w:p>
    <w:p w14:paraId="15AF018B" w14:textId="233A5ABB" w:rsidR="006036E9" w:rsidRDefault="006036E9" w:rsidP="00F333D8">
      <w:pPr>
        <w:pStyle w:val="Appendix2"/>
      </w:pPr>
      <w:bookmarkStart w:id="43" w:name="_Toc211513083"/>
      <w:r>
        <w:t>Site Identification</w:t>
      </w:r>
      <w:bookmarkEnd w:id="43"/>
    </w:p>
    <w:p w14:paraId="17B6F47F" w14:textId="2A935756" w:rsidR="0012611B" w:rsidRDefault="006036E9" w:rsidP="00F333D8">
      <w:pPr>
        <w:pStyle w:val="Appendix3"/>
      </w:pPr>
      <w:r>
        <w:t>Each of charge points of the installation shall be identified by the Concessionaire with a unique identification or serial number.</w:t>
      </w:r>
    </w:p>
    <w:p w14:paraId="11C1F1F5" w14:textId="44E1AEBD" w:rsidR="006036E9" w:rsidRDefault="006036E9" w:rsidP="006036E9">
      <w:r>
        <w:br w:type="page"/>
      </w:r>
    </w:p>
    <w:p w14:paraId="6114E84E" w14:textId="3A0F1AE5" w:rsidR="00A65910" w:rsidRDefault="00A65910" w:rsidP="00F333D8">
      <w:pPr>
        <w:pStyle w:val="Appendix1"/>
      </w:pPr>
      <w:bookmarkStart w:id="44" w:name="_Toc211513084"/>
      <w:r>
        <w:lastRenderedPageBreak/>
        <w:t>CHARGE POINT REQUIREMENTS</w:t>
      </w:r>
      <w:bookmarkEnd w:id="44"/>
    </w:p>
    <w:p w14:paraId="7A20DF23" w14:textId="025C0B4C" w:rsidR="00A65910" w:rsidRDefault="00A65910" w:rsidP="00F333D8">
      <w:pPr>
        <w:pStyle w:val="Appendix2"/>
      </w:pPr>
      <w:bookmarkStart w:id="45" w:name="_Toc211513085"/>
      <w:r>
        <w:t>General</w:t>
      </w:r>
      <w:bookmarkEnd w:id="45"/>
    </w:p>
    <w:p w14:paraId="71C80168" w14:textId="5252611C" w:rsidR="00F333D8" w:rsidRDefault="00A65910" w:rsidP="00A65910">
      <w:pPr>
        <w:pStyle w:val="Appendix3"/>
      </w:pPr>
      <w:r>
        <w:t xml:space="preserve">The Concessionaire shall supply, install, test and commission charge point units which meet the minimum requirements set out in this Appendix. The Concessionaire may subcontract elements of this work to an approved third party, but this must be approved by the </w:t>
      </w:r>
      <w:r w:rsidR="00544048">
        <w:t>Council</w:t>
      </w:r>
      <w:r>
        <w:t xml:space="preserve"> and recorded.</w:t>
      </w:r>
    </w:p>
    <w:p w14:paraId="4650C530" w14:textId="77777777" w:rsidR="00F333D8" w:rsidRDefault="00A65910" w:rsidP="00A65910">
      <w:pPr>
        <w:pStyle w:val="Appendix3"/>
      </w:pPr>
      <w:r>
        <w:t>Each charge point unit shall cater for over 90% of the electric and plug-in hybrid cars and vans registered in the United Kingdom at the time of the Concessionaire’s tender.</w:t>
      </w:r>
    </w:p>
    <w:p w14:paraId="4B8DA66C" w14:textId="77777777" w:rsidR="00F333D8" w:rsidRDefault="00A65910" w:rsidP="00A65910">
      <w:pPr>
        <w:pStyle w:val="Appendix3"/>
      </w:pPr>
      <w:r>
        <w:t>References to standards or regulations in this Appendix refer to the current edition of such standards or regulations at the time of the installation.</w:t>
      </w:r>
    </w:p>
    <w:p w14:paraId="3643B22B" w14:textId="789A1C43" w:rsidR="00A65910" w:rsidRDefault="00A65910" w:rsidP="00F333D8">
      <w:pPr>
        <w:pStyle w:val="Appendix2"/>
      </w:pPr>
      <w:bookmarkStart w:id="46" w:name="_Toc211513086"/>
      <w:r>
        <w:t>Charging Equipment – Common Requirements</w:t>
      </w:r>
      <w:bookmarkEnd w:id="46"/>
    </w:p>
    <w:p w14:paraId="5E16E460" w14:textId="03DE2BA1" w:rsidR="00A65910" w:rsidRDefault="00A65910" w:rsidP="00F333D8">
      <w:pPr>
        <w:pStyle w:val="Appendix3"/>
      </w:pPr>
      <w:r>
        <w:t>The design and installation of charging equipment shall permit compliance with the requirements and guidance of PAS 1899.</w:t>
      </w:r>
    </w:p>
    <w:p w14:paraId="2F441F07" w14:textId="068B029B" w:rsidR="00A65910" w:rsidRDefault="00A65910" w:rsidP="00F333D8">
      <w:pPr>
        <w:pStyle w:val="Appendix3"/>
      </w:pPr>
      <w:r>
        <w:t xml:space="preserve">Charging equipment shall be CE marked and a copy of the EC declaration of conformity provided to the </w:t>
      </w:r>
      <w:r w:rsidR="00544048">
        <w:t>Council</w:t>
      </w:r>
      <w:r>
        <w:t xml:space="preserve"> in accordance with EC Directive 768/2008/EC.</w:t>
      </w:r>
    </w:p>
    <w:p w14:paraId="2E9F4EE6" w14:textId="77777777" w:rsidR="00F333D8" w:rsidRDefault="00A65910" w:rsidP="00A65910">
      <w:pPr>
        <w:pStyle w:val="Appendix3"/>
      </w:pPr>
      <w:r>
        <w:t>Charging equipment shall support, at minimum the Open Charge Alliance (OCA) Open Charge Point Protocol (OCPP) version 1.6.</w:t>
      </w:r>
    </w:p>
    <w:p w14:paraId="7A4E4848" w14:textId="77777777" w:rsidR="00F333D8" w:rsidRDefault="00A65910" w:rsidP="00A65910">
      <w:pPr>
        <w:pStyle w:val="Appendix3"/>
      </w:pPr>
      <w:r>
        <w:t>The Service Provider shall through their back-office platform support payment roaming technology that can integrate with multiple e-mobility service providers (EMSPs) serving customers across regions.</w:t>
      </w:r>
    </w:p>
    <w:p w14:paraId="3581C294" w14:textId="77777777" w:rsidR="00F333D8" w:rsidRDefault="00A65910" w:rsidP="00A65910">
      <w:pPr>
        <w:pStyle w:val="Appendix3"/>
      </w:pPr>
      <w:r>
        <w:t>The roaming capability shall support Open Charge Point Interface (OCPI) version 2.2.1 or above with minimum of Credentials, Locations, Sessions, CDRs &amp; Tariffs modules implemented.</w:t>
      </w:r>
    </w:p>
    <w:p w14:paraId="26004495" w14:textId="22050446" w:rsidR="00A65910" w:rsidRDefault="00A65910" w:rsidP="00A65910">
      <w:pPr>
        <w:pStyle w:val="Appendix3"/>
      </w:pPr>
      <w:r>
        <w:t>Each charging equipment product used shall be compliant with the following standards as appropriate:</w:t>
      </w:r>
    </w:p>
    <w:p w14:paraId="3A05FC0C" w14:textId="77777777" w:rsidR="00F333D8" w:rsidRDefault="00A65910" w:rsidP="000F1D81">
      <w:pPr>
        <w:pStyle w:val="ListNumberNoSpacing2"/>
        <w:numPr>
          <w:ilvl w:val="1"/>
          <w:numId w:val="59"/>
        </w:numPr>
      </w:pPr>
      <w:r>
        <w:t>BS EN IEC 61851-1 “Electric vehicle conductive charging system – General requirements</w:t>
      </w:r>
      <w:proofErr w:type="gramStart"/>
      <w:r>
        <w:t>”;</w:t>
      </w:r>
      <w:proofErr w:type="gramEnd"/>
    </w:p>
    <w:p w14:paraId="7F4699BE" w14:textId="77777777" w:rsidR="00F333D8" w:rsidRDefault="00A65910" w:rsidP="000F1D81">
      <w:pPr>
        <w:pStyle w:val="ListNumberNoSpacing2"/>
        <w:numPr>
          <w:ilvl w:val="1"/>
          <w:numId w:val="59"/>
        </w:numPr>
      </w:pPr>
      <w:r>
        <w:t>BS EN IEC 61851-21-2 “Electric vehicle conductive charging system – Electric vehicle requirements for conductive connection to an AC/DC supply. EMC requirements for offboard electric vehicle charging systems</w:t>
      </w:r>
      <w:proofErr w:type="gramStart"/>
      <w:r>
        <w:t>”;</w:t>
      </w:r>
      <w:proofErr w:type="gramEnd"/>
    </w:p>
    <w:p w14:paraId="5F6D868E" w14:textId="77777777" w:rsidR="00F333D8" w:rsidRDefault="00A65910" w:rsidP="000F1D81">
      <w:pPr>
        <w:pStyle w:val="ListNumberNoSpacing2"/>
        <w:numPr>
          <w:ilvl w:val="1"/>
          <w:numId w:val="59"/>
        </w:numPr>
      </w:pPr>
      <w:r>
        <w:t>BS EN 61851-23 “Electric vehicle conductive charging system – DC electric vehicle charging stations</w:t>
      </w:r>
      <w:proofErr w:type="gramStart"/>
      <w:r>
        <w:t>”;</w:t>
      </w:r>
      <w:proofErr w:type="gramEnd"/>
    </w:p>
    <w:p w14:paraId="2FD6EEB9" w14:textId="77777777" w:rsidR="00F333D8" w:rsidRDefault="00A65910" w:rsidP="000F1D81">
      <w:pPr>
        <w:pStyle w:val="ListNumberNoSpacing2"/>
        <w:numPr>
          <w:ilvl w:val="1"/>
          <w:numId w:val="59"/>
        </w:numPr>
      </w:pPr>
      <w:r>
        <w:lastRenderedPageBreak/>
        <w:t xml:space="preserve">BS EN 61851-24 “Electric vehicle conductive charging system – Digital communication between a </w:t>
      </w:r>
      <w:proofErr w:type="spellStart"/>
      <w:r>
        <w:t>d.c.</w:t>
      </w:r>
      <w:proofErr w:type="spellEnd"/>
      <w:r>
        <w:t xml:space="preserve"> EV charging station and an electric vehicle for control of </w:t>
      </w:r>
      <w:proofErr w:type="spellStart"/>
      <w:r>
        <w:t>d.c.</w:t>
      </w:r>
      <w:proofErr w:type="spellEnd"/>
      <w:r>
        <w:t xml:space="preserve"> charging</w:t>
      </w:r>
      <w:proofErr w:type="gramStart"/>
      <w:r>
        <w:t>”;</w:t>
      </w:r>
      <w:proofErr w:type="gramEnd"/>
    </w:p>
    <w:p w14:paraId="07916833" w14:textId="77777777" w:rsidR="00F333D8" w:rsidRDefault="00A65910" w:rsidP="000F1D81">
      <w:pPr>
        <w:pStyle w:val="ListNumberNoSpacing2"/>
        <w:numPr>
          <w:ilvl w:val="1"/>
          <w:numId w:val="59"/>
        </w:numPr>
      </w:pPr>
      <w:r>
        <w:t>BS EN IEC 61851-25:2021 “Electric vehicle conductive charging system – DC EV supply equipment where protection relies on electrical separation”; or</w:t>
      </w:r>
    </w:p>
    <w:p w14:paraId="46A9ACF5" w14:textId="3B71608A" w:rsidR="00A65910" w:rsidRDefault="00A65910" w:rsidP="000F1D81">
      <w:pPr>
        <w:pStyle w:val="ListNumberNoSpacing2"/>
        <w:numPr>
          <w:ilvl w:val="1"/>
          <w:numId w:val="59"/>
        </w:numPr>
      </w:pPr>
      <w:r>
        <w:t>BS ISO 15118 “Road vehicles. Vehicle to grid communication interface” (standards series) - hardware and software ready to support technology including “</w:t>
      </w:r>
      <w:proofErr w:type="spellStart"/>
      <w:r>
        <w:t>Plug&amp;Charge</w:t>
      </w:r>
      <w:proofErr w:type="spellEnd"/>
      <w:r>
        <w:t>” out of the box, or when available.</w:t>
      </w:r>
    </w:p>
    <w:p w14:paraId="1A47C41F" w14:textId="77777777" w:rsidR="00F333D8" w:rsidRDefault="00A65910" w:rsidP="00A65910">
      <w:pPr>
        <w:pStyle w:val="Appendix3"/>
      </w:pPr>
      <w:r>
        <w:t>All charging equipment products shall be marked on the nameplate with a valid conformity assessment mark.</w:t>
      </w:r>
    </w:p>
    <w:p w14:paraId="2CC66F73" w14:textId="77777777" w:rsidR="00F333D8" w:rsidRDefault="00A65910" w:rsidP="00A65910">
      <w:pPr>
        <w:pStyle w:val="Appendix3"/>
      </w:pPr>
      <w:r>
        <w:t>The UK Government intends to extend recognition of the CE marking for placing most goods on the market in Great Britain, indefinitely, beyond December 2024. This applies to 18 product regulations for new and existing products.</w:t>
      </w:r>
    </w:p>
    <w:p w14:paraId="11306172" w14:textId="77777777" w:rsidR="00F333D8" w:rsidRDefault="00A65910" w:rsidP="00A65910">
      <w:pPr>
        <w:pStyle w:val="Appendix3"/>
      </w:pPr>
      <w:r>
        <w:t>Valid conformity assessment marks in Great Britain are the use of the UK Conformity Assessment (UKCA) and/or CE markings. In Northern Ireland CE marking shall be required and shall additionally include the UKNI mark, if the product used a UK conformity assessment body.</w:t>
      </w:r>
    </w:p>
    <w:p w14:paraId="1C036D57" w14:textId="77777777" w:rsidR="00F333D8" w:rsidRDefault="00A65910" w:rsidP="00A65910">
      <w:pPr>
        <w:pStyle w:val="Appendix3"/>
      </w:pPr>
      <w:r>
        <w:t>Rapid charging equipment shall utilise tethered cables (BS EN 61851:1 Case C connection).</w:t>
      </w:r>
    </w:p>
    <w:p w14:paraId="2301CCBC" w14:textId="0EB6F5E1" w:rsidR="00A65910" w:rsidRDefault="00A65910" w:rsidP="00A65910">
      <w:pPr>
        <w:pStyle w:val="Appendix3"/>
      </w:pPr>
      <w:r>
        <w:t xml:space="preserve">Each </w:t>
      </w:r>
      <w:proofErr w:type="spellStart"/>
      <w:r>
        <w:t>chargepoint</w:t>
      </w:r>
      <w:proofErr w:type="spellEnd"/>
      <w:r>
        <w:t xml:space="preserve"> outlet is provided with electricity measurement that is either:</w:t>
      </w:r>
    </w:p>
    <w:p w14:paraId="7A46AE3F" w14:textId="77777777" w:rsidR="00F333D8" w:rsidRDefault="00A65910" w:rsidP="000F1D81">
      <w:pPr>
        <w:pStyle w:val="ListNumberNoSpacing2"/>
        <w:numPr>
          <w:ilvl w:val="1"/>
          <w:numId w:val="60"/>
        </w:numPr>
      </w:pPr>
      <w:r>
        <w:t>A non-volatile active electrical energy (kWh) meter that is MIR (The Measuring Instruments Regulations 2016)23, SI 2016/1153) or MID (Measuring Instruments Directive) approved; or</w:t>
      </w:r>
    </w:p>
    <w:p w14:paraId="1227BE4E" w14:textId="2E11C1DB" w:rsidR="00A65910" w:rsidRDefault="00A65910" w:rsidP="000F1D81">
      <w:pPr>
        <w:pStyle w:val="ListNumberNoSpacing2"/>
        <w:numPr>
          <w:ilvl w:val="1"/>
          <w:numId w:val="60"/>
        </w:numPr>
      </w:pPr>
      <w:r>
        <w:t>An approved Equivalent Meter (EM) with Meter Administrator (MA) (as required), as part of a measured Central Management System (</w:t>
      </w:r>
      <w:proofErr w:type="spellStart"/>
      <w:r>
        <w:t>mCMS</w:t>
      </w:r>
      <w:proofErr w:type="spellEnd"/>
      <w:r>
        <w:t>) with valid approval by ELEXON to Balancing and Settlement Code (BSC) Procedure (BSCP) 520 “Unmetered Supplies Registered in SMRS”.</w:t>
      </w:r>
    </w:p>
    <w:p w14:paraId="19BC7E32" w14:textId="542454A2" w:rsidR="00A65910" w:rsidRDefault="00A65910" w:rsidP="00F333D8">
      <w:pPr>
        <w:pStyle w:val="Appendix3"/>
      </w:pPr>
      <w:r>
        <w:t>Each charging equipment product used shall be compliant with the following regulations as appropriate:</w:t>
      </w:r>
    </w:p>
    <w:p w14:paraId="56BB7961" w14:textId="77777777" w:rsidR="00F333D8" w:rsidRDefault="00A65910" w:rsidP="000F1D81">
      <w:pPr>
        <w:pStyle w:val="ListNumberNoSpacing2"/>
        <w:numPr>
          <w:ilvl w:val="1"/>
          <w:numId w:val="61"/>
        </w:numPr>
      </w:pPr>
      <w:r>
        <w:t xml:space="preserve">The Electromagnetic Compatibility Regulations 2016 (Directive 2014/30/EU the "EMC Directive) as </w:t>
      </w:r>
      <w:proofErr w:type="gramStart"/>
      <w:r>
        <w:t>amended;</w:t>
      </w:r>
      <w:proofErr w:type="gramEnd"/>
    </w:p>
    <w:p w14:paraId="7BD1169E" w14:textId="77777777" w:rsidR="00F333D8" w:rsidRDefault="00A65910" w:rsidP="000F1D81">
      <w:pPr>
        <w:pStyle w:val="ListNumberNoSpacing2"/>
        <w:numPr>
          <w:ilvl w:val="1"/>
          <w:numId w:val="61"/>
        </w:numPr>
      </w:pPr>
      <w:r>
        <w:t xml:space="preserve">The Electrical Equipment (safety) Regulations 2016 (Directive 2014/35/EU the Low Voltage Directive "LVD") or as </w:t>
      </w:r>
      <w:proofErr w:type="gramStart"/>
      <w:r>
        <w:t>amended;</w:t>
      </w:r>
      <w:proofErr w:type="gramEnd"/>
    </w:p>
    <w:p w14:paraId="2574CFAA" w14:textId="77777777" w:rsidR="00F333D8" w:rsidRDefault="00A65910" w:rsidP="000F1D81">
      <w:pPr>
        <w:pStyle w:val="ListNumberNoSpacing2"/>
        <w:numPr>
          <w:ilvl w:val="1"/>
          <w:numId w:val="61"/>
        </w:numPr>
      </w:pPr>
      <w:r>
        <w:t>The Radio Equipment Regulations 2017 (Directive 2014/53/EU) or as amended; and</w:t>
      </w:r>
    </w:p>
    <w:p w14:paraId="1EA115C0" w14:textId="1E3D01A5" w:rsidR="00A65910" w:rsidRDefault="00A65910" w:rsidP="000F1D81">
      <w:pPr>
        <w:pStyle w:val="ListNumberNoSpacing2"/>
        <w:numPr>
          <w:ilvl w:val="1"/>
          <w:numId w:val="61"/>
        </w:numPr>
      </w:pPr>
      <w:r>
        <w:t xml:space="preserve">The Restriction of the Use of Certain Hazardous Substances in Electrical and Electronic Equipment Regulations 2012 (Directive 2011/65/EU Restriction of Hazardous Substances in Electrical and Electronic Equipment) and The </w:t>
      </w:r>
      <w:r>
        <w:lastRenderedPageBreak/>
        <w:t>Restriction of the Use of Certain Hazardous Substances in Electrical and Electronic Equipment (Amendment) Regulations 2023 or as amended.</w:t>
      </w:r>
    </w:p>
    <w:p w14:paraId="1E9A6D3B" w14:textId="77777777" w:rsidR="00F333D8" w:rsidRDefault="00A65910" w:rsidP="00A65910">
      <w:pPr>
        <w:pStyle w:val="Appendix3"/>
      </w:pPr>
      <w:r>
        <w:t>AC metering shall be compliant with BS EN 50470-1 and BS EN 50470-3 or BS EN IEC 62052-11</w:t>
      </w:r>
    </w:p>
    <w:p w14:paraId="7C674CBB" w14:textId="77777777" w:rsidR="00F333D8" w:rsidRDefault="00A65910" w:rsidP="00A65910">
      <w:pPr>
        <w:pStyle w:val="Appendix3"/>
      </w:pPr>
      <w:r>
        <w:t>Combinations of AC and DC equipment into one charge point unit should be considered at sites</w:t>
      </w:r>
      <w:r w:rsidR="00F333D8">
        <w:t>.</w:t>
      </w:r>
    </w:p>
    <w:p w14:paraId="1C0DDA13" w14:textId="68D988F0" w:rsidR="00A65910" w:rsidRDefault="00A65910" w:rsidP="00A65910">
      <w:pPr>
        <w:pStyle w:val="Appendix3"/>
      </w:pPr>
      <w:r>
        <w:t xml:space="preserve">Charging equipment shall not emit noise and other emissions that constitute statutory nuisance. A statutory nuisance is where: </w:t>
      </w:r>
    </w:p>
    <w:p w14:paraId="5A73BA68" w14:textId="56C26C9D" w:rsidR="00A65910" w:rsidRDefault="00A65910" w:rsidP="000F1D81">
      <w:pPr>
        <w:pStyle w:val="ListNumberNoSpacing2"/>
        <w:numPr>
          <w:ilvl w:val="1"/>
          <w:numId w:val="62"/>
        </w:numPr>
      </w:pPr>
      <w:r>
        <w:t>The charging equipment gives rise to issues where it: unreasonably and substantially interferes with the use or enjoyment of a home or other premises; or</w:t>
      </w:r>
    </w:p>
    <w:p w14:paraId="24C307C4" w14:textId="054EA936" w:rsidR="00A65910" w:rsidRDefault="00A65910" w:rsidP="000F1D81">
      <w:pPr>
        <w:pStyle w:val="ListNumberNoSpacing2"/>
        <w:numPr>
          <w:ilvl w:val="1"/>
          <w:numId w:val="62"/>
        </w:numPr>
      </w:pPr>
      <w:r>
        <w:t>Injures health or be likely to injure health.</w:t>
      </w:r>
    </w:p>
    <w:p w14:paraId="690DB7D4" w14:textId="54B5A92B" w:rsidR="00A65910" w:rsidRDefault="00A65910" w:rsidP="00FF4EEF">
      <w:pPr>
        <w:pStyle w:val="Appendix3"/>
      </w:pPr>
      <w:r>
        <w:t>For AC charging equipment / outlets:</w:t>
      </w:r>
    </w:p>
    <w:p w14:paraId="379DE2CB" w14:textId="77777777" w:rsidR="00FF4EEF" w:rsidRDefault="00A65910" w:rsidP="000F1D81">
      <w:pPr>
        <w:pStyle w:val="ListNumberNoSpacing2"/>
        <w:numPr>
          <w:ilvl w:val="1"/>
          <w:numId w:val="63"/>
        </w:numPr>
      </w:pPr>
      <w:r>
        <w:t xml:space="preserve">output power shall be measured or calculated at a nominal supply voltage of 50Hz, 400VAC nominal three-phase or 50Hz, 230VAC nominal </w:t>
      </w:r>
      <w:proofErr w:type="gramStart"/>
      <w:r>
        <w:t>single-phase;</w:t>
      </w:r>
      <w:proofErr w:type="gramEnd"/>
    </w:p>
    <w:p w14:paraId="750983F3" w14:textId="77777777" w:rsidR="00FF4EEF" w:rsidRDefault="00A65910" w:rsidP="000F1D81">
      <w:pPr>
        <w:pStyle w:val="ListNumberNoSpacing2"/>
        <w:numPr>
          <w:ilvl w:val="1"/>
          <w:numId w:val="63"/>
        </w:numPr>
      </w:pPr>
      <w:r>
        <w:t xml:space="preserve">output power shall be 22kW or </w:t>
      </w:r>
      <w:proofErr w:type="gramStart"/>
      <w:r>
        <w:t>greater;</w:t>
      </w:r>
      <w:proofErr w:type="gramEnd"/>
    </w:p>
    <w:p w14:paraId="0C5A3CC0" w14:textId="77777777" w:rsidR="00FF4EEF" w:rsidRDefault="00A65910" w:rsidP="000F1D81">
      <w:pPr>
        <w:pStyle w:val="ListNumberNoSpacing2"/>
        <w:numPr>
          <w:ilvl w:val="1"/>
          <w:numId w:val="63"/>
        </w:numPr>
      </w:pPr>
      <w:r>
        <w:t xml:space="preserve">shall be compliant with BS EN 61851 Part </w:t>
      </w:r>
      <w:proofErr w:type="gramStart"/>
      <w:r>
        <w:t>21-2;</w:t>
      </w:r>
      <w:proofErr w:type="gramEnd"/>
    </w:p>
    <w:p w14:paraId="6E7B222E" w14:textId="77777777" w:rsidR="00FF4EEF" w:rsidRDefault="00A65910" w:rsidP="000F1D81">
      <w:pPr>
        <w:pStyle w:val="ListNumberNoSpacing2"/>
        <w:numPr>
          <w:ilvl w:val="1"/>
          <w:numId w:val="63"/>
        </w:numPr>
      </w:pPr>
      <w:r>
        <w:t>shall use Mode 3 charging; and</w:t>
      </w:r>
    </w:p>
    <w:p w14:paraId="2C6FED71" w14:textId="31358D51" w:rsidR="00A65910" w:rsidRDefault="00A65910" w:rsidP="000F1D81">
      <w:pPr>
        <w:pStyle w:val="ListNumberNoSpacing2"/>
        <w:numPr>
          <w:ilvl w:val="1"/>
          <w:numId w:val="63"/>
        </w:numPr>
      </w:pPr>
      <w:r>
        <w:t>shall be fitted with one socket compliant with BS EN 62196 Part 2 Type 2 outlet.</w:t>
      </w:r>
    </w:p>
    <w:p w14:paraId="5CF4C424" w14:textId="03E3F69E" w:rsidR="00A65910" w:rsidRDefault="00A65910" w:rsidP="00FF4EEF">
      <w:pPr>
        <w:pStyle w:val="Appendix3"/>
      </w:pPr>
      <w:r>
        <w:t>For DC charging, equipment:</w:t>
      </w:r>
    </w:p>
    <w:p w14:paraId="1BFF012D" w14:textId="77777777" w:rsidR="00FF4EEF" w:rsidRDefault="00A65910" w:rsidP="000F1D81">
      <w:pPr>
        <w:pStyle w:val="ListNumberNoSpacing2"/>
        <w:numPr>
          <w:ilvl w:val="1"/>
          <w:numId w:val="64"/>
        </w:numPr>
      </w:pPr>
      <w:r>
        <w:t xml:space="preserve">shall be compliant with BS EN 61851 Part </w:t>
      </w:r>
      <w:proofErr w:type="gramStart"/>
      <w:r>
        <w:t>23;</w:t>
      </w:r>
      <w:proofErr w:type="gramEnd"/>
    </w:p>
    <w:p w14:paraId="54847138" w14:textId="77777777" w:rsidR="00FF4EEF" w:rsidRDefault="00A65910" w:rsidP="000F1D81">
      <w:pPr>
        <w:pStyle w:val="ListNumberNoSpacing2"/>
        <w:numPr>
          <w:ilvl w:val="1"/>
          <w:numId w:val="64"/>
        </w:numPr>
      </w:pPr>
      <w:r>
        <w:t xml:space="preserve">shall use Mode 4 </w:t>
      </w:r>
      <w:proofErr w:type="gramStart"/>
      <w:r>
        <w:t>charging;</w:t>
      </w:r>
      <w:proofErr w:type="gramEnd"/>
    </w:p>
    <w:p w14:paraId="4C5FD423" w14:textId="77777777" w:rsidR="00FF4EEF" w:rsidRDefault="00A65910" w:rsidP="000F1D81">
      <w:pPr>
        <w:pStyle w:val="ListNumberNoSpacing2"/>
        <w:numPr>
          <w:ilvl w:val="1"/>
          <w:numId w:val="64"/>
        </w:numPr>
      </w:pPr>
      <w:r>
        <w:t xml:space="preserve">shall (for rapid </w:t>
      </w:r>
      <w:proofErr w:type="spellStart"/>
      <w:r>
        <w:t>chargepoints</w:t>
      </w:r>
      <w:proofErr w:type="spellEnd"/>
      <w:r>
        <w:t>) be fitted with:</w:t>
      </w:r>
    </w:p>
    <w:p w14:paraId="19A5EA57" w14:textId="77777777" w:rsidR="00FF4EEF" w:rsidRDefault="00A65910" w:rsidP="000F1D81">
      <w:pPr>
        <w:pStyle w:val="ListNumberNoSpacing2"/>
        <w:numPr>
          <w:ilvl w:val="2"/>
          <w:numId w:val="64"/>
        </w:numPr>
      </w:pPr>
      <w:r>
        <w:t>at least one tethered cable with a CHAdeMO vehicle connector per outlet; and</w:t>
      </w:r>
    </w:p>
    <w:p w14:paraId="638C5A31" w14:textId="167A1E35" w:rsidR="00A65910" w:rsidRDefault="00A65910" w:rsidP="000F1D81">
      <w:pPr>
        <w:pStyle w:val="ListNumberNoSpacing2"/>
        <w:numPr>
          <w:ilvl w:val="2"/>
          <w:numId w:val="64"/>
        </w:numPr>
      </w:pPr>
      <w:r>
        <w:t>at least one tethered cable with a Combined Charging System (CCS) vehicle connector per outlet.</w:t>
      </w:r>
    </w:p>
    <w:p w14:paraId="1A6CE6A4" w14:textId="7ECC3DC7" w:rsidR="00A65910" w:rsidRDefault="00A65910" w:rsidP="00FF4EEF">
      <w:pPr>
        <w:pStyle w:val="Appendix2"/>
      </w:pPr>
      <w:bookmarkStart w:id="47" w:name="_Toc211513087"/>
      <w:r>
        <w:t>Physical Characteristics</w:t>
      </w:r>
      <w:bookmarkEnd w:id="47"/>
    </w:p>
    <w:p w14:paraId="5ED8D713" w14:textId="6D74F102" w:rsidR="00A65910" w:rsidRDefault="00A65910" w:rsidP="00FF4EEF">
      <w:pPr>
        <w:pStyle w:val="Appendix3"/>
      </w:pPr>
      <w:r>
        <w:t>Charging equipment enclosures shall have an IP rating (according to BS EN 60529) meeting the requirements of BS EN IEC 61851-1 “Electric vehicle conductive charging system - General requirements” at minimum. Presently this is at least IP44 for equipment installed in an outdoor location and IP41 for equipment installed in an indoor location.</w:t>
      </w:r>
    </w:p>
    <w:p w14:paraId="3A248F90" w14:textId="77777777" w:rsidR="007C0D70" w:rsidRDefault="00A65910" w:rsidP="00A65910">
      <w:pPr>
        <w:pStyle w:val="Appendix3"/>
      </w:pPr>
      <w:r>
        <w:t xml:space="preserve">IP ratings for socket-outlets and vehicle-connectors, when not mated, when making or breaking a connection, and when mated shall be in </w:t>
      </w:r>
      <w:r>
        <w:lastRenderedPageBreak/>
        <w:t>accordance with the requirements of BS EN IEC 61851-1 “Electric vehicle conductive charging system - General requirements”.</w:t>
      </w:r>
    </w:p>
    <w:p w14:paraId="5CECEA82" w14:textId="77777777" w:rsidR="007C0D70" w:rsidRDefault="00A65910" w:rsidP="00A65910">
      <w:pPr>
        <w:pStyle w:val="Appendix3"/>
      </w:pPr>
      <w:r>
        <w:t>Charging equipment shall be protected against mechanical damage of high severity in accordance with the requirements of BS 7671 offering one, or more of: 1) positioning or locating to avoid damage by any reasonably foreseeable impact; 2) provision of local / general mechanical protection; 3) installing equipment that complies with a minimum degree of protection against mechanical impact (IK rating) in accordance with requirements of BS EN 62262 “Degrees of protection provided by enclosures for electrical equipment against external mechanical impacts (IK code)”.</w:t>
      </w:r>
    </w:p>
    <w:p w14:paraId="6C7ECE5A" w14:textId="77777777" w:rsidR="007C0D70" w:rsidRDefault="00A65910" w:rsidP="00A65910">
      <w:pPr>
        <w:pStyle w:val="Appendix3"/>
      </w:pPr>
      <w:r>
        <w:t>The charging equipment shall achieve a nominal operational ambient temperature range of -25 °C to + 40 °C.</w:t>
      </w:r>
    </w:p>
    <w:p w14:paraId="68DC8970" w14:textId="6E1D136A" w:rsidR="00A65910" w:rsidRDefault="00A65910" w:rsidP="00A65910">
      <w:pPr>
        <w:pStyle w:val="Appendix3"/>
      </w:pPr>
      <w:r>
        <w:t>The charging hardware shall be manufactured using materials that are durable and preferably consider end-of-life repurposing, or recycling, including:</w:t>
      </w:r>
    </w:p>
    <w:p w14:paraId="033C9872" w14:textId="77777777" w:rsidR="007C0D70" w:rsidRDefault="00A65910" w:rsidP="000F1D81">
      <w:pPr>
        <w:pStyle w:val="ListNumberNoSpacing2"/>
        <w:numPr>
          <w:ilvl w:val="1"/>
          <w:numId w:val="65"/>
        </w:numPr>
      </w:pPr>
      <w:r>
        <w:t xml:space="preserve">Corrosion </w:t>
      </w:r>
      <w:proofErr w:type="gramStart"/>
      <w:r>
        <w:t>resistance;</w:t>
      </w:r>
      <w:proofErr w:type="gramEnd"/>
    </w:p>
    <w:p w14:paraId="57958D1E" w14:textId="77777777" w:rsidR="007C0D70" w:rsidRDefault="00A65910" w:rsidP="000F1D81">
      <w:pPr>
        <w:pStyle w:val="ListNumberNoSpacing2"/>
        <w:numPr>
          <w:ilvl w:val="1"/>
          <w:numId w:val="65"/>
        </w:numPr>
      </w:pPr>
      <w:r>
        <w:t>Frost resistance; and</w:t>
      </w:r>
    </w:p>
    <w:p w14:paraId="4C1D38A9" w14:textId="34BD2733" w:rsidR="00A65910" w:rsidRDefault="00A65910" w:rsidP="000F1D81">
      <w:pPr>
        <w:pStyle w:val="ListNumberNoSpacing2"/>
        <w:numPr>
          <w:ilvl w:val="1"/>
          <w:numId w:val="65"/>
        </w:numPr>
      </w:pPr>
      <w:r>
        <w:t>UV resistance.</w:t>
      </w:r>
    </w:p>
    <w:p w14:paraId="18138D8E" w14:textId="2CF12ED6" w:rsidR="00A65910" w:rsidRDefault="00A65910" w:rsidP="007C0D70">
      <w:pPr>
        <w:pStyle w:val="Appendix3"/>
      </w:pPr>
      <w:r>
        <w:t>The charging hardware will, as appropriate, include suitable physical security features (e.g., locks/keys, tamper protection boundaries, tamper seals, alarms/interlocks) to protect and deter against, as well as evidence, unauthorised access, tampering and abuse of the units and internal parts.</w:t>
      </w:r>
    </w:p>
    <w:p w14:paraId="412A321D" w14:textId="35D0982D" w:rsidR="00A65910" w:rsidRDefault="00A65910" w:rsidP="007C0D70">
      <w:pPr>
        <w:pStyle w:val="Appendix2"/>
      </w:pPr>
      <w:bookmarkStart w:id="48" w:name="_Toc211513088"/>
      <w:r>
        <w:t>Installation</w:t>
      </w:r>
      <w:bookmarkEnd w:id="48"/>
    </w:p>
    <w:p w14:paraId="2F69BD17" w14:textId="77777777" w:rsidR="007C0D70" w:rsidRDefault="00A65910" w:rsidP="00A65910">
      <w:pPr>
        <w:pStyle w:val="Appendix3"/>
      </w:pPr>
      <w:r>
        <w:t>Charging equipment shall be installed in accordance with BS EN 61851; BS 7671; the recommendations of the IET Code of Practice for Electric Vehicle Charging Equipment Installations (as amended); the manufacturer’s instructions; and all other applicable standards.</w:t>
      </w:r>
    </w:p>
    <w:p w14:paraId="4529BE5E" w14:textId="0C528F39" w:rsidR="007C0D70" w:rsidRDefault="00A65910" w:rsidP="00A65910">
      <w:pPr>
        <w:pStyle w:val="Appendix3"/>
      </w:pPr>
      <w:r>
        <w:t xml:space="preserve">In cases of apparent inconsistency in electrical installation requirements, BS 7671 shall take precedence and details of the inconsistency shall be notified to the </w:t>
      </w:r>
      <w:r w:rsidR="00544048">
        <w:t>Council</w:t>
      </w:r>
      <w:r>
        <w:t>.</w:t>
      </w:r>
    </w:p>
    <w:p w14:paraId="0292E13A" w14:textId="77777777" w:rsidR="007C0D70" w:rsidRDefault="00A65910" w:rsidP="00A65910">
      <w:pPr>
        <w:pStyle w:val="Appendix3"/>
      </w:pPr>
      <w:r>
        <w:t>Installations on the public highway shall use a contractor registered through the Highways and Electrical Registration Scheme (HERS).</w:t>
      </w:r>
    </w:p>
    <w:p w14:paraId="2C65602B" w14:textId="29C0CC9A" w:rsidR="00A65910" w:rsidRDefault="00A65910" w:rsidP="00A65910">
      <w:pPr>
        <w:pStyle w:val="Appendix3"/>
      </w:pPr>
      <w:r>
        <w:t xml:space="preserve">Concessionaire instructed contractors completing electrical </w:t>
      </w:r>
      <w:r w:rsidR="001F579B">
        <w:t>W</w:t>
      </w:r>
      <w:r>
        <w:t>orks shall be NICEIC approved.</w:t>
      </w:r>
    </w:p>
    <w:p w14:paraId="7F2E0DD9" w14:textId="77777777" w:rsidR="007C0D70" w:rsidRDefault="00A65910" w:rsidP="00A65910">
      <w:pPr>
        <w:pStyle w:val="Appendix2"/>
      </w:pPr>
      <w:bookmarkStart w:id="49" w:name="_Toc211513089"/>
      <w:r>
        <w:t>User Interface</w:t>
      </w:r>
      <w:bookmarkEnd w:id="49"/>
    </w:p>
    <w:p w14:paraId="037C9968" w14:textId="37223C60" w:rsidR="007C0D70" w:rsidRDefault="00A65910" w:rsidP="00A65910">
      <w:pPr>
        <w:pStyle w:val="Appendix3"/>
      </w:pPr>
      <w:r>
        <w:lastRenderedPageBreak/>
        <w:t xml:space="preserve">Charging equipment status shall be indicated using lights, light emitting diodes (LEDs) or display, and from a user’s perspective shall appear intuitive and aligned with </w:t>
      </w:r>
      <w:r w:rsidR="005D700F">
        <w:t>g</w:t>
      </w:r>
      <w:r>
        <w:t xml:space="preserve">ood </w:t>
      </w:r>
      <w:r w:rsidR="005D700F">
        <w:t>i</w:t>
      </w:r>
      <w:r>
        <w:t xml:space="preserve">ndustry </w:t>
      </w:r>
      <w:r w:rsidR="005D700F">
        <w:t>p</w:t>
      </w:r>
      <w:r>
        <w:t>ractice.</w:t>
      </w:r>
    </w:p>
    <w:p w14:paraId="49D20620" w14:textId="77777777" w:rsidR="007C0D70" w:rsidRDefault="00A65910" w:rsidP="00A65910">
      <w:pPr>
        <w:pStyle w:val="Appendix3"/>
      </w:pPr>
      <w:r>
        <w:t>Simple and clear information describing how to use the charge point unit shall be displayed on the unit and must include provisions such as diagrams for non-English speakers.</w:t>
      </w:r>
    </w:p>
    <w:p w14:paraId="06A888B8" w14:textId="41F0657C" w:rsidR="007C0D70" w:rsidRDefault="00A65910" w:rsidP="00A65910">
      <w:pPr>
        <w:pStyle w:val="Appendix3"/>
      </w:pPr>
      <w:r>
        <w:t xml:space="preserve">Details of any precautions necessary to ensure safe operation with </w:t>
      </w:r>
      <w:r w:rsidR="003F292E">
        <w:t>a</w:t>
      </w:r>
      <w:r>
        <w:t xml:space="preserve">ctive </w:t>
      </w:r>
      <w:r w:rsidR="003F292E">
        <w:t>i</w:t>
      </w:r>
      <w:r>
        <w:t xml:space="preserve">mplantable </w:t>
      </w:r>
      <w:r w:rsidR="003F292E">
        <w:t>m</w:t>
      </w:r>
      <w:r>
        <w:t xml:space="preserve">edical </w:t>
      </w:r>
      <w:r w:rsidR="003F292E">
        <w:t>d</w:t>
      </w:r>
      <w:r>
        <w:t>evices shall be provided and must also be clearly di</w:t>
      </w:r>
      <w:r w:rsidR="007C0D70">
        <w:t>s</w:t>
      </w:r>
      <w:r>
        <w:t>played on the charging equipment.</w:t>
      </w:r>
    </w:p>
    <w:p w14:paraId="76893D42" w14:textId="77777777" w:rsidR="007C0D70" w:rsidRDefault="00A65910" w:rsidP="00A65910">
      <w:pPr>
        <w:pStyle w:val="Appendix3"/>
      </w:pPr>
      <w:r>
        <w:t>Charging equipment shall display instructions for payment and equipment operation.</w:t>
      </w:r>
    </w:p>
    <w:p w14:paraId="4C09CC10" w14:textId="675A4025" w:rsidR="007C0D70" w:rsidRDefault="00A65910" w:rsidP="00A65910">
      <w:pPr>
        <w:pStyle w:val="Appendix3"/>
      </w:pPr>
      <w:r>
        <w:t>The livery design of charge points including the use of the IACC logo shall be mutually agreed between the Parties. IACC branding guidelines can be found in Appendix A.</w:t>
      </w:r>
      <w:r w:rsidR="00B94B4F">
        <w:t>5</w:t>
      </w:r>
      <w:r>
        <w:t>.</w:t>
      </w:r>
    </w:p>
    <w:p w14:paraId="772208B1" w14:textId="6D1B5146" w:rsidR="00A65910" w:rsidRDefault="00A65910" w:rsidP="00A65910">
      <w:pPr>
        <w:pStyle w:val="Appendix3"/>
      </w:pPr>
      <w:r>
        <w:t>All written information displayed on the charge point shall be in Welsh and English in accordance with the Welsh Language (Wales) Measure 2011.</w:t>
      </w:r>
    </w:p>
    <w:p w14:paraId="6FB470AC" w14:textId="44EC9607" w:rsidR="00A65910" w:rsidRDefault="00A65910" w:rsidP="007C0D70">
      <w:pPr>
        <w:pStyle w:val="Appendix2"/>
      </w:pPr>
      <w:bookmarkStart w:id="50" w:name="_Toc211513090"/>
      <w:r>
        <w:t>Product Acceptance Testing and Site Acceptance Testing</w:t>
      </w:r>
      <w:bookmarkEnd w:id="50"/>
    </w:p>
    <w:p w14:paraId="07C43055" w14:textId="69702702" w:rsidR="007C0D70" w:rsidRDefault="00A65910" w:rsidP="00A65910">
      <w:pPr>
        <w:pStyle w:val="Appendix3"/>
      </w:pPr>
      <w:r>
        <w:t xml:space="preserve">Each charge point unit shall be subject to product acceptance testing (PAT) prior to installation and site acceptance testing (SAT) following installation by the Concessionaire to demonstrate that the requirements of the </w:t>
      </w:r>
      <w:r w:rsidR="004E7120">
        <w:t>Concession Agreement</w:t>
      </w:r>
      <w:r>
        <w:t xml:space="preserve"> have been met.</w:t>
      </w:r>
    </w:p>
    <w:p w14:paraId="4A6581AA" w14:textId="12A0F8A9" w:rsidR="007C0D70" w:rsidRDefault="00A65910" w:rsidP="00A65910">
      <w:pPr>
        <w:pStyle w:val="Appendix3"/>
      </w:pPr>
      <w:r>
        <w:t xml:space="preserve">The Concessionaire shall prepare PAT and SAT specifications. The PAT and SAT specifications shall contain sufficient individual tests for the Concessionaire to demonstrate to the </w:t>
      </w:r>
      <w:r w:rsidR="00544048">
        <w:t>Council</w:t>
      </w:r>
      <w:r>
        <w:t xml:space="preserve"> that each element of the charge point unit provided fulfils the requirements of the </w:t>
      </w:r>
      <w:r w:rsidR="004E7120">
        <w:t>Concession Agreement</w:t>
      </w:r>
      <w:r>
        <w:t xml:space="preserve">. The PAT and SAT specifications shall be submitted to the </w:t>
      </w:r>
      <w:r w:rsidR="00544048">
        <w:t>Council</w:t>
      </w:r>
      <w:r>
        <w:t xml:space="preserve"> for </w:t>
      </w:r>
      <w:r w:rsidR="00544048">
        <w:t>a</w:t>
      </w:r>
      <w:r>
        <w:t>pproval prior to the commencement of any testing.</w:t>
      </w:r>
    </w:p>
    <w:p w14:paraId="7B0321F1" w14:textId="13A9B967" w:rsidR="00A65910" w:rsidRDefault="00A65910" w:rsidP="00A65910">
      <w:pPr>
        <w:pStyle w:val="Appendix3"/>
      </w:pPr>
      <w:r>
        <w:t xml:space="preserve">The Concessionaire shall give the </w:t>
      </w:r>
      <w:r w:rsidR="00544048">
        <w:t>Council</w:t>
      </w:r>
      <w:r>
        <w:t xml:space="preserve"> the opportunity to witness all testing. To enable the </w:t>
      </w:r>
      <w:r w:rsidR="00544048">
        <w:t>Council</w:t>
      </w:r>
      <w:r>
        <w:t xml:space="preserve"> to attend, the Concessionaire shall provide the </w:t>
      </w:r>
      <w:r w:rsidR="00544048">
        <w:t>Council</w:t>
      </w:r>
      <w:r>
        <w:t xml:space="preserve"> with at least two weeks’ notice of the dates and venues of each testing session.</w:t>
      </w:r>
    </w:p>
    <w:p w14:paraId="423A1C7A" w14:textId="30BB1430" w:rsidR="00A65910" w:rsidRDefault="00A65910" w:rsidP="007C0D70">
      <w:pPr>
        <w:pStyle w:val="Appendix2"/>
      </w:pPr>
      <w:bookmarkStart w:id="51" w:name="_Toc211513091"/>
      <w:r>
        <w:t>Warranty</w:t>
      </w:r>
      <w:bookmarkEnd w:id="51"/>
    </w:p>
    <w:p w14:paraId="20F95FBB" w14:textId="67EA7D5F" w:rsidR="006036E9" w:rsidRDefault="00A65910" w:rsidP="007C0D70">
      <w:pPr>
        <w:pStyle w:val="Appendix3"/>
      </w:pPr>
      <w:r>
        <w:t>Charging equipment shall be supplied with a warranty which aligns with the operations and maintenance requirements in Appendix A.</w:t>
      </w:r>
      <w:r w:rsidR="00BB2521">
        <w:t>7</w:t>
      </w:r>
      <w:r>
        <w:t>.</w:t>
      </w:r>
    </w:p>
    <w:p w14:paraId="21C5EAB6" w14:textId="246052DE" w:rsidR="001B55EE" w:rsidRDefault="001B55EE" w:rsidP="00A65910">
      <w:r>
        <w:br w:type="page"/>
      </w:r>
    </w:p>
    <w:p w14:paraId="701DEB67" w14:textId="4FE041CC" w:rsidR="00143043" w:rsidRDefault="00143043" w:rsidP="007C0D70">
      <w:pPr>
        <w:pStyle w:val="Appendix1"/>
      </w:pPr>
      <w:bookmarkStart w:id="52" w:name="_Toc211513092"/>
      <w:r>
        <w:lastRenderedPageBreak/>
        <w:t>IACC BRANDING GUIDELINES</w:t>
      </w:r>
      <w:bookmarkEnd w:id="52"/>
    </w:p>
    <w:p w14:paraId="1E57E664" w14:textId="3B563B4E" w:rsidR="001B55EE" w:rsidRDefault="00143043" w:rsidP="007C0D70">
      <w:pPr>
        <w:pStyle w:val="Appendix2"/>
      </w:pPr>
      <w:bookmarkStart w:id="53" w:name="_Toc211513093"/>
      <w:r>
        <w:t>Logo Variants</w:t>
      </w:r>
      <w:bookmarkEnd w:id="53"/>
    </w:p>
    <w:p w14:paraId="77D5155F" w14:textId="7A77C960" w:rsidR="00143043" w:rsidRDefault="005C1C4D" w:rsidP="00143043">
      <w:r w:rsidRPr="00230254">
        <w:rPr>
          <w:rStyle w:val="RedColour"/>
          <w:rFonts w:asciiTheme="majorHAnsi" w:eastAsia="Times New Roman" w:hAnsiTheme="majorHAnsi" w:cstheme="majorHAnsi"/>
          <w:noProof/>
          <w:color w:val="000000" w:themeColor="text1"/>
        </w:rPr>
        <w:drawing>
          <wp:inline distT="0" distB="0" distL="0" distR="0" wp14:anchorId="60756BBF" wp14:editId="238E8B9E">
            <wp:extent cx="5731510" cy="2452480"/>
            <wp:effectExtent l="0" t="0" r="2540" b="5080"/>
            <wp:docPr id="1520375114" name="Picture 1"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75114" name="Picture 1" descr="A group of text on a white background&#10;&#10;AI-generated content may be incorrect."/>
                    <pic:cNvPicPr/>
                  </pic:nvPicPr>
                  <pic:blipFill>
                    <a:blip r:embed="rId20"/>
                    <a:stretch>
                      <a:fillRect/>
                    </a:stretch>
                  </pic:blipFill>
                  <pic:spPr>
                    <a:xfrm>
                      <a:off x="0" y="0"/>
                      <a:ext cx="5731510" cy="2452480"/>
                    </a:xfrm>
                    <a:prstGeom prst="rect">
                      <a:avLst/>
                    </a:prstGeom>
                  </pic:spPr>
                </pic:pic>
              </a:graphicData>
            </a:graphic>
          </wp:inline>
        </w:drawing>
      </w:r>
    </w:p>
    <w:p w14:paraId="3E00BA14" w14:textId="2AF8605E" w:rsidR="005C1C4D" w:rsidRDefault="008037B5" w:rsidP="007C0D70">
      <w:pPr>
        <w:pStyle w:val="Appendix2"/>
      </w:pPr>
      <w:bookmarkStart w:id="54" w:name="_Toc211513094"/>
      <w:r w:rsidRPr="008037B5">
        <w:t>Logo Usage</w:t>
      </w:r>
      <w:bookmarkEnd w:id="54"/>
    </w:p>
    <w:p w14:paraId="187ACFDB" w14:textId="4247180A" w:rsidR="008037B5" w:rsidRDefault="004E2ED8" w:rsidP="00143043">
      <w:r w:rsidRPr="00230254">
        <w:rPr>
          <w:rStyle w:val="RedColour"/>
          <w:rFonts w:asciiTheme="majorHAnsi" w:eastAsia="Times New Roman" w:hAnsiTheme="majorHAnsi" w:cstheme="majorHAnsi"/>
          <w:noProof/>
          <w:color w:val="000000" w:themeColor="text1"/>
        </w:rPr>
        <w:drawing>
          <wp:inline distT="0" distB="0" distL="0" distR="0" wp14:anchorId="3C7218AA" wp14:editId="4F88062D">
            <wp:extent cx="5731510" cy="3559603"/>
            <wp:effectExtent l="0" t="0" r="2540" b="3175"/>
            <wp:docPr id="4011239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23922" name="Picture 1"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559603"/>
                    </a:xfrm>
                    <a:prstGeom prst="rect">
                      <a:avLst/>
                    </a:prstGeom>
                    <a:noFill/>
                  </pic:spPr>
                </pic:pic>
              </a:graphicData>
            </a:graphic>
          </wp:inline>
        </w:drawing>
      </w:r>
    </w:p>
    <w:p w14:paraId="2494FCA8" w14:textId="56027C8A" w:rsidR="00BB79B4" w:rsidRDefault="00BB79B4" w:rsidP="00143043">
      <w:r>
        <w:br w:type="page"/>
      </w:r>
    </w:p>
    <w:p w14:paraId="3B011D2C" w14:textId="0D0C6611" w:rsidR="00491E13" w:rsidRDefault="00491E13" w:rsidP="007C0D70">
      <w:pPr>
        <w:pStyle w:val="Appendix1"/>
      </w:pPr>
      <w:bookmarkStart w:id="55" w:name="_Toc211513095"/>
      <w:r>
        <w:lastRenderedPageBreak/>
        <w:t>SITE HEALTH AND SAFETY FILE REQUIREMENTS</w:t>
      </w:r>
      <w:bookmarkEnd w:id="55"/>
    </w:p>
    <w:p w14:paraId="34C90038" w14:textId="2D05D216" w:rsidR="00491E13" w:rsidRDefault="00491E13" w:rsidP="007C0D70">
      <w:pPr>
        <w:pStyle w:val="Appendix2"/>
      </w:pPr>
      <w:bookmarkStart w:id="56" w:name="_Toc211513096"/>
      <w:r>
        <w:t>Overview</w:t>
      </w:r>
      <w:bookmarkEnd w:id="56"/>
    </w:p>
    <w:p w14:paraId="463E5B58" w14:textId="77777777" w:rsidR="007C0D70" w:rsidRDefault="00491E13" w:rsidP="00491E13">
      <w:pPr>
        <w:pStyle w:val="Appendix3"/>
      </w:pPr>
      <w:r>
        <w:t>The Concessionaire shall prepare and maintain a health and safety file for each charge point site in accordance with the guidance provided in Appendix 4 of the Health and Safety Executive's "Managing health and safety in construction, Construction (Design and Management) Regulations 2015, Guidance on Regulations, L153, Published 2015".</w:t>
      </w:r>
    </w:p>
    <w:p w14:paraId="7344E3DA" w14:textId="68FF7EB2" w:rsidR="007C0D70" w:rsidRDefault="00491E13" w:rsidP="00491E13">
      <w:pPr>
        <w:pStyle w:val="Appendix3"/>
      </w:pPr>
      <w:r>
        <w:t xml:space="preserve">The Concessionaire shall provide a copy of the health and safety file for each charge point site to the </w:t>
      </w:r>
      <w:r w:rsidR="00544048">
        <w:t>Council</w:t>
      </w:r>
      <w:r>
        <w:t>: on completion of the installation, testing and commissioning activities at each site (i.e., at the end of site delivery); and as the file is updated from time to time in accordance with the requirements of section A.</w:t>
      </w:r>
      <w:r w:rsidR="006B596A">
        <w:t>7</w:t>
      </w:r>
      <w:r>
        <w:t>.9.10.</w:t>
      </w:r>
    </w:p>
    <w:p w14:paraId="0214B912" w14:textId="1CFB115F" w:rsidR="007C0D70" w:rsidRDefault="00491E13" w:rsidP="00491E13">
      <w:pPr>
        <w:pStyle w:val="Appendix3"/>
      </w:pPr>
      <w:r>
        <w:t xml:space="preserve">The Concessionaire shall also provide relevant parts of the health and safety file for each charge point site to each site’s landlord so that the landlord is fully informed about the charge point and the associated infrastructure, and how they may affect health, safety and welfare during any construction </w:t>
      </w:r>
      <w:r w:rsidR="001F579B">
        <w:t>W</w:t>
      </w:r>
      <w:r>
        <w:t>orks the landlord may undertake.</w:t>
      </w:r>
    </w:p>
    <w:p w14:paraId="7E708C86" w14:textId="20F8C11A" w:rsidR="00491E13" w:rsidRDefault="00491E13" w:rsidP="00491E13">
      <w:pPr>
        <w:pStyle w:val="Appendix3"/>
      </w:pPr>
      <w:r>
        <w:t>The health and safety file documentation shall be complete, comprehensive and co-ordinated with a uniform style and presentation; and supplied in electronic format with comprehensive contents and index pages, and electronic links to and from individual parts of the documentation.</w:t>
      </w:r>
    </w:p>
    <w:p w14:paraId="3ECBEFAF" w14:textId="6D304107" w:rsidR="00491E13" w:rsidRDefault="00491E13" w:rsidP="007C0D70">
      <w:pPr>
        <w:pStyle w:val="Appendix2"/>
      </w:pPr>
      <w:bookmarkStart w:id="57" w:name="_Toc211513097"/>
      <w:r>
        <w:t>Health and Safety File Contents</w:t>
      </w:r>
      <w:bookmarkEnd w:id="57"/>
    </w:p>
    <w:p w14:paraId="30B6E1EB" w14:textId="5863DEF4" w:rsidR="00491E13" w:rsidRDefault="00491E13" w:rsidP="007C0D70">
      <w:pPr>
        <w:pStyle w:val="Appendix3"/>
      </w:pPr>
      <w:r>
        <w:t xml:space="preserve">In addition to other items required by Appendix 4 of the Health and Safety Executive's "Managing health and safety in construction, Construction (Design and Management) Regulations 2015, Guidance on Regulations, L153, </w:t>
      </w:r>
      <w:proofErr w:type="gramStart"/>
      <w:r>
        <w:t>Published</w:t>
      </w:r>
      <w:proofErr w:type="gramEnd"/>
      <w:r>
        <w:t xml:space="preserve"> 2015", the health and safety file for each site shall include:</w:t>
      </w:r>
    </w:p>
    <w:p w14:paraId="2E2CB84D" w14:textId="69953BCF" w:rsidR="007C0D70" w:rsidRDefault="00491E13" w:rsidP="000F1D81">
      <w:pPr>
        <w:pStyle w:val="ListNumberNoSpacing2"/>
        <w:numPr>
          <w:ilvl w:val="1"/>
          <w:numId w:val="66"/>
        </w:numPr>
      </w:pPr>
      <w:r>
        <w:t xml:space="preserve">asset inventory data for population of the </w:t>
      </w:r>
      <w:r w:rsidR="00544048">
        <w:t>Council</w:t>
      </w:r>
      <w:r>
        <w:t xml:space="preserve">’s asset management </w:t>
      </w:r>
      <w:proofErr w:type="gramStart"/>
      <w:r>
        <w:t>systems;</w:t>
      </w:r>
      <w:proofErr w:type="gramEnd"/>
    </w:p>
    <w:p w14:paraId="14FA2742" w14:textId="4B252BBD" w:rsidR="007C0D70" w:rsidRDefault="00491E13" w:rsidP="000F1D81">
      <w:pPr>
        <w:pStyle w:val="ListNumberNoSpacing2"/>
        <w:numPr>
          <w:ilvl w:val="1"/>
          <w:numId w:val="66"/>
        </w:numPr>
      </w:pPr>
      <w:r>
        <w:t xml:space="preserve">operations and maintenance (O&amp;M) manuals for the equipment being supplied and installed under the </w:t>
      </w:r>
      <w:r w:rsidR="004E7120">
        <w:t>Concession Agreement</w:t>
      </w:r>
      <w:r>
        <w:t>; and</w:t>
      </w:r>
    </w:p>
    <w:p w14:paraId="493DBF94" w14:textId="1B6840BA" w:rsidR="00491E13" w:rsidRDefault="00491E13" w:rsidP="000F1D81">
      <w:pPr>
        <w:pStyle w:val="ListNumberNoSpacing2"/>
        <w:numPr>
          <w:ilvl w:val="1"/>
          <w:numId w:val="66"/>
        </w:numPr>
      </w:pPr>
      <w:r>
        <w:t xml:space="preserve">as-built documentation for the infrastructure being provided under the </w:t>
      </w:r>
      <w:r w:rsidR="004E7120">
        <w:t>Concession Agreement</w:t>
      </w:r>
      <w:r>
        <w:t>.</w:t>
      </w:r>
    </w:p>
    <w:p w14:paraId="51F16F2B" w14:textId="77777777" w:rsidR="007C0D70" w:rsidRDefault="00491E13" w:rsidP="00491E13">
      <w:pPr>
        <w:pStyle w:val="Appendix3"/>
      </w:pPr>
      <w:r>
        <w:t>Asset inventory data shall include the including the following information for each feeder pillar cabinet and charge point unit:</w:t>
      </w:r>
    </w:p>
    <w:p w14:paraId="3CCFC2B8" w14:textId="77777777" w:rsidR="007C0D70" w:rsidRDefault="00491E13" w:rsidP="000F1D81">
      <w:pPr>
        <w:pStyle w:val="ListNumberNoSpacing2"/>
        <w:numPr>
          <w:ilvl w:val="1"/>
          <w:numId w:val="67"/>
        </w:numPr>
      </w:pPr>
      <w:r>
        <w:t xml:space="preserve">serial or unique identification </w:t>
      </w:r>
      <w:proofErr w:type="gramStart"/>
      <w:r>
        <w:t>number;</w:t>
      </w:r>
      <w:proofErr w:type="gramEnd"/>
    </w:p>
    <w:p w14:paraId="165AB133" w14:textId="77777777" w:rsidR="007C0D70" w:rsidRDefault="00491E13" w:rsidP="000F1D81">
      <w:pPr>
        <w:pStyle w:val="ListNumberNoSpacing2"/>
        <w:numPr>
          <w:ilvl w:val="1"/>
          <w:numId w:val="67"/>
        </w:numPr>
      </w:pPr>
      <w:r>
        <w:t xml:space="preserve">location provided as latitude and </w:t>
      </w:r>
      <w:proofErr w:type="gramStart"/>
      <w:r>
        <w:t>longitude;</w:t>
      </w:r>
      <w:proofErr w:type="gramEnd"/>
      <w:r>
        <w:t xml:space="preserve"> </w:t>
      </w:r>
    </w:p>
    <w:p w14:paraId="70D08E20" w14:textId="77777777" w:rsidR="007C0D70" w:rsidRDefault="00491E13" w:rsidP="000F1D81">
      <w:pPr>
        <w:pStyle w:val="ListNumberNoSpacing2"/>
        <w:numPr>
          <w:ilvl w:val="1"/>
          <w:numId w:val="67"/>
        </w:numPr>
      </w:pPr>
      <w:r>
        <w:lastRenderedPageBreak/>
        <w:t xml:space="preserve">installation </w:t>
      </w:r>
      <w:proofErr w:type="gramStart"/>
      <w:r>
        <w:t>date;</w:t>
      </w:r>
      <w:proofErr w:type="gramEnd"/>
    </w:p>
    <w:p w14:paraId="5D60D3E0" w14:textId="77777777" w:rsidR="007C0D70" w:rsidRDefault="00491E13" w:rsidP="000F1D81">
      <w:pPr>
        <w:pStyle w:val="ListNumberNoSpacing2"/>
        <w:numPr>
          <w:ilvl w:val="1"/>
          <w:numId w:val="67"/>
        </w:numPr>
      </w:pPr>
      <w:r>
        <w:t xml:space="preserve">communications addressing </w:t>
      </w:r>
      <w:proofErr w:type="gramStart"/>
      <w:r>
        <w:t>information;</w:t>
      </w:r>
      <w:proofErr w:type="gramEnd"/>
    </w:p>
    <w:p w14:paraId="498CA3B2" w14:textId="77777777" w:rsidR="007C0D70" w:rsidRDefault="00491E13" w:rsidP="000F1D81">
      <w:pPr>
        <w:pStyle w:val="ListNumberNoSpacing2"/>
        <w:numPr>
          <w:ilvl w:val="1"/>
          <w:numId w:val="67"/>
        </w:numPr>
      </w:pPr>
      <w:r>
        <w:t xml:space="preserve">electricity supply information </w:t>
      </w:r>
      <w:proofErr w:type="gramStart"/>
      <w:r>
        <w:t>including:</w:t>
      </w:r>
      <w:proofErr w:type="gramEnd"/>
      <w:r>
        <w:t xml:space="preserve"> meter identifier; energy supplier; and distribution network operator.</w:t>
      </w:r>
    </w:p>
    <w:p w14:paraId="1DC7D68D" w14:textId="77777777" w:rsidR="007C0D70" w:rsidRDefault="00491E13" w:rsidP="000F1D81">
      <w:pPr>
        <w:pStyle w:val="ListNumberNoSpacing2"/>
        <w:numPr>
          <w:ilvl w:val="1"/>
          <w:numId w:val="67"/>
        </w:numPr>
      </w:pPr>
      <w:r>
        <w:t xml:space="preserve">site access instructions, with identified safety issues and </w:t>
      </w:r>
      <w:proofErr w:type="gramStart"/>
      <w:r>
        <w:t>mitigations;</w:t>
      </w:r>
      <w:proofErr w:type="gramEnd"/>
    </w:p>
    <w:p w14:paraId="6DFB6AFF" w14:textId="77777777" w:rsidR="007C0D70" w:rsidRDefault="00491E13" w:rsidP="000F1D81">
      <w:pPr>
        <w:pStyle w:val="ListNumberNoSpacing2"/>
        <w:numPr>
          <w:ilvl w:val="1"/>
          <w:numId w:val="67"/>
        </w:numPr>
      </w:pPr>
      <w:r>
        <w:t xml:space="preserve">maintenance arrangements such as the frequency and type of each maintenance </w:t>
      </w:r>
      <w:proofErr w:type="gramStart"/>
      <w:r>
        <w:t>task;</w:t>
      </w:r>
      <w:proofErr w:type="gramEnd"/>
    </w:p>
    <w:p w14:paraId="1E804CDC" w14:textId="77777777" w:rsidR="007C0D70" w:rsidRDefault="00491E13" w:rsidP="000F1D81">
      <w:pPr>
        <w:pStyle w:val="ListNumberNoSpacing2"/>
        <w:numPr>
          <w:ilvl w:val="1"/>
          <w:numId w:val="67"/>
        </w:numPr>
      </w:pPr>
      <w:r>
        <w:t>information on manufacturers’ warranties, including the start date and period; and</w:t>
      </w:r>
    </w:p>
    <w:p w14:paraId="4D7E08BC" w14:textId="791E67C8" w:rsidR="00491E13" w:rsidRDefault="00491E13" w:rsidP="000F1D81">
      <w:pPr>
        <w:pStyle w:val="ListNumberNoSpacing2"/>
        <w:numPr>
          <w:ilvl w:val="1"/>
          <w:numId w:val="67"/>
        </w:numPr>
      </w:pPr>
      <w:r>
        <w:t>a schedule of line replaceable units or modules.</w:t>
      </w:r>
    </w:p>
    <w:p w14:paraId="7721E391" w14:textId="151F9DDA" w:rsidR="00491E13" w:rsidRDefault="00491E13" w:rsidP="007C0D70">
      <w:pPr>
        <w:pStyle w:val="Appendix3"/>
      </w:pPr>
      <w:r>
        <w:t>Asset inventory data shall include the following information for each line replaceable unit or module forming part of a charge point unit:</w:t>
      </w:r>
    </w:p>
    <w:p w14:paraId="1064AA92" w14:textId="77777777" w:rsidR="007C0D70" w:rsidRDefault="00491E13" w:rsidP="000F1D81">
      <w:pPr>
        <w:pStyle w:val="ListNumberNoSpacing2"/>
        <w:numPr>
          <w:ilvl w:val="1"/>
          <w:numId w:val="68"/>
        </w:numPr>
      </w:pPr>
      <w:r>
        <w:t xml:space="preserve">serial or unique identification number – can be bar </w:t>
      </w:r>
      <w:proofErr w:type="gramStart"/>
      <w:r>
        <w:t>coded;</w:t>
      </w:r>
      <w:proofErr w:type="gramEnd"/>
    </w:p>
    <w:p w14:paraId="7A36619F" w14:textId="77777777" w:rsidR="007C0D70" w:rsidRDefault="00491E13" w:rsidP="000F1D81">
      <w:pPr>
        <w:pStyle w:val="ListNumberNoSpacing2"/>
        <w:numPr>
          <w:ilvl w:val="1"/>
          <w:numId w:val="68"/>
        </w:numPr>
      </w:pPr>
      <w:r>
        <w:t>type of equipment</w:t>
      </w:r>
    </w:p>
    <w:p w14:paraId="6AA88AD9" w14:textId="77777777" w:rsidR="007C0D70" w:rsidRDefault="00491E13" w:rsidP="000F1D81">
      <w:pPr>
        <w:pStyle w:val="ListNumberNoSpacing2"/>
        <w:numPr>
          <w:ilvl w:val="1"/>
          <w:numId w:val="68"/>
        </w:numPr>
      </w:pPr>
      <w:proofErr w:type="gramStart"/>
      <w:r>
        <w:t>manufacturer;</w:t>
      </w:r>
      <w:proofErr w:type="gramEnd"/>
    </w:p>
    <w:p w14:paraId="7D84A624" w14:textId="77777777" w:rsidR="007C0D70" w:rsidRDefault="00491E13" w:rsidP="000F1D81">
      <w:pPr>
        <w:pStyle w:val="ListNumberNoSpacing2"/>
        <w:numPr>
          <w:ilvl w:val="1"/>
          <w:numId w:val="68"/>
        </w:numPr>
      </w:pPr>
      <w:r>
        <w:t xml:space="preserve">manufacturer’s model </w:t>
      </w:r>
      <w:proofErr w:type="gramStart"/>
      <w:r>
        <w:t>identifier;</w:t>
      </w:r>
      <w:proofErr w:type="gramEnd"/>
    </w:p>
    <w:p w14:paraId="2FCD7691" w14:textId="77777777" w:rsidR="007C0D70" w:rsidRDefault="00491E13" w:rsidP="000F1D81">
      <w:pPr>
        <w:pStyle w:val="ListNumberNoSpacing2"/>
        <w:numPr>
          <w:ilvl w:val="1"/>
          <w:numId w:val="68"/>
        </w:numPr>
      </w:pPr>
      <w:r>
        <w:t xml:space="preserve">any hardware version supplementary to the model </w:t>
      </w:r>
      <w:proofErr w:type="gramStart"/>
      <w:r>
        <w:t>identifier;</w:t>
      </w:r>
      <w:proofErr w:type="gramEnd"/>
    </w:p>
    <w:p w14:paraId="570E9A82" w14:textId="77777777" w:rsidR="007C0D70" w:rsidRDefault="00491E13" w:rsidP="000F1D81">
      <w:pPr>
        <w:pStyle w:val="ListNumberNoSpacing2"/>
        <w:numPr>
          <w:ilvl w:val="1"/>
          <w:numId w:val="68"/>
        </w:numPr>
      </w:pPr>
      <w:r>
        <w:t xml:space="preserve">manufacturer serial </w:t>
      </w:r>
      <w:proofErr w:type="gramStart"/>
      <w:r>
        <w:t>number;</w:t>
      </w:r>
      <w:proofErr w:type="gramEnd"/>
    </w:p>
    <w:p w14:paraId="3F04B1E9" w14:textId="77777777" w:rsidR="007C0D70" w:rsidRDefault="00491E13" w:rsidP="000F1D81">
      <w:pPr>
        <w:pStyle w:val="ListNumberNoSpacing2"/>
        <w:numPr>
          <w:ilvl w:val="1"/>
          <w:numId w:val="68"/>
        </w:numPr>
      </w:pPr>
      <w:r>
        <w:t xml:space="preserve">software </w:t>
      </w:r>
      <w:proofErr w:type="gramStart"/>
      <w:r>
        <w:t>version;</w:t>
      </w:r>
      <w:proofErr w:type="gramEnd"/>
    </w:p>
    <w:p w14:paraId="577FF52A" w14:textId="77777777" w:rsidR="007C0D70" w:rsidRDefault="00491E13" w:rsidP="000F1D81">
      <w:pPr>
        <w:pStyle w:val="ListNumberNoSpacing2"/>
        <w:numPr>
          <w:ilvl w:val="1"/>
          <w:numId w:val="68"/>
        </w:numPr>
      </w:pPr>
      <w:r>
        <w:t>power consumption (quiescent and in use); and</w:t>
      </w:r>
    </w:p>
    <w:p w14:paraId="1FB47BF4" w14:textId="463E1A33" w:rsidR="00491E13" w:rsidRDefault="00491E13" w:rsidP="000F1D81">
      <w:pPr>
        <w:pStyle w:val="ListNumberNoSpacing2"/>
        <w:numPr>
          <w:ilvl w:val="1"/>
          <w:numId w:val="68"/>
        </w:numPr>
      </w:pPr>
      <w:r>
        <w:t>manufactured date.</w:t>
      </w:r>
    </w:p>
    <w:p w14:paraId="6A040F23" w14:textId="760411FE" w:rsidR="00491E13" w:rsidRDefault="00491E13" w:rsidP="007C0D70">
      <w:pPr>
        <w:pStyle w:val="Appendix3"/>
      </w:pPr>
      <w:r>
        <w:t>O&amp;M manuals shall include:</w:t>
      </w:r>
    </w:p>
    <w:p w14:paraId="3CD8DC75" w14:textId="77777777" w:rsidR="007C0D70" w:rsidRDefault="00491E13" w:rsidP="000F1D81">
      <w:pPr>
        <w:pStyle w:val="ListNumberNoSpacing2"/>
        <w:numPr>
          <w:ilvl w:val="1"/>
          <w:numId w:val="69"/>
        </w:numPr>
      </w:pPr>
      <w:r>
        <w:t>specific information about each item of equipment supplied and its configuration and interfaces with other equipment upon handover.</w:t>
      </w:r>
    </w:p>
    <w:p w14:paraId="6232481A" w14:textId="1722CCAB" w:rsidR="007C0D70" w:rsidRDefault="00491E13" w:rsidP="000F1D81">
      <w:pPr>
        <w:pStyle w:val="ListNumberNoSpacing2"/>
        <w:numPr>
          <w:ilvl w:val="1"/>
          <w:numId w:val="69"/>
        </w:numPr>
      </w:pPr>
      <w:r>
        <w:t xml:space="preserve">sufficiently detailed information to allow the Concessionaire, the </w:t>
      </w:r>
      <w:r w:rsidR="00544048">
        <w:t>Council</w:t>
      </w:r>
      <w:r>
        <w:t xml:space="preserve"> or a third party to:</w:t>
      </w:r>
    </w:p>
    <w:p w14:paraId="1A8FBA55" w14:textId="77777777" w:rsidR="007C0D70" w:rsidRDefault="00491E13" w:rsidP="000F1D81">
      <w:pPr>
        <w:pStyle w:val="ListNumberNoSpacing2"/>
        <w:numPr>
          <w:ilvl w:val="2"/>
          <w:numId w:val="69"/>
        </w:numPr>
      </w:pPr>
      <w:r>
        <w:t xml:space="preserve">operate the equipment </w:t>
      </w:r>
      <w:proofErr w:type="gramStart"/>
      <w:r>
        <w:t>safely;</w:t>
      </w:r>
      <w:proofErr w:type="gramEnd"/>
    </w:p>
    <w:p w14:paraId="0B1ADC26" w14:textId="77777777" w:rsidR="007C0D70" w:rsidRDefault="00491E13" w:rsidP="000F1D81">
      <w:pPr>
        <w:pStyle w:val="ListNumberNoSpacing2"/>
        <w:numPr>
          <w:ilvl w:val="2"/>
          <w:numId w:val="69"/>
        </w:numPr>
      </w:pPr>
      <w:r>
        <w:t xml:space="preserve">safely undertake maintenance of the </w:t>
      </w:r>
      <w:proofErr w:type="gramStart"/>
      <w:r>
        <w:t>equipment;</w:t>
      </w:r>
      <w:proofErr w:type="gramEnd"/>
    </w:p>
    <w:p w14:paraId="646F7374" w14:textId="77777777" w:rsidR="007C0D70" w:rsidRDefault="00491E13" w:rsidP="000F1D81">
      <w:pPr>
        <w:pStyle w:val="ListNumberNoSpacing2"/>
        <w:numPr>
          <w:ilvl w:val="2"/>
          <w:numId w:val="69"/>
        </w:numPr>
      </w:pPr>
      <w:r>
        <w:t>safely install, commission and decommission the equipment; and</w:t>
      </w:r>
    </w:p>
    <w:p w14:paraId="42A4DFF1" w14:textId="5E14F107" w:rsidR="00491E13" w:rsidRDefault="00491E13" w:rsidP="000F1D81">
      <w:pPr>
        <w:pStyle w:val="ListNumberNoSpacing2"/>
        <w:numPr>
          <w:ilvl w:val="2"/>
          <w:numId w:val="69"/>
        </w:numPr>
      </w:pPr>
      <w:r>
        <w:t>dispose of the equipment in a safe and environmentally satisfactory manner.</w:t>
      </w:r>
    </w:p>
    <w:p w14:paraId="11F41A45" w14:textId="77777777" w:rsidR="007C0D70" w:rsidRDefault="00491E13" w:rsidP="00491E13">
      <w:pPr>
        <w:pStyle w:val="Appendix3"/>
      </w:pPr>
      <w:r>
        <w:t>O&amp;M manuals shall also include the following:</w:t>
      </w:r>
    </w:p>
    <w:p w14:paraId="2954B5BF" w14:textId="77777777" w:rsidR="007C0D70" w:rsidRDefault="00491E13" w:rsidP="000F1D81">
      <w:pPr>
        <w:pStyle w:val="ListNumberNoSpacing2"/>
        <w:numPr>
          <w:ilvl w:val="1"/>
          <w:numId w:val="70"/>
        </w:numPr>
      </w:pPr>
      <w:r>
        <w:t xml:space="preserve">operating </w:t>
      </w:r>
      <w:proofErr w:type="gramStart"/>
      <w:r>
        <w:t>instructions;</w:t>
      </w:r>
      <w:proofErr w:type="gramEnd"/>
    </w:p>
    <w:p w14:paraId="27A6CCB9" w14:textId="77777777" w:rsidR="007C0D70" w:rsidRDefault="00491E13" w:rsidP="000F1D81">
      <w:pPr>
        <w:pStyle w:val="ListNumberNoSpacing2"/>
        <w:numPr>
          <w:ilvl w:val="1"/>
          <w:numId w:val="70"/>
        </w:numPr>
      </w:pPr>
      <w:r>
        <w:t xml:space="preserve">configuration </w:t>
      </w:r>
      <w:proofErr w:type="gramStart"/>
      <w:r>
        <w:t>data;</w:t>
      </w:r>
      <w:proofErr w:type="gramEnd"/>
    </w:p>
    <w:p w14:paraId="6A64D511" w14:textId="77777777" w:rsidR="007C0D70" w:rsidRDefault="00491E13" w:rsidP="000F1D81">
      <w:pPr>
        <w:pStyle w:val="ListNumberNoSpacing2"/>
        <w:numPr>
          <w:ilvl w:val="1"/>
          <w:numId w:val="70"/>
        </w:numPr>
      </w:pPr>
      <w:r>
        <w:t xml:space="preserve">lists of parts, their manufacturers, part numbers and serial </w:t>
      </w:r>
      <w:proofErr w:type="gramStart"/>
      <w:r>
        <w:t>numbers;</w:t>
      </w:r>
      <w:proofErr w:type="gramEnd"/>
    </w:p>
    <w:p w14:paraId="2269C2EA" w14:textId="77777777" w:rsidR="007C0D70" w:rsidRDefault="00491E13" w:rsidP="000F1D81">
      <w:pPr>
        <w:pStyle w:val="ListNumberNoSpacing2"/>
        <w:numPr>
          <w:ilvl w:val="1"/>
          <w:numId w:val="70"/>
        </w:numPr>
      </w:pPr>
      <w:r>
        <w:lastRenderedPageBreak/>
        <w:t xml:space="preserve">schematic drawings identifying the normal position of all parts relative to </w:t>
      </w:r>
      <w:proofErr w:type="gramStart"/>
      <w:r>
        <w:t>each other;</w:t>
      </w:r>
      <w:proofErr w:type="gramEnd"/>
    </w:p>
    <w:p w14:paraId="12B59BAA" w14:textId="77777777" w:rsidR="007C0D70" w:rsidRDefault="00491E13" w:rsidP="000F1D81">
      <w:pPr>
        <w:pStyle w:val="ListNumberNoSpacing2"/>
        <w:numPr>
          <w:ilvl w:val="1"/>
          <w:numId w:val="70"/>
        </w:numPr>
      </w:pPr>
      <w:r>
        <w:t xml:space="preserve">circuit </w:t>
      </w:r>
      <w:proofErr w:type="gramStart"/>
      <w:r>
        <w:t>diagrams;</w:t>
      </w:r>
      <w:proofErr w:type="gramEnd"/>
    </w:p>
    <w:p w14:paraId="0A381D86" w14:textId="77777777" w:rsidR="007C0D70" w:rsidRDefault="00491E13" w:rsidP="000F1D81">
      <w:pPr>
        <w:pStyle w:val="ListNumberNoSpacing2"/>
        <w:numPr>
          <w:ilvl w:val="1"/>
          <w:numId w:val="70"/>
        </w:numPr>
      </w:pPr>
      <w:r>
        <w:t xml:space="preserve">routine service and maintenance procedures including the scope and frequency of electrical inspection and </w:t>
      </w:r>
      <w:proofErr w:type="gramStart"/>
      <w:r>
        <w:t>testing;</w:t>
      </w:r>
      <w:proofErr w:type="gramEnd"/>
    </w:p>
    <w:p w14:paraId="31CC8AE8" w14:textId="77777777" w:rsidR="007C0D70" w:rsidRDefault="00491E13" w:rsidP="000F1D81">
      <w:pPr>
        <w:pStyle w:val="ListNumberNoSpacing2"/>
        <w:numPr>
          <w:ilvl w:val="1"/>
          <w:numId w:val="70"/>
        </w:numPr>
      </w:pPr>
      <w:r>
        <w:t xml:space="preserve">troubleshooting </w:t>
      </w:r>
      <w:proofErr w:type="gramStart"/>
      <w:r>
        <w:t>guidance;</w:t>
      </w:r>
      <w:proofErr w:type="gramEnd"/>
    </w:p>
    <w:p w14:paraId="318FD057" w14:textId="77777777" w:rsidR="007C0D70" w:rsidRDefault="00491E13" w:rsidP="000F1D81">
      <w:pPr>
        <w:pStyle w:val="ListNumberNoSpacing2"/>
        <w:numPr>
          <w:ilvl w:val="1"/>
          <w:numId w:val="70"/>
        </w:numPr>
      </w:pPr>
      <w:r>
        <w:t xml:space="preserve">fault diagnostic </w:t>
      </w:r>
      <w:proofErr w:type="gramStart"/>
      <w:r>
        <w:t>features;</w:t>
      </w:r>
      <w:proofErr w:type="gramEnd"/>
    </w:p>
    <w:p w14:paraId="20D4FF1F" w14:textId="77777777" w:rsidR="007C0D70" w:rsidRDefault="00491E13" w:rsidP="000F1D81">
      <w:pPr>
        <w:pStyle w:val="ListNumberNoSpacing2"/>
        <w:numPr>
          <w:ilvl w:val="1"/>
          <w:numId w:val="70"/>
        </w:numPr>
      </w:pPr>
      <w:r>
        <w:t xml:space="preserve">testing and commissioning </w:t>
      </w:r>
      <w:proofErr w:type="gramStart"/>
      <w:r>
        <w:t>procedures;</w:t>
      </w:r>
      <w:proofErr w:type="gramEnd"/>
    </w:p>
    <w:p w14:paraId="7E75016E" w14:textId="77777777" w:rsidR="007C0D70" w:rsidRDefault="00491E13" w:rsidP="000F1D81">
      <w:pPr>
        <w:pStyle w:val="ListNumberNoSpacing2"/>
        <w:numPr>
          <w:ilvl w:val="1"/>
          <w:numId w:val="70"/>
        </w:numPr>
      </w:pPr>
      <w:r>
        <w:t>decommissioning procedures, including procedures for disposing of parts containing hazardous substances; and</w:t>
      </w:r>
    </w:p>
    <w:p w14:paraId="1706A77C" w14:textId="22B7C107" w:rsidR="00491E13" w:rsidRDefault="00491E13" w:rsidP="000F1D81">
      <w:pPr>
        <w:pStyle w:val="ListNumberNoSpacing2"/>
        <w:numPr>
          <w:ilvl w:val="1"/>
          <w:numId w:val="70"/>
        </w:numPr>
      </w:pPr>
      <w:r>
        <w:t>any additional health and safety information pertinent to the future maintenance, cleaning, alteration or dismantling of the equipment.</w:t>
      </w:r>
    </w:p>
    <w:p w14:paraId="755406ED" w14:textId="421F3E77" w:rsidR="00491E13" w:rsidRDefault="00491E13" w:rsidP="007C0D70">
      <w:pPr>
        <w:pStyle w:val="Appendix3"/>
      </w:pPr>
      <w:r>
        <w:t>As-built documentation for infrastructure shall show and describe each feature of the infrastructure provided, and shall include:</w:t>
      </w:r>
    </w:p>
    <w:p w14:paraId="5DAD6640" w14:textId="77777777" w:rsidR="007C0D70" w:rsidRDefault="00491E13" w:rsidP="000F1D81">
      <w:pPr>
        <w:pStyle w:val="ListNumberNoSpacing2"/>
        <w:numPr>
          <w:ilvl w:val="1"/>
          <w:numId w:val="71"/>
        </w:numPr>
      </w:pPr>
      <w:r>
        <w:t xml:space="preserve">site layouts including the position, orientation, type of construction and construction methodology of all </w:t>
      </w:r>
      <w:proofErr w:type="gramStart"/>
      <w:r>
        <w:t>infrastructure;</w:t>
      </w:r>
      <w:proofErr w:type="gramEnd"/>
    </w:p>
    <w:p w14:paraId="4D1657C0" w14:textId="77777777" w:rsidR="007C0D70" w:rsidRDefault="00491E13" w:rsidP="000F1D81">
      <w:pPr>
        <w:pStyle w:val="ListNumberNoSpacing2"/>
        <w:numPr>
          <w:ilvl w:val="1"/>
          <w:numId w:val="71"/>
        </w:numPr>
      </w:pPr>
      <w:r>
        <w:t xml:space="preserve">electrical </w:t>
      </w:r>
      <w:proofErr w:type="gramStart"/>
      <w:r>
        <w:t>installations;</w:t>
      </w:r>
      <w:proofErr w:type="gramEnd"/>
    </w:p>
    <w:p w14:paraId="75EB87C1" w14:textId="77777777" w:rsidR="007C0D70" w:rsidRDefault="00491E13" w:rsidP="000F1D81">
      <w:pPr>
        <w:pStyle w:val="ListNumberNoSpacing2"/>
        <w:numPr>
          <w:ilvl w:val="1"/>
          <w:numId w:val="71"/>
        </w:numPr>
      </w:pPr>
      <w:r>
        <w:t>telecommunications installations; and</w:t>
      </w:r>
    </w:p>
    <w:p w14:paraId="1799578F" w14:textId="00B33456" w:rsidR="00491E13" w:rsidRDefault="00491E13" w:rsidP="000F1D81">
      <w:pPr>
        <w:pStyle w:val="ListNumberNoSpacing2"/>
        <w:numPr>
          <w:ilvl w:val="1"/>
          <w:numId w:val="71"/>
        </w:numPr>
      </w:pPr>
      <w:r>
        <w:t>test results and certificates.</w:t>
      </w:r>
    </w:p>
    <w:p w14:paraId="47AC4ED6" w14:textId="77777777" w:rsidR="007C0D70" w:rsidRDefault="00491E13" w:rsidP="00491E13">
      <w:pPr>
        <w:pStyle w:val="Appendix3"/>
      </w:pPr>
      <w:r>
        <w:t>Any additional health and safety information pertinent to the future maintenance, cleaning, alteration, extension, demolition or dismantling of an installation.</w:t>
      </w:r>
    </w:p>
    <w:p w14:paraId="301FEFB5" w14:textId="18C138CA" w:rsidR="00491E13" w:rsidRDefault="00491E13" w:rsidP="00491E13">
      <w:pPr>
        <w:pStyle w:val="Appendix3"/>
      </w:pPr>
      <w:r>
        <w:t>Test results and certificates to be provided shall include as a minimum:</w:t>
      </w:r>
    </w:p>
    <w:p w14:paraId="43BF5439" w14:textId="6A7F994A" w:rsidR="007C0D70" w:rsidRDefault="00491E13" w:rsidP="000F1D81">
      <w:pPr>
        <w:pStyle w:val="ListNumberNoSpacing2"/>
        <w:numPr>
          <w:ilvl w:val="1"/>
          <w:numId w:val="72"/>
        </w:numPr>
      </w:pPr>
      <w:r>
        <w:t xml:space="preserve">PAT results and certificates for all </w:t>
      </w:r>
      <w:proofErr w:type="gramStart"/>
      <w:r>
        <w:t>equipment;</w:t>
      </w:r>
      <w:proofErr w:type="gramEnd"/>
    </w:p>
    <w:p w14:paraId="13DA16FA" w14:textId="7E81439E" w:rsidR="007C0D70" w:rsidRDefault="00491E13" w:rsidP="000F1D81">
      <w:pPr>
        <w:pStyle w:val="ListNumberNoSpacing2"/>
        <w:numPr>
          <w:ilvl w:val="1"/>
          <w:numId w:val="72"/>
        </w:numPr>
      </w:pPr>
      <w:r>
        <w:t>SAT results and certificates for all equipment; and</w:t>
      </w:r>
    </w:p>
    <w:p w14:paraId="38709972" w14:textId="36A5DB48" w:rsidR="00BB79B4" w:rsidRDefault="00491E13" w:rsidP="000F1D81">
      <w:pPr>
        <w:pStyle w:val="ListNumberNoSpacing2"/>
        <w:numPr>
          <w:ilvl w:val="1"/>
          <w:numId w:val="72"/>
        </w:numPr>
      </w:pPr>
      <w:r>
        <w:t>electrical test and inspection results and certificates.</w:t>
      </w:r>
    </w:p>
    <w:p w14:paraId="5C93FFC9" w14:textId="0F4F55C0" w:rsidR="00B355EA" w:rsidRDefault="00B355EA" w:rsidP="00491E13">
      <w:r>
        <w:br w:type="page"/>
      </w:r>
    </w:p>
    <w:p w14:paraId="6AD17B31" w14:textId="30FDD4FA" w:rsidR="00B355EA" w:rsidRDefault="00B355EA" w:rsidP="007C0D70">
      <w:pPr>
        <w:pStyle w:val="Appendix1"/>
      </w:pPr>
      <w:bookmarkStart w:id="58" w:name="_Toc211513098"/>
      <w:r>
        <w:lastRenderedPageBreak/>
        <w:t>SITE OPERATIONS AND MAINTENANCE REQUIREMENTS</w:t>
      </w:r>
      <w:bookmarkEnd w:id="58"/>
    </w:p>
    <w:p w14:paraId="016FE716" w14:textId="58B1C446" w:rsidR="00B355EA" w:rsidRDefault="00B355EA" w:rsidP="007C0D70">
      <w:pPr>
        <w:pStyle w:val="Appendix2"/>
      </w:pPr>
      <w:bookmarkStart w:id="59" w:name="_Toc211513099"/>
      <w:r>
        <w:t>Overview</w:t>
      </w:r>
      <w:bookmarkEnd w:id="59"/>
    </w:p>
    <w:p w14:paraId="101FDC94" w14:textId="3F5BE9E4" w:rsidR="007C0D70" w:rsidRDefault="00B355EA" w:rsidP="00B355EA">
      <w:pPr>
        <w:pStyle w:val="Appendix3"/>
      </w:pPr>
      <w:r>
        <w:t xml:space="preserve">The Concessionaire shall retain and maintain full control of each charge point unit and the associated infrastructure throughout the </w:t>
      </w:r>
      <w:r w:rsidR="00BF6010">
        <w:t>term of the Concession Agreement</w:t>
      </w:r>
      <w:r>
        <w:t xml:space="preserve"> following installation (i.e. following completion of site delivery).</w:t>
      </w:r>
    </w:p>
    <w:p w14:paraId="698B741B" w14:textId="4C465FE1" w:rsidR="00B355EA" w:rsidRDefault="00B355EA" w:rsidP="00B355EA">
      <w:pPr>
        <w:pStyle w:val="Appendix3"/>
      </w:pPr>
      <w:r>
        <w:t xml:space="preserve">The Concessionaire may subcontract the maintenance element of the charge points to an approved third party, who is able to maintain the required performance requirements of the charge point and associated infrastructure throughout the </w:t>
      </w:r>
      <w:r w:rsidR="00DD4478">
        <w:t>term of the Concession Agreement</w:t>
      </w:r>
      <w:r>
        <w:t>.</w:t>
      </w:r>
    </w:p>
    <w:p w14:paraId="25F22599" w14:textId="3D2FE987" w:rsidR="00B355EA" w:rsidRDefault="00B355EA" w:rsidP="007C0D70">
      <w:pPr>
        <w:pStyle w:val="Appendix2"/>
      </w:pPr>
      <w:bookmarkStart w:id="60" w:name="_Toc211513100"/>
      <w:r>
        <w:t>Charge Point Availability</w:t>
      </w:r>
      <w:bookmarkEnd w:id="60"/>
    </w:p>
    <w:p w14:paraId="3E79602F" w14:textId="2D030AC5" w:rsidR="007C0D70" w:rsidRDefault="00B355EA" w:rsidP="00B355EA">
      <w:pPr>
        <w:pStyle w:val="Appendix3"/>
      </w:pPr>
      <w:r>
        <w:t>The Concessionaire, or approved third party, shall operate and maintain each charge point unit and the associated infrastructure so that, throughout the operational service life stated in section A.</w:t>
      </w:r>
      <w:r w:rsidR="00287049">
        <w:t>3</w:t>
      </w:r>
      <w:r>
        <w:t>.1, the charge point unit and all directly related parking, payment and support services shall be available from day 1 (i.e. upon commissioning) for use by electric vehicle users for at least 99% of any 12-Month rolling period, allowance having been made in the calculation of availability for periods of Force Majeure.</w:t>
      </w:r>
    </w:p>
    <w:p w14:paraId="7282C9DE" w14:textId="5ED5B08B" w:rsidR="007C0D70" w:rsidRDefault="00B355EA" w:rsidP="00B355EA">
      <w:pPr>
        <w:pStyle w:val="Appendix3"/>
      </w:pPr>
      <w:r>
        <w:t xml:space="preserve">The Concessionaire shall demonstrate compliance with </w:t>
      </w:r>
      <w:r w:rsidR="00290037">
        <w:t>the Service Levels under the Concession</w:t>
      </w:r>
      <w:r>
        <w:t xml:space="preserve"> through the provision of operational data in accordance with section A.</w:t>
      </w:r>
      <w:r w:rsidR="00287049">
        <w:t>7</w:t>
      </w:r>
      <w:r>
        <w:t>.7.</w:t>
      </w:r>
    </w:p>
    <w:p w14:paraId="2353FFD5" w14:textId="43FABB5F" w:rsidR="007C0D70" w:rsidRDefault="00B355EA" w:rsidP="00B355EA">
      <w:pPr>
        <w:pStyle w:val="Appendix3"/>
      </w:pPr>
      <w:r>
        <w:t xml:space="preserve">The Concessionaire shall be fully responsible for rectification of, and the associated costs of, damage and vandalism or other problems with the charging equipment including </w:t>
      </w:r>
      <w:proofErr w:type="spellStart"/>
      <w:r>
        <w:t>chargepoints</w:t>
      </w:r>
      <w:proofErr w:type="spellEnd"/>
      <w:r>
        <w:t xml:space="preserve">, groundworks, electrical infrastructure, canopies, superstructures, and all other associated hardware and equipment installed at each location throughout the duration of the </w:t>
      </w:r>
      <w:r w:rsidR="00730F22">
        <w:t>Concession Agreement</w:t>
      </w:r>
      <w:r>
        <w:t xml:space="preserve"> and any extension periods. Damage and vandalism </w:t>
      </w:r>
      <w:proofErr w:type="gramStart"/>
      <w:r>
        <w:t>includes</w:t>
      </w:r>
      <w:proofErr w:type="gramEnd"/>
      <w:r>
        <w:t xml:space="preserve"> all forms: damage during manufacture, installation, wear &amp; tear, accidental damage, negligent usage, user misuse, intentional and unauthorised modifications, and damage due to environmental conditions.</w:t>
      </w:r>
    </w:p>
    <w:p w14:paraId="3CE9C5EF" w14:textId="79ED61B1" w:rsidR="00B355EA" w:rsidRDefault="00B355EA" w:rsidP="00B355EA">
      <w:pPr>
        <w:pStyle w:val="Appendix3"/>
      </w:pPr>
      <w:r>
        <w:t xml:space="preserve">The Concessionaire shall be responsible, at its cost, for ongoing preventative and reactive servicing, maintenance, and repair, including replacement if required, of the charging equipment for the duration of the </w:t>
      </w:r>
      <w:r w:rsidR="00730F22">
        <w:t>Concession Agreement</w:t>
      </w:r>
      <w:r>
        <w:t xml:space="preserve"> and any extensions.</w:t>
      </w:r>
    </w:p>
    <w:p w14:paraId="7E1B6FA6" w14:textId="730734B8" w:rsidR="00B355EA" w:rsidRDefault="00B355EA" w:rsidP="007C0D70">
      <w:pPr>
        <w:pStyle w:val="Appendix2"/>
      </w:pPr>
      <w:bookmarkStart w:id="61" w:name="_Toc211513101"/>
      <w:r>
        <w:t>Back Office Systems</w:t>
      </w:r>
      <w:bookmarkEnd w:id="61"/>
    </w:p>
    <w:p w14:paraId="7D973501" w14:textId="7EA0C3F8" w:rsidR="00B355EA" w:rsidRDefault="00B355EA" w:rsidP="007C0D70">
      <w:pPr>
        <w:pStyle w:val="Appendix3"/>
      </w:pPr>
      <w:r>
        <w:lastRenderedPageBreak/>
        <w:t xml:space="preserve">The Concessionaire shall provide and operate </w:t>
      </w:r>
      <w:proofErr w:type="gramStart"/>
      <w:r>
        <w:t>back office</w:t>
      </w:r>
      <w:proofErr w:type="gramEnd"/>
      <w:r>
        <w:t xml:space="preserve"> systems for the following purposes:</w:t>
      </w:r>
    </w:p>
    <w:p w14:paraId="1FE71BEC" w14:textId="77777777" w:rsidR="007C0D70" w:rsidRDefault="00B355EA" w:rsidP="000F1D81">
      <w:pPr>
        <w:pStyle w:val="ListNumberNoSpacing2"/>
        <w:numPr>
          <w:ilvl w:val="1"/>
          <w:numId w:val="73"/>
        </w:numPr>
      </w:pPr>
      <w:r>
        <w:t xml:space="preserve">charge point user payment </w:t>
      </w:r>
      <w:proofErr w:type="gramStart"/>
      <w:r>
        <w:t>transactions;</w:t>
      </w:r>
      <w:proofErr w:type="gramEnd"/>
    </w:p>
    <w:p w14:paraId="42167898" w14:textId="77777777" w:rsidR="007C0D70" w:rsidRDefault="00B355EA" w:rsidP="000F1D81">
      <w:pPr>
        <w:pStyle w:val="ListNumberNoSpacing2"/>
        <w:numPr>
          <w:ilvl w:val="1"/>
          <w:numId w:val="73"/>
        </w:numPr>
      </w:pPr>
      <w:r>
        <w:t xml:space="preserve">communications with charge point users requiring </w:t>
      </w:r>
      <w:proofErr w:type="gramStart"/>
      <w:r>
        <w:t>assistance;</w:t>
      </w:r>
      <w:proofErr w:type="gramEnd"/>
    </w:p>
    <w:p w14:paraId="79CAF154" w14:textId="77777777" w:rsidR="007C0D70" w:rsidRDefault="00B355EA" w:rsidP="000F1D81">
      <w:pPr>
        <w:pStyle w:val="ListNumberNoSpacing2"/>
        <w:numPr>
          <w:ilvl w:val="1"/>
          <w:numId w:val="73"/>
        </w:numPr>
      </w:pPr>
      <w:r>
        <w:t xml:space="preserve">diagnostics for </w:t>
      </w:r>
      <w:proofErr w:type="gramStart"/>
      <w:r>
        <w:t>the majority of</w:t>
      </w:r>
      <w:proofErr w:type="gramEnd"/>
      <w:r>
        <w:t xml:space="preserve"> potential charge point unit </w:t>
      </w:r>
      <w:proofErr w:type="gramStart"/>
      <w:r>
        <w:t>faults;</w:t>
      </w:r>
      <w:proofErr w:type="gramEnd"/>
    </w:p>
    <w:p w14:paraId="7922F8C1" w14:textId="77777777" w:rsidR="007C0D70" w:rsidRDefault="00B355EA" w:rsidP="000F1D81">
      <w:pPr>
        <w:pStyle w:val="ListNumberNoSpacing2"/>
        <w:numPr>
          <w:ilvl w:val="1"/>
          <w:numId w:val="73"/>
        </w:numPr>
      </w:pPr>
      <w:r>
        <w:t xml:space="preserve">resolution of a high proportion of electronic or software </w:t>
      </w:r>
      <w:proofErr w:type="gramStart"/>
      <w:r>
        <w:t>faults;</w:t>
      </w:r>
      <w:proofErr w:type="gramEnd"/>
    </w:p>
    <w:p w14:paraId="1E46C219" w14:textId="77777777" w:rsidR="007C0D70" w:rsidRDefault="00B355EA" w:rsidP="000F1D81">
      <w:pPr>
        <w:pStyle w:val="ListNumberNoSpacing2"/>
        <w:numPr>
          <w:ilvl w:val="1"/>
          <w:numId w:val="73"/>
        </w:numPr>
      </w:pPr>
      <w:r>
        <w:t>charge point unit software updates; and</w:t>
      </w:r>
    </w:p>
    <w:p w14:paraId="10A0CD4F" w14:textId="2E5F6F8A" w:rsidR="00B355EA" w:rsidRDefault="00B355EA" w:rsidP="000F1D81">
      <w:pPr>
        <w:pStyle w:val="ListNumberNoSpacing2"/>
        <w:numPr>
          <w:ilvl w:val="1"/>
          <w:numId w:val="73"/>
        </w:numPr>
      </w:pPr>
      <w:r>
        <w:t xml:space="preserve">operational data </w:t>
      </w:r>
      <w:proofErr w:type="gramStart"/>
      <w:r>
        <w:t>collection;</w:t>
      </w:r>
      <w:proofErr w:type="gramEnd"/>
      <w:r>
        <w:t xml:space="preserve"> in relation to each charge point unit and site.</w:t>
      </w:r>
    </w:p>
    <w:p w14:paraId="03F10A99" w14:textId="779CD062" w:rsidR="00B355EA" w:rsidRDefault="00B355EA" w:rsidP="007C0D70">
      <w:pPr>
        <w:pStyle w:val="Appendix3"/>
      </w:pPr>
      <w:r>
        <w:t xml:space="preserve">When requested by the </w:t>
      </w:r>
      <w:r w:rsidR="00544048">
        <w:t>Council</w:t>
      </w:r>
      <w:r>
        <w:t xml:space="preserve">, the Concessionaire shall ensure that the </w:t>
      </w:r>
      <w:r w:rsidR="00544048">
        <w:t>Council</w:t>
      </w:r>
      <w:r>
        <w:t xml:space="preserve">’s data is hosted within the defined geographical area specified by the </w:t>
      </w:r>
      <w:r w:rsidR="00544048">
        <w:t>Council</w:t>
      </w:r>
      <w:r>
        <w:t xml:space="preserve">. For example, the UK - European Economic Area (EEA), a country deemed adequate by the European Commission, or in the US </w:t>
      </w:r>
      <w:proofErr w:type="gramStart"/>
      <w:r>
        <w:t>where</w:t>
      </w:r>
      <w:proofErr w:type="gramEnd"/>
      <w:r>
        <w:t xml:space="preserve"> covered by Privacy Shield.</w:t>
      </w:r>
    </w:p>
    <w:p w14:paraId="51303A37" w14:textId="64ED02CA" w:rsidR="00B355EA" w:rsidRDefault="00B355EA" w:rsidP="007C0D70">
      <w:pPr>
        <w:pStyle w:val="Appendix2"/>
      </w:pPr>
      <w:bookmarkStart w:id="62" w:name="_Toc211513102"/>
      <w:r>
        <w:t>User Payments</w:t>
      </w:r>
      <w:bookmarkEnd w:id="62"/>
      <w:r>
        <w:t xml:space="preserve"> </w:t>
      </w:r>
    </w:p>
    <w:p w14:paraId="42363762" w14:textId="5EC5DAF7" w:rsidR="00B355EA" w:rsidRDefault="00B355EA" w:rsidP="007C0D70">
      <w:pPr>
        <w:pStyle w:val="Appendix3"/>
      </w:pPr>
      <w:r>
        <w:t xml:space="preserve">Where electric vehicle users are to be charged a fee for recharging at a charge point, the Concessionaire shall provide users with the option to Pay </w:t>
      </w:r>
      <w:proofErr w:type="gramStart"/>
      <w:r>
        <w:t>As</w:t>
      </w:r>
      <w:proofErr w:type="gramEnd"/>
      <w:r>
        <w:t xml:space="preserve"> You Go (PAYG) using a debit or credit card. This option must be available via:</w:t>
      </w:r>
    </w:p>
    <w:p w14:paraId="7ED7D656" w14:textId="77777777" w:rsidR="007C0D70" w:rsidRDefault="00B355EA" w:rsidP="000F1D81">
      <w:pPr>
        <w:pStyle w:val="ListNumberNoSpacing2"/>
        <w:numPr>
          <w:ilvl w:val="1"/>
          <w:numId w:val="74"/>
        </w:numPr>
      </w:pPr>
      <w:r>
        <w:t>debit and credit card payment equipment included within each charge point unit; and</w:t>
      </w:r>
    </w:p>
    <w:p w14:paraId="14B24AF8" w14:textId="320EDA42" w:rsidR="00B355EA" w:rsidRDefault="00B355EA" w:rsidP="000F1D81">
      <w:pPr>
        <w:pStyle w:val="ListNumberNoSpacing2"/>
        <w:numPr>
          <w:ilvl w:val="1"/>
          <w:numId w:val="74"/>
        </w:numPr>
      </w:pPr>
      <w:r>
        <w:t>the Concessionaire’s telephone helpline in circumstances where, for example, payment equipment included within a charge point unit is not functioning.</w:t>
      </w:r>
    </w:p>
    <w:p w14:paraId="186E2A51" w14:textId="77777777" w:rsidR="007C0D70" w:rsidRDefault="00B355EA" w:rsidP="00B355EA">
      <w:pPr>
        <w:pStyle w:val="Appendix3"/>
      </w:pPr>
      <w:r>
        <w:t xml:space="preserve">A charge point may also form part of the Concessionaire’s network of charge points for which users pay membership fees. Users must not be obliged to subscribe to the Concessionaire’s network services </w:t>
      </w:r>
      <w:proofErr w:type="gramStart"/>
      <w:r>
        <w:t>in order to</w:t>
      </w:r>
      <w:proofErr w:type="gramEnd"/>
      <w:r>
        <w:t xml:space="preserve"> use a charge point.</w:t>
      </w:r>
    </w:p>
    <w:p w14:paraId="06FFF716" w14:textId="77777777" w:rsidR="007C0D70" w:rsidRDefault="00B355EA" w:rsidP="00B355EA">
      <w:pPr>
        <w:pStyle w:val="Appendix3"/>
      </w:pPr>
      <w:r>
        <w:t xml:space="preserve">Cash only payment systems shall not be used to meet ad hoc access requirements in Alternative Fuels Infrastructure Regulations (2017). </w:t>
      </w:r>
    </w:p>
    <w:p w14:paraId="42AF4460" w14:textId="77777777" w:rsidR="007C0D70" w:rsidRDefault="00B355EA" w:rsidP="00B355EA">
      <w:pPr>
        <w:pStyle w:val="Appendix3"/>
      </w:pPr>
      <w:r>
        <w:t>The telephone helpline number, tariffs and methods of payment shall be clearly displayed on signage either on or adjacent to each charge point unit in Welsh and English.</w:t>
      </w:r>
    </w:p>
    <w:p w14:paraId="7335C032" w14:textId="77777777" w:rsidR="007C0D70" w:rsidRDefault="00B355EA" w:rsidP="00B355EA">
      <w:pPr>
        <w:pStyle w:val="Appendix3"/>
      </w:pPr>
      <w:r>
        <w:t>The Concessionaire shall ensure that, in instances where the payment mechanism is unavailable due to maintenance or connectivity issues, the electric vehicle charge point facility automatically activates a free vend mode, allowing users to charge their vehicles at no cost during the defined period of service disruption.</w:t>
      </w:r>
    </w:p>
    <w:p w14:paraId="749F5277" w14:textId="6DFAE991" w:rsidR="00B355EA" w:rsidRDefault="00B355EA" w:rsidP="00B355EA">
      <w:pPr>
        <w:pStyle w:val="Appendix3"/>
      </w:pPr>
      <w:r>
        <w:lastRenderedPageBreak/>
        <w:t xml:space="preserve">The Concessionaire shall collaborate with the </w:t>
      </w:r>
      <w:r w:rsidR="00544048">
        <w:t>Council</w:t>
      </w:r>
      <w:r>
        <w:t xml:space="preserve"> to establish and agree upon the specific parameters governing the period of free vend during instances when the payment mechanism is unavailable due to maintenance or connectivity issues.</w:t>
      </w:r>
    </w:p>
    <w:p w14:paraId="1F2B8D74" w14:textId="514F0DBE" w:rsidR="00B355EA" w:rsidRDefault="00B355EA" w:rsidP="007C0D70">
      <w:pPr>
        <w:pStyle w:val="Appendix2"/>
      </w:pPr>
      <w:bookmarkStart w:id="63" w:name="_Toc211513103"/>
      <w:r>
        <w:t>User Support</w:t>
      </w:r>
      <w:bookmarkEnd w:id="63"/>
    </w:p>
    <w:p w14:paraId="64DE561B" w14:textId="55D43984" w:rsidR="00B355EA" w:rsidRDefault="00B355EA" w:rsidP="007C0D70">
      <w:pPr>
        <w:pStyle w:val="Appendix3"/>
      </w:pPr>
      <w:r>
        <w:t xml:space="preserve">The Concessionaire shall provide </w:t>
      </w:r>
      <w:r w:rsidR="00544048">
        <w:t>a</w:t>
      </w:r>
      <w:r>
        <w:t xml:space="preserve"> telephone helpline facility which is available in Welsh and English over </w:t>
      </w:r>
      <w:proofErr w:type="gramStart"/>
      <w:r>
        <w:t>a time period</w:t>
      </w:r>
      <w:proofErr w:type="gramEnd"/>
      <w:r>
        <w:t xml:space="preserve"> to be agreed. As a minimum, the telephone helpline must be able to advise and assist charge point users with:</w:t>
      </w:r>
    </w:p>
    <w:p w14:paraId="6AE00B80" w14:textId="77777777" w:rsidR="007C0D70" w:rsidRDefault="00B355EA" w:rsidP="000F1D81">
      <w:pPr>
        <w:pStyle w:val="ListNumberNoSpacing2"/>
        <w:numPr>
          <w:ilvl w:val="1"/>
          <w:numId w:val="75"/>
        </w:numPr>
      </w:pPr>
      <w:r>
        <w:t xml:space="preserve">use of a charge </w:t>
      </w:r>
      <w:proofErr w:type="gramStart"/>
      <w:r>
        <w:t>point;</w:t>
      </w:r>
      <w:proofErr w:type="gramEnd"/>
    </w:p>
    <w:p w14:paraId="4F347919" w14:textId="77777777" w:rsidR="007C0D70" w:rsidRDefault="00B355EA" w:rsidP="000F1D81">
      <w:pPr>
        <w:pStyle w:val="ListNumberNoSpacing2"/>
        <w:numPr>
          <w:ilvl w:val="1"/>
          <w:numId w:val="75"/>
        </w:numPr>
      </w:pPr>
      <w:proofErr w:type="gramStart"/>
      <w:r>
        <w:t>pricing;</w:t>
      </w:r>
      <w:proofErr w:type="gramEnd"/>
    </w:p>
    <w:p w14:paraId="4A5BE9CA" w14:textId="77777777" w:rsidR="007C0D70" w:rsidRDefault="00B355EA" w:rsidP="000F1D81">
      <w:pPr>
        <w:pStyle w:val="ListNumberNoSpacing2"/>
        <w:numPr>
          <w:ilvl w:val="1"/>
          <w:numId w:val="75"/>
        </w:numPr>
      </w:pPr>
      <w:proofErr w:type="gramStart"/>
      <w:r>
        <w:t>payment;</w:t>
      </w:r>
      <w:proofErr w:type="gramEnd"/>
    </w:p>
    <w:p w14:paraId="39D7CAD5" w14:textId="77777777" w:rsidR="007C0D70" w:rsidRDefault="00B355EA" w:rsidP="000F1D81">
      <w:pPr>
        <w:pStyle w:val="ListNumberNoSpacing2"/>
        <w:numPr>
          <w:ilvl w:val="1"/>
          <w:numId w:val="75"/>
        </w:numPr>
      </w:pPr>
      <w:r>
        <w:t>recording charge points faults and defects identified by users, and tasking appropriate maintenance resources; and</w:t>
      </w:r>
    </w:p>
    <w:p w14:paraId="563CE7FF" w14:textId="3793BD74" w:rsidR="00B355EA" w:rsidRDefault="00B355EA" w:rsidP="000F1D81">
      <w:pPr>
        <w:pStyle w:val="ListNumberNoSpacing2"/>
        <w:numPr>
          <w:ilvl w:val="1"/>
          <w:numId w:val="75"/>
        </w:numPr>
      </w:pPr>
      <w:r>
        <w:t>the identification of alternative recharging facilities should the charge point be unavailable.</w:t>
      </w:r>
    </w:p>
    <w:p w14:paraId="08FCFCA1" w14:textId="53AA1221" w:rsidR="007C0D70" w:rsidRDefault="00B355EA" w:rsidP="00B355EA">
      <w:pPr>
        <w:pStyle w:val="Appendix3"/>
      </w:pPr>
      <w:r>
        <w:t xml:space="preserve">The Concessionaire shall provide the </w:t>
      </w:r>
      <w:r w:rsidR="00544048">
        <w:t>Council</w:t>
      </w:r>
      <w:r>
        <w:t xml:space="preserve"> and charge point users with a free of charge </w:t>
      </w:r>
      <w:r w:rsidR="00A75C7B">
        <w:t>c</w:t>
      </w:r>
      <w:r>
        <w:t xml:space="preserve">ustomer </w:t>
      </w:r>
      <w:r w:rsidR="00A75C7B">
        <w:t>s</w:t>
      </w:r>
      <w:r>
        <w:t xml:space="preserve">ervice </w:t>
      </w:r>
      <w:r w:rsidR="00A75C7B">
        <w:t>h</w:t>
      </w:r>
      <w:r>
        <w:t xml:space="preserve">elpline (telephone service), which shall be available in Welsh over an agreed </w:t>
      </w:r>
      <w:proofErr w:type="gramStart"/>
      <w:r>
        <w:t>time period</w:t>
      </w:r>
      <w:proofErr w:type="gramEnd"/>
      <w:r>
        <w:t xml:space="preserve"> and in English 24 hours a day, 7 days a week and 365 days a year (366 days for leap years). The availability of these helplines shall be communicated to the user at each site.</w:t>
      </w:r>
    </w:p>
    <w:p w14:paraId="5682BE35" w14:textId="7129A6D6" w:rsidR="007C0D70" w:rsidRDefault="00B355EA" w:rsidP="00B355EA">
      <w:pPr>
        <w:pStyle w:val="Appendix3"/>
      </w:pPr>
      <w:r>
        <w:t xml:space="preserve">In at least 95% of all </w:t>
      </w:r>
      <w:proofErr w:type="gramStart"/>
      <w:r>
        <w:t>helpline</w:t>
      </w:r>
      <w:proofErr w:type="gramEnd"/>
      <w:r>
        <w:t xml:space="preserve"> calls in any one calendar year, </w:t>
      </w:r>
      <w:r w:rsidR="00544048">
        <w:t>Council</w:t>
      </w:r>
      <w:r>
        <w:t xml:space="preserve">’s using the telephone helpline and wishing to speak to an operator shall be connected to an operator within 3 minutes of commencing the call. Data to confirm this requirement should be provided to the </w:t>
      </w:r>
      <w:r w:rsidR="00544048">
        <w:t>Council</w:t>
      </w:r>
      <w:r>
        <w:t xml:space="preserve"> upon request, such requests being issued no more than four times in any 12-Month rolling period.</w:t>
      </w:r>
    </w:p>
    <w:p w14:paraId="553D1BBF" w14:textId="77777777" w:rsidR="007C0D70" w:rsidRDefault="00B355EA" w:rsidP="00B355EA">
      <w:pPr>
        <w:pStyle w:val="Appendix3"/>
      </w:pPr>
      <w:r>
        <w:t>Users of the telephone helpline shall not incur unreasonable call charges from, for example, the use of a premium rate telephone number (e.g., one commencing with 09) or by being required to wait to speak to an operator.</w:t>
      </w:r>
    </w:p>
    <w:p w14:paraId="3BA690EE" w14:textId="77777777" w:rsidR="007C0D70" w:rsidRDefault="00B355EA" w:rsidP="00B355EA">
      <w:pPr>
        <w:pStyle w:val="Appendix3"/>
      </w:pPr>
      <w:r>
        <w:t>Where possible, the Concessionaire shall also respond to user enquiries via the Concessionaire’s social media channels.</w:t>
      </w:r>
    </w:p>
    <w:p w14:paraId="313FBAD1" w14:textId="0608E928" w:rsidR="007C0D70" w:rsidRDefault="00B355EA" w:rsidP="00B355EA">
      <w:pPr>
        <w:pStyle w:val="Appendix3"/>
      </w:pPr>
      <w:r>
        <w:t xml:space="preserve">The Concessionaire shall supply a web portal which will provide the </w:t>
      </w:r>
      <w:r w:rsidR="00544048">
        <w:t>Council</w:t>
      </w:r>
      <w:r>
        <w:t xml:space="preserve"> with access to real time data on the equipment and assets when requested and as specified by the </w:t>
      </w:r>
      <w:r w:rsidR="00544048">
        <w:t>Council</w:t>
      </w:r>
      <w:r>
        <w:t xml:space="preserve"> and agreed in the </w:t>
      </w:r>
      <w:r w:rsidR="00730F22">
        <w:t>Concession Agreement</w:t>
      </w:r>
      <w:r>
        <w:t>.</w:t>
      </w:r>
    </w:p>
    <w:p w14:paraId="3EC3E5F0" w14:textId="6122040F" w:rsidR="007C0D70" w:rsidRDefault="00B355EA" w:rsidP="00B355EA">
      <w:pPr>
        <w:pStyle w:val="Appendix3"/>
      </w:pPr>
      <w:r>
        <w:t xml:space="preserve">The Concessionaire shall agree with </w:t>
      </w:r>
      <w:r w:rsidR="00544048">
        <w:t>Council</w:t>
      </w:r>
      <w:r>
        <w:t xml:space="preserve"> the frequency and timeliness of data to be supplied to the web portal.</w:t>
      </w:r>
    </w:p>
    <w:p w14:paraId="31FE9FB5" w14:textId="77777777" w:rsidR="007C0D70" w:rsidRDefault="00B355EA" w:rsidP="00B355EA">
      <w:pPr>
        <w:pStyle w:val="Appendix3"/>
      </w:pPr>
      <w:r>
        <w:lastRenderedPageBreak/>
        <w:t>The Concessionaire shall ensure that the web portal is secure and encrypted.</w:t>
      </w:r>
    </w:p>
    <w:p w14:paraId="0213B95D" w14:textId="32DAF94A" w:rsidR="007C0D70" w:rsidRDefault="00B355EA" w:rsidP="00B355EA">
      <w:pPr>
        <w:pStyle w:val="Appendix3"/>
      </w:pPr>
      <w:r>
        <w:t xml:space="preserve">The Concessionaire shall grant access rights to the web portal to the </w:t>
      </w:r>
      <w:r w:rsidR="00544048">
        <w:t>Council</w:t>
      </w:r>
      <w:r>
        <w:t xml:space="preserve">’s authorised representatives and users with a tiered level of permissions and access, to be determined and agreed with the </w:t>
      </w:r>
      <w:r w:rsidR="00544048">
        <w:t>Council</w:t>
      </w:r>
      <w:r>
        <w:t>.</w:t>
      </w:r>
    </w:p>
    <w:p w14:paraId="69C3F727" w14:textId="6000B315" w:rsidR="007C0D70" w:rsidRDefault="00B355EA" w:rsidP="00B355EA">
      <w:pPr>
        <w:pStyle w:val="Appendix3"/>
      </w:pPr>
      <w:r>
        <w:t xml:space="preserve">The Concessionaire shall provide a specified number of user accounts when requested by the </w:t>
      </w:r>
      <w:r w:rsidR="00544048">
        <w:t>Council</w:t>
      </w:r>
      <w:r>
        <w:t xml:space="preserve"> and agreed in the </w:t>
      </w:r>
      <w:r w:rsidR="00730F22">
        <w:t>Concession Agreement</w:t>
      </w:r>
    </w:p>
    <w:p w14:paraId="58960954" w14:textId="748049E6" w:rsidR="007C0D70" w:rsidRDefault="00B355EA" w:rsidP="00B355EA">
      <w:pPr>
        <w:pStyle w:val="Appendix3"/>
      </w:pPr>
      <w:r>
        <w:t xml:space="preserve">The Concessionaire shall ensure that the web portal is accessible to the </w:t>
      </w:r>
      <w:r w:rsidR="00544048">
        <w:t>Council</w:t>
      </w:r>
      <w:r>
        <w:t xml:space="preserve"> </w:t>
      </w:r>
      <w:r w:rsidR="00FE4B87">
        <w:t>twenty-four</w:t>
      </w:r>
      <w:r>
        <w:t xml:space="preserve"> (24) hours a day, three hundred and </w:t>
      </w:r>
      <w:r w:rsidR="00FE4B87">
        <w:t>sixty-five</w:t>
      </w:r>
      <w:r>
        <w:t xml:space="preserve"> (365) days per year.</w:t>
      </w:r>
    </w:p>
    <w:p w14:paraId="63CA193D" w14:textId="706CA586" w:rsidR="007C0D70" w:rsidRDefault="00B355EA" w:rsidP="00B355EA">
      <w:pPr>
        <w:pStyle w:val="Appendix3"/>
      </w:pPr>
      <w:r>
        <w:t xml:space="preserve">The Concessionaire shall ensure that the </w:t>
      </w:r>
      <w:r w:rsidR="00544048">
        <w:t>Council</w:t>
      </w:r>
      <w:r>
        <w:t xml:space="preserve"> is given </w:t>
      </w:r>
      <w:r w:rsidR="00FE4B87">
        <w:t>twenty-eight</w:t>
      </w:r>
      <w:r>
        <w:t xml:space="preserve"> (28) calendar days’ notice of any scheduled maintenance which will affect the availability of the web portal, or as otherwise agreed with the </w:t>
      </w:r>
      <w:r w:rsidR="00544048">
        <w:t>Council</w:t>
      </w:r>
      <w:r>
        <w:t xml:space="preserve"> in the </w:t>
      </w:r>
      <w:r w:rsidR="00730F22">
        <w:t>Concession Agreement</w:t>
      </w:r>
      <w:r>
        <w:t>.</w:t>
      </w:r>
    </w:p>
    <w:p w14:paraId="1FEE12AF" w14:textId="77777777" w:rsidR="007C0D70" w:rsidRDefault="00B355EA" w:rsidP="00B355EA">
      <w:pPr>
        <w:pStyle w:val="Appendix3"/>
      </w:pPr>
      <w:r>
        <w:t>The Concessionaire shall ensure that the web portal is compatible with Windows and Mac browsers.</w:t>
      </w:r>
    </w:p>
    <w:p w14:paraId="468F7930" w14:textId="47FD2856" w:rsidR="007C0D70" w:rsidRDefault="00B355EA" w:rsidP="00B355EA">
      <w:pPr>
        <w:pStyle w:val="Appendix3"/>
      </w:pPr>
      <w:r>
        <w:t xml:space="preserve">When requested and agreed with the </w:t>
      </w:r>
      <w:r w:rsidR="00544048">
        <w:t>Council</w:t>
      </w:r>
      <w:r>
        <w:t xml:space="preserve">, the Concessionaire shall ensure that the portal is accessible from handheld devices and will run on iOS and Android software as specified in the </w:t>
      </w:r>
      <w:r w:rsidR="00730F22">
        <w:t>Concession Agreement</w:t>
      </w:r>
      <w:r>
        <w:t>.</w:t>
      </w:r>
    </w:p>
    <w:p w14:paraId="2633C79F" w14:textId="77777777" w:rsidR="007C0D70" w:rsidRDefault="00B355EA" w:rsidP="00B355EA">
      <w:pPr>
        <w:pStyle w:val="Appendix3"/>
      </w:pPr>
      <w:r>
        <w:t>The Concessionaire shall ensure that user accounts are password protected.</w:t>
      </w:r>
    </w:p>
    <w:p w14:paraId="4C1AB9C4" w14:textId="09794BAB" w:rsidR="007C0D70" w:rsidRDefault="00B355EA" w:rsidP="00B355EA">
      <w:pPr>
        <w:pStyle w:val="Appendix3"/>
      </w:pPr>
      <w:r>
        <w:t xml:space="preserve">The Concessionaire shall ensure that the web portal has the capability of providing the </w:t>
      </w:r>
      <w:r w:rsidR="00544048">
        <w:t>Council</w:t>
      </w:r>
      <w:r>
        <w:t xml:space="preserve"> with the management and performance information specified in the </w:t>
      </w:r>
      <w:r w:rsidR="00730F22">
        <w:t>Concession Agreement</w:t>
      </w:r>
      <w:r>
        <w:t>.</w:t>
      </w:r>
    </w:p>
    <w:p w14:paraId="7165B8BB" w14:textId="18BAD7BE" w:rsidR="007C0D70" w:rsidRDefault="00B355EA" w:rsidP="00B355EA">
      <w:pPr>
        <w:pStyle w:val="Appendix3"/>
      </w:pPr>
      <w:r>
        <w:t xml:space="preserve">The Concessionaire shall ensure that the web portal has the functionality for the </w:t>
      </w:r>
      <w:r w:rsidR="00544048">
        <w:t>Council</w:t>
      </w:r>
      <w:r>
        <w:t xml:space="preserve"> to schedule and self-generate reports which can be exported to Excel.</w:t>
      </w:r>
    </w:p>
    <w:p w14:paraId="079BA56C" w14:textId="5A2789E1" w:rsidR="007C0D70" w:rsidRDefault="00B355EA" w:rsidP="00B355EA">
      <w:pPr>
        <w:pStyle w:val="Appendix3"/>
      </w:pPr>
      <w:r>
        <w:t xml:space="preserve">The Concessionaire shall, where requested and agreed with the </w:t>
      </w:r>
      <w:r w:rsidR="00544048">
        <w:t>Council</w:t>
      </w:r>
      <w:r>
        <w:t>, facilitate a Welsh language option for the portal.</w:t>
      </w:r>
    </w:p>
    <w:p w14:paraId="0395A8D0" w14:textId="042DDDA0" w:rsidR="00B355EA" w:rsidRDefault="00B355EA" w:rsidP="00B355EA">
      <w:pPr>
        <w:pStyle w:val="Appendix3"/>
      </w:pPr>
      <w:r>
        <w:t xml:space="preserve">Additional helpline and web portal related KPIs can be found in </w:t>
      </w:r>
      <w:r w:rsidR="00FA070C">
        <w:t>Schedule 3 (</w:t>
      </w:r>
      <w:r w:rsidR="0086218E">
        <w:rPr>
          <w:i/>
          <w:iCs/>
        </w:rPr>
        <w:t>Service Levels</w:t>
      </w:r>
      <w:r w:rsidR="0086218E">
        <w:t>)</w:t>
      </w:r>
      <w:r>
        <w:t>.</w:t>
      </w:r>
    </w:p>
    <w:p w14:paraId="1F79E0D2" w14:textId="742B00A2" w:rsidR="00B355EA" w:rsidRDefault="00B355EA" w:rsidP="007C0D70">
      <w:pPr>
        <w:pStyle w:val="Appendix2"/>
      </w:pPr>
      <w:bookmarkStart w:id="64" w:name="_Toc211513104"/>
      <w:r>
        <w:t>Operational Data Collection</w:t>
      </w:r>
      <w:bookmarkEnd w:id="64"/>
    </w:p>
    <w:p w14:paraId="5AEAC289" w14:textId="77777777" w:rsidR="007C0D70" w:rsidRDefault="00B355EA" w:rsidP="00B355EA">
      <w:pPr>
        <w:pStyle w:val="Appendix3"/>
      </w:pPr>
      <w:r>
        <w:t xml:space="preserve">The Concessionaire shall collect and disseminate real-time data which describes the availability and status (e.g., available for use, charging, out-of-service) of each charge point unit. The Concessionaire shall make the </w:t>
      </w:r>
      <w:r>
        <w:lastRenderedPageBreak/>
        <w:t>real-time data freely available via the Concessionaire’s media channels and to third parties that may wish to disseminate the data to the public via their own media channels.</w:t>
      </w:r>
    </w:p>
    <w:p w14:paraId="5DBF00CD" w14:textId="1444C321" w:rsidR="00B355EA" w:rsidRDefault="00B355EA" w:rsidP="00B355EA">
      <w:pPr>
        <w:pStyle w:val="Appendix3"/>
      </w:pPr>
      <w:r>
        <w:t xml:space="preserve">The Concessionaire shall collect and provide the following operational information and data to the </w:t>
      </w:r>
      <w:r w:rsidR="00544048">
        <w:t>Council</w:t>
      </w:r>
      <w:r>
        <w:t xml:space="preserve"> for each charge point unit on a quarterly basis:</w:t>
      </w:r>
    </w:p>
    <w:p w14:paraId="42FCB508" w14:textId="77777777" w:rsidR="009D69F7" w:rsidRDefault="00B355EA" w:rsidP="000F1D81">
      <w:pPr>
        <w:pStyle w:val="ListNumberNoSpacing2"/>
        <w:numPr>
          <w:ilvl w:val="1"/>
          <w:numId w:val="76"/>
        </w:numPr>
      </w:pPr>
      <w:r>
        <w:t xml:space="preserve">availability of the charge </w:t>
      </w:r>
      <w:proofErr w:type="gramStart"/>
      <w:r>
        <w:t>point</w:t>
      </w:r>
      <w:proofErr w:type="gramEnd"/>
      <w:r>
        <w:t xml:space="preserve"> for public use, expressed:</w:t>
      </w:r>
    </w:p>
    <w:p w14:paraId="21B50B4F" w14:textId="77777777" w:rsidR="009D69F7" w:rsidRDefault="00B355EA" w:rsidP="000F1D81">
      <w:pPr>
        <w:pStyle w:val="ListNumberNoSpacing2"/>
        <w:numPr>
          <w:ilvl w:val="2"/>
          <w:numId w:val="76"/>
        </w:numPr>
      </w:pPr>
      <w:r>
        <w:t xml:space="preserve">as percentage availability over the three-Month </w:t>
      </w:r>
      <w:proofErr w:type="gramStart"/>
      <w:r>
        <w:t>period;</w:t>
      </w:r>
      <w:proofErr w:type="gramEnd"/>
    </w:p>
    <w:p w14:paraId="484229E8" w14:textId="77777777" w:rsidR="009D69F7" w:rsidRDefault="00B355EA" w:rsidP="000F1D81">
      <w:pPr>
        <w:pStyle w:val="ListNumberNoSpacing2"/>
        <w:numPr>
          <w:ilvl w:val="2"/>
          <w:numId w:val="76"/>
        </w:numPr>
      </w:pPr>
      <w:r>
        <w:t xml:space="preserve">as raw data in a spreadsheet showing the </w:t>
      </w:r>
      <w:proofErr w:type="gramStart"/>
      <w:r>
        <w:t>particular dates</w:t>
      </w:r>
      <w:proofErr w:type="gramEnd"/>
      <w:r>
        <w:t xml:space="preserve">, times (to the nearest second) and reasons for charge point non-availability during the three-Month </w:t>
      </w:r>
      <w:proofErr w:type="gramStart"/>
      <w:r>
        <w:t>period;</w:t>
      </w:r>
      <w:proofErr w:type="gramEnd"/>
    </w:p>
    <w:p w14:paraId="79884E76" w14:textId="77777777" w:rsidR="00C0430B" w:rsidRDefault="00B355EA" w:rsidP="000F1D81">
      <w:pPr>
        <w:pStyle w:val="ListNumberNoSpacing2"/>
        <w:numPr>
          <w:ilvl w:val="1"/>
          <w:numId w:val="76"/>
        </w:numPr>
      </w:pPr>
      <w:r>
        <w:t>charging events over the three-Month period, expressed as raw data in a spreadsheet and including the following data fields:</w:t>
      </w:r>
    </w:p>
    <w:p w14:paraId="0AE9DB08" w14:textId="77777777" w:rsidR="00C0430B" w:rsidRDefault="00B355EA" w:rsidP="000F1D81">
      <w:pPr>
        <w:pStyle w:val="ListNumberNoSpacing2"/>
        <w:numPr>
          <w:ilvl w:val="2"/>
          <w:numId w:val="76"/>
        </w:numPr>
      </w:pPr>
      <w:r>
        <w:t xml:space="preserve">charge point </w:t>
      </w:r>
      <w:proofErr w:type="gramStart"/>
      <w:r>
        <w:t>identifier;</w:t>
      </w:r>
      <w:proofErr w:type="gramEnd"/>
    </w:p>
    <w:p w14:paraId="58AAEA01" w14:textId="77777777" w:rsidR="00C0430B" w:rsidRDefault="00B355EA" w:rsidP="000F1D81">
      <w:pPr>
        <w:pStyle w:val="ListNumberNoSpacing2"/>
        <w:numPr>
          <w:ilvl w:val="2"/>
          <w:numId w:val="76"/>
        </w:numPr>
      </w:pPr>
      <w:r>
        <w:t xml:space="preserve">charging event </w:t>
      </w:r>
      <w:proofErr w:type="gramStart"/>
      <w:r>
        <w:t>reference;</w:t>
      </w:r>
      <w:proofErr w:type="gramEnd"/>
    </w:p>
    <w:p w14:paraId="792AB07B" w14:textId="77777777" w:rsidR="00C0430B" w:rsidRDefault="00B355EA" w:rsidP="000F1D81">
      <w:pPr>
        <w:pStyle w:val="ListNumberNoSpacing2"/>
        <w:numPr>
          <w:ilvl w:val="2"/>
          <w:numId w:val="76"/>
        </w:numPr>
      </w:pPr>
      <w:r>
        <w:t xml:space="preserve">anonymised, unique user identification so that users with membership of the Concessionaire’s network are distinguishable from PAYG </w:t>
      </w:r>
      <w:proofErr w:type="gramStart"/>
      <w:r>
        <w:t>users;</w:t>
      </w:r>
      <w:proofErr w:type="gramEnd"/>
    </w:p>
    <w:p w14:paraId="3883FDA9" w14:textId="77777777" w:rsidR="00C0430B" w:rsidRDefault="00B355EA" w:rsidP="000F1D81">
      <w:pPr>
        <w:pStyle w:val="ListNumberNoSpacing2"/>
        <w:numPr>
          <w:ilvl w:val="2"/>
          <w:numId w:val="76"/>
        </w:numPr>
      </w:pPr>
      <w:r>
        <w:t xml:space="preserve">start date and time to the nearest </w:t>
      </w:r>
      <w:proofErr w:type="gramStart"/>
      <w:r>
        <w:t>second;</w:t>
      </w:r>
      <w:proofErr w:type="gramEnd"/>
    </w:p>
    <w:p w14:paraId="1F50E956" w14:textId="77777777" w:rsidR="00C0430B" w:rsidRDefault="00B355EA" w:rsidP="000F1D81">
      <w:pPr>
        <w:pStyle w:val="ListNumberNoSpacing2"/>
        <w:numPr>
          <w:ilvl w:val="2"/>
          <w:numId w:val="76"/>
        </w:numPr>
      </w:pPr>
      <w:r>
        <w:t xml:space="preserve">end date and time to the nearest </w:t>
      </w:r>
      <w:proofErr w:type="gramStart"/>
      <w:r>
        <w:t>second;</w:t>
      </w:r>
      <w:proofErr w:type="gramEnd"/>
    </w:p>
    <w:p w14:paraId="047DB58F" w14:textId="77777777" w:rsidR="00C0430B" w:rsidRDefault="00B355EA" w:rsidP="000F1D81">
      <w:pPr>
        <w:pStyle w:val="ListNumberNoSpacing2"/>
        <w:numPr>
          <w:ilvl w:val="2"/>
          <w:numId w:val="76"/>
        </w:numPr>
      </w:pPr>
      <w:r>
        <w:t xml:space="preserve">total energy drawn in kWh to two decimal </w:t>
      </w:r>
      <w:proofErr w:type="gramStart"/>
      <w:r>
        <w:t>places;</w:t>
      </w:r>
      <w:proofErr w:type="gramEnd"/>
    </w:p>
    <w:p w14:paraId="59511944" w14:textId="77777777" w:rsidR="00C0430B" w:rsidRDefault="00B355EA" w:rsidP="000F1D81">
      <w:pPr>
        <w:pStyle w:val="ListNumberNoSpacing2"/>
        <w:numPr>
          <w:ilvl w:val="2"/>
          <w:numId w:val="76"/>
        </w:numPr>
      </w:pPr>
      <w:r>
        <w:t xml:space="preserve">fee paid by the user in £ to two decimal </w:t>
      </w:r>
      <w:proofErr w:type="gramStart"/>
      <w:r>
        <w:t>place</w:t>
      </w:r>
      <w:proofErr w:type="gramEnd"/>
      <w:r>
        <w:t>; and</w:t>
      </w:r>
    </w:p>
    <w:p w14:paraId="7D5168DA" w14:textId="77777777" w:rsidR="00C0430B" w:rsidRDefault="00B355EA" w:rsidP="000F1D81">
      <w:pPr>
        <w:pStyle w:val="ListNumberNoSpacing2"/>
        <w:numPr>
          <w:ilvl w:val="2"/>
          <w:numId w:val="76"/>
        </w:numPr>
      </w:pPr>
      <w:r>
        <w:t xml:space="preserve">details of price variations </w:t>
      </w:r>
    </w:p>
    <w:p w14:paraId="1C9FEC12" w14:textId="77777777" w:rsidR="001D76FB" w:rsidRDefault="00B355EA" w:rsidP="000F1D81">
      <w:pPr>
        <w:pStyle w:val="ListNumberNoSpacing2"/>
        <w:numPr>
          <w:ilvl w:val="1"/>
          <w:numId w:val="76"/>
        </w:numPr>
      </w:pPr>
      <w:r>
        <w:t>user communications and feedback, presented as an anonymised schedule summarising all communications from charge point users in terms of:</w:t>
      </w:r>
    </w:p>
    <w:p w14:paraId="116060BB" w14:textId="77777777" w:rsidR="001D76FB" w:rsidRDefault="00B355EA" w:rsidP="000F1D81">
      <w:pPr>
        <w:pStyle w:val="ListNumberNoSpacing2"/>
        <w:numPr>
          <w:ilvl w:val="2"/>
          <w:numId w:val="76"/>
        </w:numPr>
      </w:pPr>
      <w:r>
        <w:t xml:space="preserve">date and time of </w:t>
      </w:r>
      <w:proofErr w:type="gramStart"/>
      <w:r>
        <w:t>communication;</w:t>
      </w:r>
      <w:proofErr w:type="gramEnd"/>
    </w:p>
    <w:p w14:paraId="527EC8B1" w14:textId="77777777" w:rsidR="001D76FB" w:rsidRDefault="00B355EA" w:rsidP="000F1D81">
      <w:pPr>
        <w:pStyle w:val="ListNumberNoSpacing2"/>
        <w:numPr>
          <w:ilvl w:val="2"/>
          <w:numId w:val="76"/>
        </w:numPr>
      </w:pPr>
      <w:r>
        <w:t xml:space="preserve">nature or categorisation of </w:t>
      </w:r>
      <w:proofErr w:type="gramStart"/>
      <w:r>
        <w:t>communication;</w:t>
      </w:r>
      <w:proofErr w:type="gramEnd"/>
    </w:p>
    <w:p w14:paraId="0EECAC6A" w14:textId="77777777" w:rsidR="001D76FB" w:rsidRDefault="00B355EA" w:rsidP="000F1D81">
      <w:pPr>
        <w:pStyle w:val="ListNumberNoSpacing2"/>
        <w:numPr>
          <w:ilvl w:val="2"/>
          <w:numId w:val="76"/>
        </w:numPr>
      </w:pPr>
      <w:r>
        <w:t>user feedback; and</w:t>
      </w:r>
    </w:p>
    <w:p w14:paraId="4234DA56" w14:textId="71100715" w:rsidR="00B355EA" w:rsidRDefault="00B355EA" w:rsidP="000F1D81">
      <w:pPr>
        <w:pStyle w:val="ListNumberNoSpacing2"/>
        <w:numPr>
          <w:ilvl w:val="2"/>
          <w:numId w:val="76"/>
        </w:numPr>
      </w:pPr>
      <w:r>
        <w:t>Concessionaire’s response.</w:t>
      </w:r>
    </w:p>
    <w:p w14:paraId="75730C46" w14:textId="69924C22" w:rsidR="00626ACF" w:rsidRDefault="00B355EA" w:rsidP="00B355EA">
      <w:pPr>
        <w:pStyle w:val="Appendix3"/>
      </w:pPr>
      <w:r>
        <w:t xml:space="preserve">The Concessionaire shall assist the </w:t>
      </w:r>
      <w:r w:rsidR="00544048">
        <w:t>Council</w:t>
      </w:r>
      <w:r>
        <w:t xml:space="preserve"> upon request with the conversion of charge point usage data into high-level environmental statistics to assist the </w:t>
      </w:r>
      <w:r w:rsidR="00544048">
        <w:t>Council</w:t>
      </w:r>
      <w:r>
        <w:t xml:space="preserve"> with reporting on the impact of charging in the region.</w:t>
      </w:r>
    </w:p>
    <w:p w14:paraId="7C080D59" w14:textId="3A723AEE" w:rsidR="00626ACF" w:rsidRDefault="00B355EA" w:rsidP="00B355EA">
      <w:pPr>
        <w:pStyle w:val="Appendix3"/>
      </w:pPr>
      <w:r>
        <w:t xml:space="preserve">The Concessionaire shall submit the operational information and data for each charge point to the </w:t>
      </w:r>
      <w:r w:rsidR="00544048">
        <w:t>Council</w:t>
      </w:r>
      <w:r>
        <w:t xml:space="preserve"> for the preceding three Months on or before the tenth (5th) day of July, October, January and April of each financial year.</w:t>
      </w:r>
    </w:p>
    <w:p w14:paraId="777CFA47" w14:textId="2E225606" w:rsidR="00626ACF" w:rsidRDefault="00B355EA" w:rsidP="00B355EA">
      <w:pPr>
        <w:pStyle w:val="Appendix3"/>
      </w:pPr>
      <w:r>
        <w:lastRenderedPageBreak/>
        <w:t xml:space="preserve">The Concessionaire shall, in addition to the operational data, provide the </w:t>
      </w:r>
      <w:r w:rsidR="00544048">
        <w:t>Council</w:t>
      </w:r>
      <w:r>
        <w:t xml:space="preserve"> with confirmation of the validated value of the payments to be made for each period </w:t>
      </w:r>
      <w:proofErr w:type="gramStart"/>
      <w:r>
        <w:t>as a result of</w:t>
      </w:r>
      <w:proofErr w:type="gramEnd"/>
      <w:r>
        <w:t xml:space="preserve"> the operational usage of the site.</w:t>
      </w:r>
    </w:p>
    <w:p w14:paraId="458443E8" w14:textId="77777777" w:rsidR="00626ACF" w:rsidRDefault="00B355EA" w:rsidP="00B355EA">
      <w:pPr>
        <w:pStyle w:val="Appendix2"/>
      </w:pPr>
      <w:bookmarkStart w:id="65" w:name="_Toc211513105"/>
      <w:r>
        <w:t>Electricity Costs</w:t>
      </w:r>
      <w:bookmarkEnd w:id="65"/>
    </w:p>
    <w:p w14:paraId="695B9E36" w14:textId="77777777" w:rsidR="00626ACF" w:rsidRDefault="00B355EA" w:rsidP="00B355EA">
      <w:pPr>
        <w:pStyle w:val="Appendix3"/>
      </w:pPr>
      <w:r>
        <w:t>The Concessionaire shall procure electricity for each charge point unit on 100% renewable energy tariffs.</w:t>
      </w:r>
    </w:p>
    <w:p w14:paraId="50264EF3" w14:textId="77777777" w:rsidR="00626ACF" w:rsidRDefault="00B355EA" w:rsidP="00B355EA">
      <w:pPr>
        <w:pStyle w:val="Appendix3"/>
      </w:pPr>
      <w:r>
        <w:t>The Concessionaire shall pay all electricity usage charges of the charge point and any ancillary equipment installed.</w:t>
      </w:r>
    </w:p>
    <w:p w14:paraId="20893B75" w14:textId="77777777" w:rsidR="00626ACF" w:rsidRDefault="00B355EA" w:rsidP="00B355EA">
      <w:pPr>
        <w:pStyle w:val="Appendix3"/>
      </w:pPr>
      <w:r>
        <w:t>The Concessionaire shall provide tariff metering functionality for EV charging equipment where the billing is based on energy usage.</w:t>
      </w:r>
    </w:p>
    <w:p w14:paraId="0B3F9F58" w14:textId="77777777" w:rsidR="00626ACF" w:rsidRDefault="00B355EA" w:rsidP="00B355EA">
      <w:pPr>
        <w:pStyle w:val="Appendix3"/>
      </w:pPr>
      <w:r>
        <w:t>The Concessionaire shall support both tariff and non-tariff metering options for EV charging equipment, as necessary for energy management purposes, especially in cases where compliance with Part L2 of the Building Regulations is required.</w:t>
      </w:r>
    </w:p>
    <w:p w14:paraId="736BB04B" w14:textId="77777777" w:rsidR="00626ACF" w:rsidRDefault="00B355EA" w:rsidP="00B355EA">
      <w:pPr>
        <w:pStyle w:val="Appendix3"/>
      </w:pPr>
      <w:r>
        <w:t>For installations requiring separate feeder pillars, the Concessionaire shall ensure that the EV charging equipment is compatible with and supports the integration of a feeder pillar containing the necessary energy meter.</w:t>
      </w:r>
    </w:p>
    <w:p w14:paraId="248B5CDF" w14:textId="4F82F9AA" w:rsidR="00B355EA" w:rsidRDefault="00B355EA" w:rsidP="00B355EA">
      <w:pPr>
        <w:pStyle w:val="Appendix3"/>
      </w:pPr>
      <w:r>
        <w:t>For EV charging equipment with built-in energy metering capabilities, the Concessionaire shall ensure that the meter accurately measures, records, and displays the amount of electrical energy used during the charging process.</w:t>
      </w:r>
    </w:p>
    <w:p w14:paraId="11768FF6" w14:textId="11A1B7B6" w:rsidR="00B355EA" w:rsidRDefault="00B355EA" w:rsidP="00626ACF">
      <w:pPr>
        <w:pStyle w:val="Appendix2"/>
      </w:pPr>
      <w:bookmarkStart w:id="66" w:name="_Toc211513106"/>
      <w:r>
        <w:t>Inspection, Testing, Maintenance, Repair and Renewal</w:t>
      </w:r>
      <w:bookmarkEnd w:id="66"/>
    </w:p>
    <w:p w14:paraId="13A245A3" w14:textId="312EDAF7" w:rsidR="00626ACF" w:rsidRDefault="00B355EA" w:rsidP="00B355EA">
      <w:pPr>
        <w:pStyle w:val="Appendix3"/>
      </w:pPr>
      <w:r>
        <w:t xml:space="preserve">The Concessionaire shall be responsible for the provision of maintenance, cleaning and repair of all charging equipment over the duration of the </w:t>
      </w:r>
      <w:r w:rsidR="00730F22">
        <w:t>Concession Agreement</w:t>
      </w:r>
      <w:r>
        <w:t>.</w:t>
      </w:r>
    </w:p>
    <w:p w14:paraId="6E4DDF66" w14:textId="3A4EC5C0" w:rsidR="00626ACF" w:rsidRDefault="00B355EA" w:rsidP="00B355EA">
      <w:pPr>
        <w:pStyle w:val="Appendix3"/>
      </w:pPr>
      <w:r>
        <w:t xml:space="preserve">The Concessionaire shall be responsible for ensuring that all cybersecurity measures are maintained and updated to protect against emergent vulnerabilities for the duration of the </w:t>
      </w:r>
      <w:r w:rsidR="00730F22">
        <w:t>Concession Agreement</w:t>
      </w:r>
      <w:r>
        <w:t>, this includes but is not limited to physical security and tamper measures, software patches and updates.</w:t>
      </w:r>
    </w:p>
    <w:p w14:paraId="262E610B" w14:textId="0602F24F" w:rsidR="00626ACF" w:rsidRDefault="00B355EA" w:rsidP="00B355EA">
      <w:pPr>
        <w:pStyle w:val="Appendix3"/>
      </w:pPr>
      <w:r>
        <w:t xml:space="preserve">Where maintenance is reference in the sections below this will be undertaken by either the Concessionaire or their approved third-party </w:t>
      </w:r>
      <w:r w:rsidR="00201746">
        <w:t>S</w:t>
      </w:r>
      <w:r>
        <w:t xml:space="preserve">upplier. </w:t>
      </w:r>
    </w:p>
    <w:p w14:paraId="2799D83B" w14:textId="162AC05D" w:rsidR="00626ACF" w:rsidRDefault="00B355EA" w:rsidP="00B355EA">
      <w:pPr>
        <w:pStyle w:val="Appendix3"/>
      </w:pPr>
      <w:r>
        <w:t xml:space="preserve">The Concessionaire shall undertake the ongoing inspection, testing, maintenance, repair and renewal of each charge point unit and the </w:t>
      </w:r>
      <w:r>
        <w:lastRenderedPageBreak/>
        <w:t>associated infrastructure so that they remain in a safe and serviceable condition throughout the operational service life stated in Appendix A.</w:t>
      </w:r>
      <w:r w:rsidR="0046244C">
        <w:t>3</w:t>
      </w:r>
      <w:r>
        <w:t>.</w:t>
      </w:r>
    </w:p>
    <w:p w14:paraId="4CE9A798" w14:textId="77777777" w:rsidR="00626ACF" w:rsidRDefault="00B355EA" w:rsidP="00B355EA">
      <w:pPr>
        <w:pStyle w:val="Appendix3"/>
      </w:pPr>
      <w:r>
        <w:t xml:space="preserve">The Concessionaire shall undertake the inspection, testing, maintenance and repair of each charge point unit in accordance with the </w:t>
      </w:r>
      <w:proofErr w:type="gramStart"/>
      <w:r>
        <w:t>particular requirements</w:t>
      </w:r>
      <w:proofErr w:type="gramEnd"/>
      <w:r>
        <w:t xml:space="preserve"> and recommendations of the charge point unit manufacturer.</w:t>
      </w:r>
    </w:p>
    <w:p w14:paraId="0A15D80D" w14:textId="77777777" w:rsidR="00626ACF" w:rsidRDefault="00B355EA" w:rsidP="00B355EA">
      <w:pPr>
        <w:pStyle w:val="Appendix3"/>
      </w:pPr>
      <w:r>
        <w:t>The Concessionaire shall undertake the inspection and testing of electrical installations in accordance with BS 7671 and the applicable guidance within the IET Code of Practice for Electric Charging Equipment Installation.</w:t>
      </w:r>
    </w:p>
    <w:p w14:paraId="085E6C0D" w14:textId="38F780D2" w:rsidR="00B355EA" w:rsidRDefault="00B355EA" w:rsidP="00B355EA">
      <w:pPr>
        <w:pStyle w:val="Appendix3"/>
      </w:pPr>
      <w:r>
        <w:t>The Concessionaire shall minimise the impact on charge point users during inspection, testing, maintenance, repair and renewal activities through:</w:t>
      </w:r>
    </w:p>
    <w:p w14:paraId="4C1AE14B" w14:textId="77777777" w:rsidR="00193D4F" w:rsidRDefault="00B355EA" w:rsidP="000F1D81">
      <w:pPr>
        <w:pStyle w:val="ListNumberNoSpacing2"/>
        <w:numPr>
          <w:ilvl w:val="1"/>
          <w:numId w:val="78"/>
        </w:numPr>
      </w:pPr>
      <w:r>
        <w:t xml:space="preserve">the effective planning and delivery of such </w:t>
      </w:r>
      <w:proofErr w:type="gramStart"/>
      <w:r>
        <w:t>activities;</w:t>
      </w:r>
      <w:proofErr w:type="gramEnd"/>
    </w:p>
    <w:p w14:paraId="78C4B3C6" w14:textId="77777777" w:rsidR="00193D4F" w:rsidRDefault="00B355EA" w:rsidP="000F1D81">
      <w:pPr>
        <w:pStyle w:val="ListNumberNoSpacing2"/>
        <w:numPr>
          <w:ilvl w:val="1"/>
          <w:numId w:val="78"/>
        </w:numPr>
      </w:pPr>
      <w:r>
        <w:t>the availability of maintenance resources to respond on site to:</w:t>
      </w:r>
    </w:p>
    <w:p w14:paraId="020724C7" w14:textId="77777777" w:rsidR="00193D4F" w:rsidRDefault="00B355EA" w:rsidP="000F1D81">
      <w:pPr>
        <w:pStyle w:val="ListNumberNoSpacing2"/>
        <w:numPr>
          <w:ilvl w:val="1"/>
          <w:numId w:val="78"/>
        </w:numPr>
      </w:pPr>
      <w:r>
        <w:t>emergencies (e.g., unsafe situations) and defects; and</w:t>
      </w:r>
    </w:p>
    <w:p w14:paraId="7D54BEB9" w14:textId="24AC535F" w:rsidR="00B355EA" w:rsidRDefault="00B355EA" w:rsidP="000F1D81">
      <w:pPr>
        <w:pStyle w:val="ListNumberNoSpacing2"/>
        <w:numPr>
          <w:ilvl w:val="1"/>
          <w:numId w:val="78"/>
        </w:numPr>
      </w:pPr>
      <w:r>
        <w:t>the provision of remote, real-time access to each charge point unit.</w:t>
      </w:r>
    </w:p>
    <w:p w14:paraId="3725C8ED" w14:textId="14888282" w:rsidR="00B355EA" w:rsidRDefault="00B355EA" w:rsidP="00193D4F">
      <w:pPr>
        <w:pStyle w:val="Appendix3"/>
      </w:pPr>
      <w:r>
        <w:t>The Concessionaire shall prepare and maintain complete and legible records of all inspection, testing, maintenance, repair and renewal activities. Such records shall include the following details of each activity:</w:t>
      </w:r>
    </w:p>
    <w:p w14:paraId="7843A380" w14:textId="77777777" w:rsidR="00193D4F" w:rsidRDefault="00B355EA" w:rsidP="000F1D81">
      <w:pPr>
        <w:pStyle w:val="ListNumberNoSpacing2"/>
        <w:numPr>
          <w:ilvl w:val="1"/>
          <w:numId w:val="79"/>
        </w:numPr>
      </w:pPr>
      <w:r>
        <w:t xml:space="preserve">the site at which the work was </w:t>
      </w:r>
      <w:proofErr w:type="gramStart"/>
      <w:r>
        <w:t>undertaken;</w:t>
      </w:r>
      <w:proofErr w:type="gramEnd"/>
    </w:p>
    <w:p w14:paraId="6EA5FAEA" w14:textId="77777777" w:rsidR="00193D4F" w:rsidRDefault="00B355EA" w:rsidP="000F1D81">
      <w:pPr>
        <w:pStyle w:val="ListNumberNoSpacing2"/>
        <w:numPr>
          <w:ilvl w:val="1"/>
          <w:numId w:val="79"/>
        </w:numPr>
      </w:pPr>
      <w:r>
        <w:t xml:space="preserve">the equipment, system or infrastructure worked </w:t>
      </w:r>
      <w:proofErr w:type="gramStart"/>
      <w:r>
        <w:t>on;</w:t>
      </w:r>
      <w:proofErr w:type="gramEnd"/>
    </w:p>
    <w:p w14:paraId="2F060572" w14:textId="77777777" w:rsidR="00193D4F" w:rsidRDefault="00B355EA" w:rsidP="000F1D81">
      <w:pPr>
        <w:pStyle w:val="ListNumberNoSpacing2"/>
        <w:numPr>
          <w:ilvl w:val="1"/>
          <w:numId w:val="79"/>
        </w:numPr>
      </w:pPr>
      <w:r>
        <w:t xml:space="preserve">the date(s) and time(s) on which the work was </w:t>
      </w:r>
      <w:proofErr w:type="gramStart"/>
      <w:r>
        <w:t>undertaken;</w:t>
      </w:r>
      <w:proofErr w:type="gramEnd"/>
    </w:p>
    <w:p w14:paraId="020BF02C" w14:textId="77777777" w:rsidR="00193D4F" w:rsidRDefault="00B355EA" w:rsidP="000F1D81">
      <w:pPr>
        <w:pStyle w:val="ListNumberNoSpacing2"/>
        <w:numPr>
          <w:ilvl w:val="1"/>
          <w:numId w:val="79"/>
        </w:numPr>
      </w:pPr>
      <w:r>
        <w:t xml:space="preserve">the names of the organisations and persons that carried out the </w:t>
      </w:r>
      <w:proofErr w:type="gramStart"/>
      <w:r>
        <w:t>work;</w:t>
      </w:r>
      <w:proofErr w:type="gramEnd"/>
    </w:p>
    <w:p w14:paraId="3DE3A67B" w14:textId="77777777" w:rsidR="00193D4F" w:rsidRDefault="00B355EA" w:rsidP="000F1D81">
      <w:pPr>
        <w:pStyle w:val="ListNumberNoSpacing2"/>
        <w:numPr>
          <w:ilvl w:val="1"/>
          <w:numId w:val="79"/>
        </w:numPr>
      </w:pPr>
      <w:r>
        <w:t xml:space="preserve">the reason for the </w:t>
      </w:r>
      <w:proofErr w:type="gramStart"/>
      <w:r>
        <w:t>activity;</w:t>
      </w:r>
      <w:proofErr w:type="gramEnd"/>
    </w:p>
    <w:p w14:paraId="436DBFCC" w14:textId="77777777" w:rsidR="00193D4F" w:rsidRDefault="00B355EA" w:rsidP="000F1D81">
      <w:pPr>
        <w:pStyle w:val="ListNumberNoSpacing2"/>
        <w:numPr>
          <w:ilvl w:val="1"/>
          <w:numId w:val="79"/>
        </w:numPr>
      </w:pPr>
      <w:r>
        <w:t xml:space="preserve">the nature of the work </w:t>
      </w:r>
      <w:proofErr w:type="gramStart"/>
      <w:r>
        <w:t>undertaken;</w:t>
      </w:r>
      <w:proofErr w:type="gramEnd"/>
    </w:p>
    <w:p w14:paraId="1761E354" w14:textId="77777777" w:rsidR="00193D4F" w:rsidRDefault="00B355EA" w:rsidP="000F1D81">
      <w:pPr>
        <w:pStyle w:val="ListNumberNoSpacing2"/>
        <w:numPr>
          <w:ilvl w:val="1"/>
          <w:numId w:val="79"/>
        </w:numPr>
      </w:pPr>
      <w:r>
        <w:t xml:space="preserve">details of any line replaceable units or modules replaced including the serial numbers of the removed and the replacement units or </w:t>
      </w:r>
      <w:proofErr w:type="gramStart"/>
      <w:r>
        <w:t>modules;</w:t>
      </w:r>
      <w:proofErr w:type="gramEnd"/>
    </w:p>
    <w:p w14:paraId="554468C6" w14:textId="77777777" w:rsidR="00193D4F" w:rsidRDefault="00B355EA" w:rsidP="000F1D81">
      <w:pPr>
        <w:pStyle w:val="ListNumberNoSpacing2"/>
        <w:numPr>
          <w:ilvl w:val="1"/>
          <w:numId w:val="79"/>
        </w:numPr>
      </w:pPr>
      <w:r>
        <w:t xml:space="preserve">details of any equipment or system configuration changes </w:t>
      </w:r>
      <w:proofErr w:type="gramStart"/>
      <w:r>
        <w:t>made;</w:t>
      </w:r>
      <w:proofErr w:type="gramEnd"/>
    </w:p>
    <w:p w14:paraId="46158F0D" w14:textId="77777777" w:rsidR="00193D4F" w:rsidRDefault="00B355EA" w:rsidP="000F1D81">
      <w:pPr>
        <w:pStyle w:val="ListNumberNoSpacing2"/>
        <w:numPr>
          <w:ilvl w:val="1"/>
          <w:numId w:val="79"/>
        </w:numPr>
      </w:pPr>
      <w:r>
        <w:t>details of any further work advised or required for operational or safety reasons; and</w:t>
      </w:r>
    </w:p>
    <w:p w14:paraId="0D6581FB" w14:textId="77777777" w:rsidR="00193D4F" w:rsidRDefault="00B355EA" w:rsidP="000F1D81">
      <w:pPr>
        <w:pStyle w:val="ListNumberNoSpacing2"/>
        <w:numPr>
          <w:ilvl w:val="1"/>
          <w:numId w:val="79"/>
        </w:numPr>
      </w:pPr>
      <w:r>
        <w:t xml:space="preserve">the signature of the persons responsible for carrying out the work (where required by the </w:t>
      </w:r>
      <w:proofErr w:type="gramStart"/>
      <w:r>
        <w:t>particular record</w:t>
      </w:r>
      <w:proofErr w:type="gramEnd"/>
      <w:r>
        <w:t xml:space="preserve"> type).</w:t>
      </w:r>
    </w:p>
    <w:p w14:paraId="780B3DF2" w14:textId="35E318C8" w:rsidR="000F1D81" w:rsidRDefault="00B355EA" w:rsidP="00B355EA">
      <w:pPr>
        <w:pStyle w:val="Appendix3"/>
      </w:pPr>
      <w:r>
        <w:t xml:space="preserve">An electronic copy of each record of an inspection, testing, maintenance, repair or renewal activity shall be retained by the Concessionaire and made available to the </w:t>
      </w:r>
      <w:r w:rsidR="00544048">
        <w:t>Council</w:t>
      </w:r>
      <w:r>
        <w:t xml:space="preserve">, if requested, within two weeks of the completion of the activity.  </w:t>
      </w:r>
    </w:p>
    <w:p w14:paraId="7CF34317" w14:textId="77777777" w:rsidR="000F1D81" w:rsidRDefault="00B355EA" w:rsidP="00B355EA">
      <w:pPr>
        <w:pStyle w:val="Appendix3"/>
      </w:pPr>
      <w:r>
        <w:lastRenderedPageBreak/>
        <w:t>The Concessionaire shall update the health and safety file for each charge point site where the Concessionaire makes a change during maintenance, repair or replacement activities which renders data or information in the pre-existing file out-of-date.</w:t>
      </w:r>
    </w:p>
    <w:p w14:paraId="71997233" w14:textId="353BF7AC" w:rsidR="00B355EA" w:rsidRPr="004E6917" w:rsidRDefault="00B355EA" w:rsidP="00B355EA">
      <w:pPr>
        <w:pStyle w:val="Appendix3"/>
      </w:pPr>
      <w:r>
        <w:t xml:space="preserve">The Concessionaire shall detail its regime for the inspection, testing, maintenance, repair and renewal of each charge point unit and the associated infrastructure in a maintenance plan which shall be submitted to the </w:t>
      </w:r>
      <w:r w:rsidR="00544048">
        <w:t>Council</w:t>
      </w:r>
      <w:r>
        <w:t xml:space="preserve"> for </w:t>
      </w:r>
      <w:r w:rsidR="00730F22">
        <w:t>a</w:t>
      </w:r>
      <w:r>
        <w:t>pproval prior to the end of the site delivery.</w:t>
      </w:r>
    </w:p>
    <w:sectPr w:rsidR="00B355EA" w:rsidRPr="004E6917" w:rsidSect="00484F8A">
      <w:headerReference w:type="even" r:id="rId22"/>
      <w:headerReference w:type="default" r:id="rId23"/>
      <w:footerReference w:type="even" r:id="rId24"/>
      <w:footerReference w:type="default" r:id="rId25"/>
      <w:headerReference w:type="first" r:id="rId26"/>
      <w:footerReference w:type="first" r:id="rId27"/>
      <w:pgSz w:w="11906" w:h="16838" w:code="9"/>
      <w:pgMar w:top="1440" w:right="1440" w:bottom="1440" w:left="144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9EDA3" w14:textId="77777777" w:rsidR="000B7517" w:rsidRDefault="000B7517" w:rsidP="00F317CC">
      <w:r>
        <w:separator/>
      </w:r>
    </w:p>
  </w:endnote>
  <w:endnote w:type="continuationSeparator" w:id="0">
    <w:p w14:paraId="30351226" w14:textId="77777777" w:rsidR="000B7517" w:rsidRDefault="000B7517" w:rsidP="00F31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9810" w14:textId="77777777" w:rsidR="00CA2C8A" w:rsidRDefault="00CA2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ADB9" w14:textId="77777777" w:rsidR="00CA2C8A" w:rsidRDefault="00CA2C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ayout w:type="fixed"/>
      <w:tblCellMar>
        <w:left w:w="0" w:type="dxa"/>
        <w:right w:w="0" w:type="dxa"/>
      </w:tblCellMar>
      <w:tblLook w:val="0000" w:firstRow="0" w:lastRow="0" w:firstColumn="0" w:lastColumn="0" w:noHBand="0" w:noVBand="0"/>
    </w:tblPr>
    <w:tblGrid>
      <w:gridCol w:w="4141"/>
      <w:gridCol w:w="4052"/>
      <w:gridCol w:w="1446"/>
    </w:tblGrid>
    <w:tr w:rsidR="00F85505" w14:paraId="296DCDB2" w14:textId="77777777" w:rsidTr="008153A3">
      <w:trPr>
        <w:cantSplit/>
        <w:jc w:val="center"/>
      </w:trPr>
      <w:tc>
        <w:tcPr>
          <w:tcW w:w="2148" w:type="pct"/>
          <w:tcMar>
            <w:right w:w="227" w:type="dxa"/>
          </w:tcMar>
          <w:vAlign w:val="bottom"/>
        </w:tcPr>
        <w:p w14:paraId="164D0DB3" w14:textId="77777777" w:rsidR="00F85505" w:rsidRPr="00064AEE" w:rsidRDefault="00F85505" w:rsidP="00F85505"/>
      </w:tc>
      <w:tc>
        <w:tcPr>
          <w:tcW w:w="2102" w:type="pct"/>
        </w:tcPr>
        <w:p w14:paraId="2513480C" w14:textId="77777777" w:rsidR="00F85505" w:rsidRPr="0085358C" w:rsidRDefault="00F85505" w:rsidP="00F85505"/>
      </w:tc>
      <w:tc>
        <w:tcPr>
          <w:tcW w:w="750" w:type="pct"/>
          <w:vAlign w:val="bottom"/>
        </w:tcPr>
        <w:p w14:paraId="6FBFBACA" w14:textId="77777777" w:rsidR="00F85505" w:rsidRDefault="00F85505" w:rsidP="00A27D10">
          <w:pP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r>
  </w:tbl>
  <w:p w14:paraId="7478F84F" w14:textId="77777777" w:rsidR="00F317CC" w:rsidRPr="00CA71C9" w:rsidRDefault="00F317C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7B3D" w14:textId="77777777" w:rsidR="000B7517" w:rsidRDefault="000B7517" w:rsidP="00F317CC">
      <w:r>
        <w:separator/>
      </w:r>
    </w:p>
  </w:footnote>
  <w:footnote w:type="continuationSeparator" w:id="0">
    <w:p w14:paraId="2E5A1FCF" w14:textId="77777777" w:rsidR="000B7517" w:rsidRDefault="000B7517" w:rsidP="00F31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D849" w14:textId="77777777" w:rsidR="00CA2C8A" w:rsidRDefault="00CA2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760F" w14:textId="77777777" w:rsidR="00CA2C8A" w:rsidRDefault="00CA2C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2080" w14:textId="77777777" w:rsidR="00CA2C8A" w:rsidRDefault="00CA2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B676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5E568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E556CD9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3E821B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4834EBD"/>
    <w:multiLevelType w:val="multilevel"/>
    <w:tmpl w:val="CA3607A4"/>
    <w:styleLink w:val="ListStyle-Headings"/>
    <w:lvl w:ilvl="0">
      <w:start w:val="1"/>
      <w:numFmt w:val="decimal"/>
      <w:lvlText w:val="%1."/>
      <w:lvlJc w:val="left"/>
      <w:pPr>
        <w:ind w:left="1077" w:hanging="1077"/>
      </w:pPr>
      <w:rPr>
        <w:rFonts w:asciiTheme="minorHAnsi" w:hAnsiTheme="minorHAnsi" w:hint="default"/>
      </w:rPr>
    </w:lvl>
    <w:lvl w:ilvl="1">
      <w:start w:val="1"/>
      <w:numFmt w:val="decimal"/>
      <w:lvlText w:val="%1.%2"/>
      <w:lvlJc w:val="left"/>
      <w:pPr>
        <w:ind w:left="1077" w:hanging="107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none"/>
      <w:lvlRestart w:val="0"/>
      <w:lvlText w:val=""/>
      <w:lvlJc w:val="left"/>
      <w:pPr>
        <w:ind w:left="0" w:firstLine="0"/>
      </w:pPr>
      <w:rPr>
        <w:rFonts w:hint="default"/>
      </w:rPr>
    </w:lvl>
    <w:lvl w:ilvl="7">
      <w:start w:val="1"/>
      <w:numFmt w:val="none"/>
      <w:lvlText w:val=""/>
      <w:lvlJc w:val="left"/>
      <w:pPr>
        <w:ind w:left="1077" w:hanging="1077"/>
      </w:pPr>
      <w:rPr>
        <w:rFonts w:hint="default"/>
      </w:rPr>
    </w:lvl>
    <w:lvl w:ilvl="8">
      <w:start w:val="1"/>
      <w:numFmt w:val="none"/>
      <w:lvlText w:val=""/>
      <w:lvlJc w:val="left"/>
      <w:pPr>
        <w:ind w:left="1077" w:hanging="1077"/>
      </w:pPr>
      <w:rPr>
        <w:rFonts w:hint="default"/>
      </w:rPr>
    </w:lvl>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837254"/>
    <w:multiLevelType w:val="multilevel"/>
    <w:tmpl w:val="6BD40C76"/>
    <w:numStyleLink w:val="ListStyle-ListAlphabet"/>
  </w:abstractNum>
  <w:abstractNum w:abstractNumId="7" w15:restartNumberingAfterBreak="0">
    <w:nsid w:val="11D717D8"/>
    <w:multiLevelType w:val="hybridMultilevel"/>
    <w:tmpl w:val="E42A9F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1A2432"/>
    <w:multiLevelType w:val="multilevel"/>
    <w:tmpl w:val="0486E33C"/>
    <w:numStyleLink w:val="ListStyle-AppendixHeading"/>
  </w:abstractNum>
  <w:abstractNum w:abstractNumId="9" w15:restartNumberingAfterBreak="0">
    <w:nsid w:val="141D3E7B"/>
    <w:multiLevelType w:val="multilevel"/>
    <w:tmpl w:val="DBF02CFE"/>
    <w:numStyleLink w:val="ListStyle-TableListBullet"/>
  </w:abstractNum>
  <w:abstractNum w:abstractNumId="10" w15:restartNumberingAfterBreak="0">
    <w:nsid w:val="197C6BC6"/>
    <w:multiLevelType w:val="multilevel"/>
    <w:tmpl w:val="6BD40C76"/>
    <w:styleLink w:val="ListStyle-ListAlphabet"/>
    <w:lvl w:ilvl="0">
      <w:start w:val="1"/>
      <w:numFmt w:val="lowerLetter"/>
      <w:pStyle w:val="ListAlphabet"/>
      <w:lvlText w:val="%1."/>
      <w:lvlJc w:val="left"/>
      <w:pPr>
        <w:ind w:left="284" w:hanging="284"/>
      </w:pPr>
      <w:rPr>
        <w:rFonts w:asciiTheme="minorHAnsi" w:hAnsiTheme="minorHAnsi" w:hint="default"/>
      </w:rPr>
    </w:lvl>
    <w:lvl w:ilvl="1">
      <w:start w:val="1"/>
      <w:numFmt w:val="lowerRoman"/>
      <w:pStyle w:val="ListAlphabet2"/>
      <w:lvlText w:val="%2."/>
      <w:lvlJc w:val="left"/>
      <w:pPr>
        <w:ind w:left="568" w:hanging="284"/>
      </w:pPr>
      <w:rPr>
        <w:rFonts w:asciiTheme="minorHAnsi" w:hAnsiTheme="minorHAnsi" w:hint="default"/>
      </w:rPr>
    </w:lvl>
    <w:lvl w:ilvl="2">
      <w:start w:val="1"/>
      <w:numFmt w:val="decimal"/>
      <w:pStyle w:val="ListAlphabet3"/>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11" w15:restartNumberingAfterBreak="0">
    <w:nsid w:val="1BFA6D9E"/>
    <w:multiLevelType w:val="hybridMultilevel"/>
    <w:tmpl w:val="32A2DA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1B3059"/>
    <w:multiLevelType w:val="multilevel"/>
    <w:tmpl w:val="DAD4A89A"/>
    <w:styleLink w:val="ListStyle-ListNumber"/>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680" w:hanging="340"/>
      </w:pPr>
      <w:rPr>
        <w:rFonts w:asciiTheme="minorHAnsi" w:hAnsiTheme="minorHAnsi" w:hint="default"/>
      </w:rPr>
    </w:lvl>
    <w:lvl w:ilvl="2">
      <w:start w:val="1"/>
      <w:numFmt w:val="bullet"/>
      <w:pStyle w:val="ListNumber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lowerRoman"/>
      <w:lvlText w:val="%6."/>
      <w:lvlJc w:val="left"/>
      <w:pPr>
        <w:ind w:left="2040" w:hanging="340"/>
      </w:pPr>
      <w:rPr>
        <w:rFonts w:hint="default"/>
        <w:color w:val="auto"/>
      </w:rPr>
    </w:lvl>
    <w:lvl w:ilvl="6">
      <w:start w:val="1"/>
      <w:numFmt w:val="decimal"/>
      <w:lvlText w:val="%7."/>
      <w:lvlJc w:val="left"/>
      <w:pPr>
        <w:ind w:left="2380" w:hanging="340"/>
      </w:pPr>
      <w:rPr>
        <w:rFonts w:hint="default"/>
        <w:color w:val="auto"/>
      </w:rPr>
    </w:lvl>
    <w:lvl w:ilvl="7">
      <w:start w:val="1"/>
      <w:numFmt w:val="lowerLetter"/>
      <w:lvlText w:val="%8."/>
      <w:lvlJc w:val="left"/>
      <w:pPr>
        <w:ind w:left="2720" w:hanging="340"/>
      </w:pPr>
      <w:rPr>
        <w:rFonts w:hint="default"/>
        <w:color w:val="auto"/>
      </w:rPr>
    </w:lvl>
    <w:lvl w:ilvl="8">
      <w:start w:val="1"/>
      <w:numFmt w:val="lowerRoman"/>
      <w:lvlText w:val="%9."/>
      <w:lvlJc w:val="left"/>
      <w:pPr>
        <w:ind w:left="3060" w:hanging="340"/>
      </w:pPr>
      <w:rPr>
        <w:rFonts w:hint="default"/>
        <w:color w:val="auto"/>
      </w:rPr>
    </w:lvl>
  </w:abstractNum>
  <w:abstractNum w:abstractNumId="13" w15:restartNumberingAfterBreak="0">
    <w:nsid w:val="2019191E"/>
    <w:multiLevelType w:val="multilevel"/>
    <w:tmpl w:val="0486E33C"/>
    <w:styleLink w:val="ListStyle-AppendixHeading"/>
    <w:lvl w:ilvl="0">
      <w:start w:val="1"/>
      <w:numFmt w:val="upperLetter"/>
      <w:pStyle w:val="Heading7"/>
      <w:suff w:val="nothing"/>
      <w:lvlText w:val="Appendix %1"/>
      <w:lvlJc w:val="left"/>
      <w:pPr>
        <w:ind w:left="0" w:firstLine="0"/>
      </w:pPr>
      <w:rPr>
        <w:rFonts w:asciiTheme="minorHAnsi" w:hAnsiTheme="minorHAnsi" w:hint="default"/>
      </w:rPr>
    </w:lvl>
    <w:lvl w:ilvl="1">
      <w:start w:val="1"/>
      <w:numFmt w:val="decimal"/>
      <w:lvlText w:val="%1.%2"/>
      <w:lvlJc w:val="left"/>
      <w:pPr>
        <w:ind w:left="1134" w:hanging="1134"/>
      </w:pPr>
      <w:rPr>
        <w:rFonts w:hint="default"/>
      </w:rPr>
    </w:lvl>
    <w:lvl w:ilvl="2">
      <w:start w:val="1"/>
      <w:numFmt w:val="decimal"/>
      <w:lvlText w:val="%1.%2.%3"/>
      <w:lvlJc w:val="left"/>
      <w:pPr>
        <w:tabs>
          <w:tab w:val="num" w:pos="0"/>
        </w:tabs>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37E50CA"/>
    <w:multiLevelType w:val="multilevel"/>
    <w:tmpl w:val="4ECA1CDC"/>
    <w:styleLink w:val="ListStyle-TableListNumber"/>
    <w:lvl w:ilvl="0">
      <w:start w:val="1"/>
      <w:numFmt w:val="decimal"/>
      <w:pStyle w:val="Table-ListNumber"/>
      <w:lvlText w:val="%1."/>
      <w:lvlJc w:val="left"/>
      <w:pPr>
        <w:ind w:left="340" w:hanging="227"/>
      </w:pPr>
      <w:rPr>
        <w:rFonts w:asciiTheme="minorHAnsi" w:hAnsiTheme="minorHAnsi" w:hint="default"/>
      </w:rPr>
    </w:lvl>
    <w:lvl w:ilvl="1">
      <w:start w:val="1"/>
      <w:numFmt w:val="lowerLetter"/>
      <w:pStyle w:val="Table-ListNumber2"/>
      <w:lvlText w:val="%2."/>
      <w:lvlJc w:val="left"/>
      <w:pPr>
        <w:ind w:left="567" w:hanging="227"/>
      </w:pPr>
      <w:rPr>
        <w:rFonts w:asciiTheme="minorHAnsi" w:hAnsiTheme="minorHAnsi" w:hint="default"/>
      </w:rPr>
    </w:lvl>
    <w:lvl w:ilvl="2">
      <w:start w:val="1"/>
      <w:numFmt w:val="bullet"/>
      <w:pStyle w:val="Table-ListNumber3"/>
      <w:lvlText w:val=""/>
      <w:lvlJc w:val="left"/>
      <w:pPr>
        <w:ind w:left="794" w:hanging="227"/>
      </w:pPr>
      <w:rPr>
        <w:rFonts w:ascii="Symbol" w:hAnsi="Symbol" w:hint="default"/>
        <w:color w:val="auto"/>
      </w:rPr>
    </w:lvl>
    <w:lvl w:ilvl="3">
      <w:start w:val="1"/>
      <w:numFmt w:val="decimal"/>
      <w:lvlText w:val="%4."/>
      <w:lvlJc w:val="left"/>
      <w:pPr>
        <w:ind w:left="1021" w:hanging="227"/>
      </w:pPr>
      <w:rPr>
        <w:rFonts w:asciiTheme="minorHAnsi" w:hAnsiTheme="minorHAnsi" w:hint="default"/>
      </w:rPr>
    </w:lvl>
    <w:lvl w:ilvl="4">
      <w:start w:val="1"/>
      <w:numFmt w:val="lowerLetter"/>
      <w:lvlText w:val="%5."/>
      <w:lvlJc w:val="left"/>
      <w:pPr>
        <w:ind w:left="1248" w:hanging="227"/>
      </w:pPr>
      <w:rPr>
        <w:rFonts w:asciiTheme="minorHAnsi" w:hAnsiTheme="minorHAnsi" w:hint="default"/>
      </w:rPr>
    </w:lvl>
    <w:lvl w:ilvl="5">
      <w:start w:val="1"/>
      <w:numFmt w:val="bullet"/>
      <w:lvlText w:val=""/>
      <w:lvlJc w:val="left"/>
      <w:pPr>
        <w:ind w:left="1475" w:hanging="227"/>
      </w:pPr>
      <w:rPr>
        <w:rFonts w:ascii="Symbol" w:hAnsi="Symbol" w:hint="default"/>
        <w:color w:val="auto"/>
      </w:rPr>
    </w:lvl>
    <w:lvl w:ilvl="6">
      <w:start w:val="1"/>
      <w:numFmt w:val="decimal"/>
      <w:lvlText w:val="%7."/>
      <w:lvlJc w:val="left"/>
      <w:pPr>
        <w:ind w:left="1702" w:hanging="227"/>
      </w:pPr>
      <w:rPr>
        <w:rFonts w:asciiTheme="minorHAnsi" w:hAnsiTheme="minorHAnsi" w:hint="default"/>
      </w:rPr>
    </w:lvl>
    <w:lvl w:ilvl="7">
      <w:start w:val="1"/>
      <w:numFmt w:val="lowerLetter"/>
      <w:lvlText w:val="%8."/>
      <w:lvlJc w:val="left"/>
      <w:pPr>
        <w:ind w:left="1929" w:hanging="227"/>
      </w:pPr>
      <w:rPr>
        <w:rFonts w:asciiTheme="minorHAnsi" w:hAnsiTheme="minorHAnsi" w:hint="default"/>
      </w:rPr>
    </w:lvl>
    <w:lvl w:ilvl="8">
      <w:start w:val="1"/>
      <w:numFmt w:val="bullet"/>
      <w:lvlText w:val=""/>
      <w:lvlJc w:val="left"/>
      <w:pPr>
        <w:ind w:left="2156" w:hanging="227"/>
      </w:pPr>
      <w:rPr>
        <w:rFonts w:ascii="Symbol" w:hAnsi="Symbol" w:hint="default"/>
        <w:color w:val="auto"/>
      </w:rPr>
    </w:lvl>
  </w:abstractNum>
  <w:abstractNum w:abstractNumId="15" w15:restartNumberingAfterBreak="0">
    <w:nsid w:val="25AC6FB8"/>
    <w:multiLevelType w:val="hybridMultilevel"/>
    <w:tmpl w:val="4580BC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3E5D08"/>
    <w:multiLevelType w:val="multilevel"/>
    <w:tmpl w:val="D8CA6BB0"/>
    <w:numStyleLink w:val="ListStyle-ListBulletNoSpacing"/>
  </w:abstractNum>
  <w:abstractNum w:abstractNumId="17" w15:restartNumberingAfterBreak="0">
    <w:nsid w:val="2A8574FB"/>
    <w:multiLevelType w:val="multilevel"/>
    <w:tmpl w:val="BA968C96"/>
    <w:styleLink w:val="ListStyle-ListNumberNoSpacing"/>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bullet"/>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18" w15:restartNumberingAfterBreak="0">
    <w:nsid w:val="2E8A1732"/>
    <w:multiLevelType w:val="multilevel"/>
    <w:tmpl w:val="D8CA6BB0"/>
    <w:styleLink w:val="ListStyle-ListBulletNoSpacing"/>
    <w:lvl w:ilvl="0">
      <w:start w:val="1"/>
      <w:numFmt w:val="bullet"/>
      <w:pStyle w:val="ListBulletNoSpacing"/>
      <w:lvlText w:val=""/>
      <w:lvlJc w:val="left"/>
      <w:pPr>
        <w:ind w:left="340" w:hanging="340"/>
      </w:pPr>
      <w:rPr>
        <w:rFonts w:ascii="Symbol" w:hAnsi="Symbol" w:hint="default"/>
      </w:rPr>
    </w:lvl>
    <w:lvl w:ilvl="1">
      <w:start w:val="1"/>
      <w:numFmt w:val="bullet"/>
      <w:pStyle w:val="ListBulletNoSpacing2"/>
      <w:lvlText w:val=""/>
      <w:lvlJc w:val="left"/>
      <w:pPr>
        <w:ind w:left="680" w:hanging="340"/>
      </w:pPr>
      <w:rPr>
        <w:rFonts w:ascii="Symbol" w:hAnsi="Symbol" w:hint="default"/>
        <w:color w:val="auto"/>
      </w:rPr>
    </w:lvl>
    <w:lvl w:ilvl="2">
      <w:start w:val="1"/>
      <w:numFmt w:val="bullet"/>
      <w:pStyle w:val="ListBulletNoSpacing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19" w15:restartNumberingAfterBreak="0">
    <w:nsid w:val="34DD3967"/>
    <w:multiLevelType w:val="multilevel"/>
    <w:tmpl w:val="4ECA1CDC"/>
    <w:numStyleLink w:val="ListStyle-TableListNumber"/>
  </w:abstractNum>
  <w:abstractNum w:abstractNumId="20" w15:restartNumberingAfterBreak="0">
    <w:nsid w:val="486F0B62"/>
    <w:multiLevelType w:val="multilevel"/>
    <w:tmpl w:val="E9CA6A6C"/>
    <w:styleLink w:val="ListStyle-ListBullet"/>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Symbol" w:hAnsi="Symbol" w:hint="default"/>
        <w:color w:val="auto"/>
      </w:rPr>
    </w:lvl>
    <w:lvl w:ilvl="2">
      <w:start w:val="1"/>
      <w:numFmt w:val="bullet"/>
      <w:pStyle w:val="ListBullet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21" w15:restartNumberingAfterBreak="0">
    <w:nsid w:val="4B0E2738"/>
    <w:multiLevelType w:val="hybridMultilevel"/>
    <w:tmpl w:val="B2F2914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687BF7"/>
    <w:multiLevelType w:val="multilevel"/>
    <w:tmpl w:val="E0ACE41C"/>
    <w:lvl w:ilvl="0">
      <w:start w:val="1"/>
      <w:numFmt w:val="decimal"/>
      <w:pStyle w:val="Heading1"/>
      <w:lvlText w:val="%1."/>
      <w:lvlJc w:val="left"/>
      <w:pPr>
        <w:ind w:left="1077" w:hanging="1077"/>
      </w:pPr>
      <w:rPr>
        <w:rFonts w:asciiTheme="minorHAnsi" w:hAnsiTheme="minorHAnsi" w:hint="default"/>
      </w:rPr>
    </w:lvl>
    <w:lvl w:ilvl="1">
      <w:start w:val="1"/>
      <w:numFmt w:val="decimal"/>
      <w:pStyle w:val="Heading2"/>
      <w:lvlText w:val="%1.%2"/>
      <w:lvlJc w:val="left"/>
      <w:pPr>
        <w:ind w:left="1077" w:hanging="1077"/>
      </w:pPr>
      <w:rPr>
        <w:rFonts w:hint="default"/>
      </w:rPr>
    </w:lvl>
    <w:lvl w:ilvl="2">
      <w:start w:val="1"/>
      <w:numFmt w:val="decimal"/>
      <w:pStyle w:val="Heading3"/>
      <w:lvlText w:val="%1.%2.%3"/>
      <w:lvlJc w:val="left"/>
      <w:pPr>
        <w:ind w:left="1077" w:hanging="1077"/>
      </w:pPr>
      <w:rPr>
        <w:rFonts w:hint="default"/>
      </w:rPr>
    </w:lvl>
    <w:lvl w:ilvl="3">
      <w:start w:val="1"/>
      <w:numFmt w:val="decimal"/>
      <w:pStyle w:val="Heading4"/>
      <w:lvlText w:val="%1.%2.%3.%4"/>
      <w:lvlJc w:val="left"/>
      <w:pPr>
        <w:ind w:left="1077" w:hanging="1077"/>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077" w:hanging="1077"/>
      </w:pPr>
      <w:rPr>
        <w:rFonts w:hint="default"/>
      </w:rPr>
    </w:lvl>
    <w:lvl w:ilvl="6">
      <w:start w:val="1"/>
      <w:numFmt w:val="none"/>
      <w:lvlRestart w:val="0"/>
      <w:lvlText w:val=""/>
      <w:lvlJc w:val="left"/>
      <w:pPr>
        <w:ind w:left="0" w:firstLine="0"/>
      </w:pPr>
      <w:rPr>
        <w:rFonts w:hint="default"/>
      </w:rPr>
    </w:lvl>
    <w:lvl w:ilvl="7">
      <w:start w:val="1"/>
      <w:numFmt w:val="none"/>
      <w:lvlText w:val=""/>
      <w:lvlJc w:val="left"/>
      <w:pPr>
        <w:ind w:left="1077" w:hanging="1077"/>
      </w:pPr>
      <w:rPr>
        <w:rFonts w:hint="default"/>
      </w:rPr>
    </w:lvl>
    <w:lvl w:ilvl="8">
      <w:start w:val="1"/>
      <w:numFmt w:val="none"/>
      <w:lvlText w:val=""/>
      <w:lvlJc w:val="left"/>
      <w:pPr>
        <w:ind w:left="1077" w:hanging="1077"/>
      </w:pPr>
      <w:rPr>
        <w:rFonts w:hint="default"/>
      </w:rPr>
    </w:lvl>
  </w:abstractNum>
  <w:abstractNum w:abstractNumId="23" w15:restartNumberingAfterBreak="0">
    <w:nsid w:val="55560836"/>
    <w:multiLevelType w:val="multilevel"/>
    <w:tmpl w:val="DBF02CFE"/>
    <w:styleLink w:val="ListStyle-TableListBullet"/>
    <w:lvl w:ilvl="0">
      <w:start w:val="1"/>
      <w:numFmt w:val="bullet"/>
      <w:pStyle w:val="Table-ListBullet"/>
      <w:lvlText w:val="•"/>
      <w:lvlJc w:val="left"/>
      <w:pPr>
        <w:ind w:left="340" w:hanging="227"/>
      </w:pPr>
      <w:rPr>
        <w:rFonts w:asciiTheme="minorHAnsi" w:hAnsiTheme="minorHAnsi" w:cs="Times New Roman" w:hint="default"/>
      </w:rPr>
    </w:lvl>
    <w:lvl w:ilvl="1">
      <w:start w:val="1"/>
      <w:numFmt w:val="bullet"/>
      <w:pStyle w:val="Table-ListBullet2"/>
      <w:lvlText w:val=""/>
      <w:lvlJc w:val="left"/>
      <w:pPr>
        <w:ind w:left="567" w:hanging="227"/>
      </w:pPr>
      <w:rPr>
        <w:rFonts w:ascii="Symbol" w:hAnsi="Symbol" w:hint="default"/>
        <w:color w:val="auto"/>
      </w:rPr>
    </w:lvl>
    <w:lvl w:ilvl="2">
      <w:start w:val="1"/>
      <w:numFmt w:val="bullet"/>
      <w:pStyle w:val="Table-ListBullet3"/>
      <w:lvlText w:val=""/>
      <w:lvlJc w:val="left"/>
      <w:pPr>
        <w:ind w:left="794" w:hanging="227"/>
      </w:pPr>
      <w:rPr>
        <w:rFonts w:ascii="Symbol" w:hAnsi="Symbol" w:hint="default"/>
        <w:color w:val="auto"/>
      </w:rPr>
    </w:lvl>
    <w:lvl w:ilvl="3">
      <w:start w:val="1"/>
      <w:numFmt w:val="bullet"/>
      <w:lvlText w:val="•"/>
      <w:lvlJc w:val="left"/>
      <w:pPr>
        <w:ind w:left="1021" w:hanging="227"/>
      </w:pPr>
      <w:rPr>
        <w:rFonts w:ascii="Times New Roman" w:hAnsi="Times New Roman" w:cs="Times New Roman" w:hint="default"/>
      </w:rPr>
    </w:lvl>
    <w:lvl w:ilvl="4">
      <w:start w:val="1"/>
      <w:numFmt w:val="bullet"/>
      <w:lvlText w:val=""/>
      <w:lvlJc w:val="left"/>
      <w:pPr>
        <w:ind w:left="1248" w:hanging="227"/>
      </w:pPr>
      <w:rPr>
        <w:rFonts w:ascii="Symbol" w:hAnsi="Symbol" w:hint="default"/>
        <w:color w:val="auto"/>
      </w:rPr>
    </w:lvl>
    <w:lvl w:ilvl="5">
      <w:start w:val="1"/>
      <w:numFmt w:val="bullet"/>
      <w:lvlText w:val=""/>
      <w:lvlJc w:val="left"/>
      <w:pPr>
        <w:ind w:left="1475" w:hanging="227"/>
      </w:pPr>
      <w:rPr>
        <w:rFonts w:ascii="Symbol" w:hAnsi="Symbol" w:hint="default"/>
        <w:color w:val="auto"/>
      </w:rPr>
    </w:lvl>
    <w:lvl w:ilvl="6">
      <w:start w:val="1"/>
      <w:numFmt w:val="bullet"/>
      <w:lvlText w:val="•"/>
      <w:lvlJc w:val="left"/>
      <w:pPr>
        <w:ind w:left="1702" w:hanging="227"/>
      </w:pPr>
      <w:rPr>
        <w:rFonts w:ascii="Times New Roman" w:hAnsi="Times New Roman" w:cs="Times New Roman" w:hint="default"/>
      </w:rPr>
    </w:lvl>
    <w:lvl w:ilvl="7">
      <w:start w:val="1"/>
      <w:numFmt w:val="bullet"/>
      <w:lvlText w:val=""/>
      <w:lvlJc w:val="left"/>
      <w:pPr>
        <w:ind w:left="1929" w:hanging="227"/>
      </w:pPr>
      <w:rPr>
        <w:rFonts w:ascii="Symbol" w:hAnsi="Symbol" w:hint="default"/>
        <w:color w:val="auto"/>
      </w:rPr>
    </w:lvl>
    <w:lvl w:ilvl="8">
      <w:start w:val="1"/>
      <w:numFmt w:val="bullet"/>
      <w:lvlText w:val=""/>
      <w:lvlJc w:val="left"/>
      <w:pPr>
        <w:ind w:left="2156" w:hanging="227"/>
      </w:pPr>
      <w:rPr>
        <w:rFonts w:ascii="Symbol" w:hAnsi="Symbol" w:hint="default"/>
        <w:color w:val="auto"/>
      </w:rPr>
    </w:lvl>
  </w:abstractNum>
  <w:abstractNum w:abstractNumId="24" w15:restartNumberingAfterBreak="0">
    <w:nsid w:val="5C7137E1"/>
    <w:multiLevelType w:val="multilevel"/>
    <w:tmpl w:val="B9C8B262"/>
    <w:lvl w:ilvl="0">
      <w:start w:val="1"/>
      <w:numFmt w:val="decimal"/>
      <w:pStyle w:val="ListNumberNoSpacing"/>
      <w:lvlText w:val="%1."/>
      <w:lvlJc w:val="left"/>
      <w:pPr>
        <w:ind w:left="340" w:hanging="340"/>
      </w:pPr>
      <w:rPr>
        <w:rFonts w:hint="default"/>
      </w:rPr>
    </w:lvl>
    <w:lvl w:ilvl="1">
      <w:start w:val="1"/>
      <w:numFmt w:val="lowerLetter"/>
      <w:pStyle w:val="ListNumberNoSpacing2"/>
      <w:lvlText w:val="%2."/>
      <w:lvlJc w:val="left"/>
      <w:pPr>
        <w:ind w:left="680" w:hanging="340"/>
      </w:pPr>
      <w:rPr>
        <w:rFonts w:hint="default"/>
      </w:rPr>
    </w:lvl>
    <w:lvl w:ilvl="2">
      <w:start w:val="1"/>
      <w:numFmt w:val="lowerRoman"/>
      <w:lvlText w:val="%3."/>
      <w:lvlJc w:val="right"/>
      <w:pPr>
        <w:ind w:left="1040" w:hanging="360"/>
      </w:p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25" w15:restartNumberingAfterBreak="0">
    <w:nsid w:val="5C934686"/>
    <w:multiLevelType w:val="multilevel"/>
    <w:tmpl w:val="DAD4A89A"/>
    <w:numStyleLink w:val="ListStyle-ListNumber"/>
  </w:abstractNum>
  <w:abstractNum w:abstractNumId="26" w15:restartNumberingAfterBreak="0">
    <w:nsid w:val="5F8D72FB"/>
    <w:multiLevelType w:val="multilevel"/>
    <w:tmpl w:val="E206AE8E"/>
    <w:styleLink w:val="ListStyle-HeadingsNoNumber"/>
    <w:lvl w:ilvl="0">
      <w:start w:val="1"/>
      <w:numFmt w:val="none"/>
      <w:pStyle w:val="Heading1NoNumber"/>
      <w:lvlText w:val=""/>
      <w:lvlJc w:val="left"/>
      <w:pPr>
        <w:ind w:left="0" w:firstLine="0"/>
      </w:pPr>
      <w:rPr>
        <w:rFonts w:hint="default"/>
      </w:rPr>
    </w:lvl>
    <w:lvl w:ilvl="1">
      <w:start w:val="1"/>
      <w:numFmt w:val="none"/>
      <w:lvlRestart w:val="0"/>
      <w:pStyle w:val="Heading2NoNumber"/>
      <w:lvlText w:val=""/>
      <w:lvlJc w:val="left"/>
      <w:pPr>
        <w:ind w:left="0" w:firstLine="0"/>
      </w:pPr>
      <w:rPr>
        <w:rFonts w:hint="default"/>
      </w:rPr>
    </w:lvl>
    <w:lvl w:ilvl="2">
      <w:start w:val="1"/>
      <w:numFmt w:val="none"/>
      <w:lvlRestart w:val="0"/>
      <w:pStyle w:val="Heading3NoNumber"/>
      <w:lvlText w:val=""/>
      <w:lvlJc w:val="left"/>
      <w:pPr>
        <w:ind w:left="0" w:firstLine="0"/>
      </w:pPr>
      <w:rPr>
        <w:rFonts w:hint="default"/>
      </w:rPr>
    </w:lvl>
    <w:lvl w:ilvl="3">
      <w:start w:val="1"/>
      <w:numFmt w:val="none"/>
      <w:lvlRestart w:val="0"/>
      <w:pStyle w:val="Heading4NoNumber"/>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00B600B"/>
    <w:multiLevelType w:val="multilevel"/>
    <w:tmpl w:val="CD6ADD40"/>
    <w:styleLink w:val="Style1"/>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1F82E06"/>
    <w:multiLevelType w:val="hybridMultilevel"/>
    <w:tmpl w:val="CE24C5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2E40F7"/>
    <w:multiLevelType w:val="multilevel"/>
    <w:tmpl w:val="BBE854D0"/>
    <w:lvl w:ilvl="0">
      <w:start w:val="1"/>
      <w:numFmt w:val="decimal"/>
      <w:pStyle w:val="Appendix1"/>
      <w:lvlText w:val="A%1."/>
      <w:lvlJc w:val="right"/>
      <w:pPr>
        <w:ind w:left="1077" w:hanging="1077"/>
      </w:pPr>
      <w:rPr>
        <w:rFonts w:hint="default"/>
      </w:rPr>
    </w:lvl>
    <w:lvl w:ilvl="1">
      <w:start w:val="1"/>
      <w:numFmt w:val="decimal"/>
      <w:pStyle w:val="Appendix2"/>
      <w:lvlText w:val="A%1.%2"/>
      <w:lvlJc w:val="left"/>
      <w:pPr>
        <w:ind w:left="1077" w:hanging="1077"/>
      </w:pPr>
      <w:rPr>
        <w:rFonts w:hint="default"/>
      </w:rPr>
    </w:lvl>
    <w:lvl w:ilvl="2">
      <w:start w:val="1"/>
      <w:numFmt w:val="decimal"/>
      <w:pStyle w:val="Appendix3"/>
      <w:lvlText w:val="A%1.%2.%3"/>
      <w:lvlJc w:val="right"/>
      <w:pPr>
        <w:ind w:left="1077" w:hanging="107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A713FE6"/>
    <w:multiLevelType w:val="multilevel"/>
    <w:tmpl w:val="E9CA6A6C"/>
    <w:numStyleLink w:val="ListStyle-ListBullet"/>
  </w:abstractNum>
  <w:abstractNum w:abstractNumId="31" w15:restartNumberingAfterBreak="0">
    <w:nsid w:val="76403C81"/>
    <w:multiLevelType w:val="hybridMultilevel"/>
    <w:tmpl w:val="C76E6D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536A25"/>
    <w:multiLevelType w:val="multilevel"/>
    <w:tmpl w:val="DBF02CFE"/>
    <w:numStyleLink w:val="ListStyle-TableListBullet"/>
  </w:abstractNum>
  <w:abstractNum w:abstractNumId="33"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6C343D"/>
    <w:multiLevelType w:val="multilevel"/>
    <w:tmpl w:val="E206AE8E"/>
    <w:numStyleLink w:val="ListStyle-HeadingsNoNumber"/>
  </w:abstractNum>
  <w:num w:numId="1" w16cid:durableId="1070615480">
    <w:abstractNumId w:val="17"/>
  </w:num>
  <w:num w:numId="2" w16cid:durableId="1504471321">
    <w:abstractNumId w:val="13"/>
  </w:num>
  <w:num w:numId="3" w16cid:durableId="926695711">
    <w:abstractNumId w:val="4"/>
  </w:num>
  <w:num w:numId="4" w16cid:durableId="1890457838">
    <w:abstractNumId w:val="26"/>
  </w:num>
  <w:num w:numId="5" w16cid:durableId="267933485">
    <w:abstractNumId w:val="10"/>
  </w:num>
  <w:num w:numId="6" w16cid:durableId="538208499">
    <w:abstractNumId w:val="20"/>
  </w:num>
  <w:num w:numId="7" w16cid:durableId="73404859">
    <w:abstractNumId w:val="18"/>
  </w:num>
  <w:num w:numId="8" w16cid:durableId="1440837720">
    <w:abstractNumId w:val="12"/>
  </w:num>
  <w:num w:numId="9" w16cid:durableId="657727272">
    <w:abstractNumId w:val="23"/>
  </w:num>
  <w:num w:numId="10" w16cid:durableId="1868910300">
    <w:abstractNumId w:val="14"/>
  </w:num>
  <w:num w:numId="11" w16cid:durableId="128255142">
    <w:abstractNumId w:val="33"/>
  </w:num>
  <w:num w:numId="12" w16cid:durableId="9338471">
    <w:abstractNumId w:val="5"/>
  </w:num>
  <w:num w:numId="13" w16cid:durableId="1501651436">
    <w:abstractNumId w:val="22"/>
  </w:num>
  <w:num w:numId="14" w16cid:durableId="267859884">
    <w:abstractNumId w:val="34"/>
  </w:num>
  <w:num w:numId="15" w16cid:durableId="1136066695">
    <w:abstractNumId w:val="6"/>
  </w:num>
  <w:num w:numId="16" w16cid:durableId="80030097">
    <w:abstractNumId w:val="30"/>
  </w:num>
  <w:num w:numId="17" w16cid:durableId="1764371784">
    <w:abstractNumId w:val="3"/>
  </w:num>
  <w:num w:numId="18" w16cid:durableId="1334532911">
    <w:abstractNumId w:val="2"/>
  </w:num>
  <w:num w:numId="19" w16cid:durableId="578095698">
    <w:abstractNumId w:val="16"/>
  </w:num>
  <w:num w:numId="20" w16cid:durableId="670067731">
    <w:abstractNumId w:val="25"/>
  </w:num>
  <w:num w:numId="21" w16cid:durableId="1485580754">
    <w:abstractNumId w:val="1"/>
  </w:num>
  <w:num w:numId="22" w16cid:durableId="234513385">
    <w:abstractNumId w:val="0"/>
  </w:num>
  <w:num w:numId="23" w16cid:durableId="1327056413">
    <w:abstractNumId w:val="24"/>
  </w:num>
  <w:num w:numId="24" w16cid:durableId="185102246">
    <w:abstractNumId w:val="9"/>
  </w:num>
  <w:num w:numId="25" w16cid:durableId="585190846">
    <w:abstractNumId w:val="27"/>
  </w:num>
  <w:num w:numId="26" w16cid:durableId="1976983630">
    <w:abstractNumId w:val="32"/>
  </w:num>
  <w:num w:numId="27" w16cid:durableId="1272132837">
    <w:abstractNumId w:val="19"/>
  </w:num>
  <w:num w:numId="28" w16cid:durableId="9148207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0547486">
    <w:abstractNumId w:val="28"/>
  </w:num>
  <w:num w:numId="30" w16cid:durableId="733821909">
    <w:abstractNumId w:val="15"/>
  </w:num>
  <w:num w:numId="31" w16cid:durableId="2784938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6359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853007">
    <w:abstractNumId w:val="7"/>
  </w:num>
  <w:num w:numId="34" w16cid:durableId="2067145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9911690">
    <w:abstractNumId w:val="31"/>
  </w:num>
  <w:num w:numId="36" w16cid:durableId="977763603">
    <w:abstractNumId w:val="11"/>
  </w:num>
  <w:num w:numId="37" w16cid:durableId="1802773040">
    <w:abstractNumId w:val="21"/>
  </w:num>
  <w:num w:numId="38" w16cid:durableId="13115954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8016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75503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69013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851681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7891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53306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80908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498176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275794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31694">
    <w:abstractNumId w:val="8"/>
  </w:num>
  <w:num w:numId="49" w16cid:durableId="1874607337">
    <w:abstractNumId w:val="29"/>
  </w:num>
  <w:num w:numId="50" w16cid:durableId="13517590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478825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383156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977590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309295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242050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3673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163027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970897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265368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218071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783160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496217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421948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273437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225823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119801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93741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260216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39286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616288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859429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879493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7957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68286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041502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988942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48632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539284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64054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734275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233194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083919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C49"/>
    <w:rsid w:val="00005652"/>
    <w:rsid w:val="00005C6B"/>
    <w:rsid w:val="000158D8"/>
    <w:rsid w:val="00023E88"/>
    <w:rsid w:val="000339D4"/>
    <w:rsid w:val="0003468E"/>
    <w:rsid w:val="00044BAE"/>
    <w:rsid w:val="000539BA"/>
    <w:rsid w:val="0005750C"/>
    <w:rsid w:val="00067AD0"/>
    <w:rsid w:val="00070621"/>
    <w:rsid w:val="00080650"/>
    <w:rsid w:val="000814B4"/>
    <w:rsid w:val="00085320"/>
    <w:rsid w:val="0008625D"/>
    <w:rsid w:val="000A0434"/>
    <w:rsid w:val="000A6891"/>
    <w:rsid w:val="000B3F36"/>
    <w:rsid w:val="000B7517"/>
    <w:rsid w:val="000C2B5A"/>
    <w:rsid w:val="000C4348"/>
    <w:rsid w:val="000D687F"/>
    <w:rsid w:val="000E118E"/>
    <w:rsid w:val="000E1F7A"/>
    <w:rsid w:val="000E439B"/>
    <w:rsid w:val="000F1D81"/>
    <w:rsid w:val="000F4F71"/>
    <w:rsid w:val="00121147"/>
    <w:rsid w:val="00126012"/>
    <w:rsid w:val="0012611B"/>
    <w:rsid w:val="00135823"/>
    <w:rsid w:val="001364EC"/>
    <w:rsid w:val="00143005"/>
    <w:rsid w:val="00143043"/>
    <w:rsid w:val="00147194"/>
    <w:rsid w:val="00152412"/>
    <w:rsid w:val="00152F09"/>
    <w:rsid w:val="00156CB2"/>
    <w:rsid w:val="0016577F"/>
    <w:rsid w:val="001704A0"/>
    <w:rsid w:val="00170D9C"/>
    <w:rsid w:val="00171354"/>
    <w:rsid w:val="00173F99"/>
    <w:rsid w:val="00174743"/>
    <w:rsid w:val="0018232C"/>
    <w:rsid w:val="00183532"/>
    <w:rsid w:val="00184F62"/>
    <w:rsid w:val="00193B81"/>
    <w:rsid w:val="00193D4F"/>
    <w:rsid w:val="00193DE6"/>
    <w:rsid w:val="00194E2D"/>
    <w:rsid w:val="00197C65"/>
    <w:rsid w:val="001A277D"/>
    <w:rsid w:val="001A66C4"/>
    <w:rsid w:val="001B55EE"/>
    <w:rsid w:val="001B74EB"/>
    <w:rsid w:val="001C01F4"/>
    <w:rsid w:val="001C4D5F"/>
    <w:rsid w:val="001C546C"/>
    <w:rsid w:val="001D673D"/>
    <w:rsid w:val="001D76FB"/>
    <w:rsid w:val="001E172A"/>
    <w:rsid w:val="001E1CDA"/>
    <w:rsid w:val="001F579B"/>
    <w:rsid w:val="00201746"/>
    <w:rsid w:val="00212D63"/>
    <w:rsid w:val="00223A99"/>
    <w:rsid w:val="00226695"/>
    <w:rsid w:val="002540A3"/>
    <w:rsid w:val="00255416"/>
    <w:rsid w:val="00255829"/>
    <w:rsid w:val="00262006"/>
    <w:rsid w:val="00262801"/>
    <w:rsid w:val="00263F0F"/>
    <w:rsid w:val="002756AC"/>
    <w:rsid w:val="002846E8"/>
    <w:rsid w:val="00287049"/>
    <w:rsid w:val="0028760F"/>
    <w:rsid w:val="00290037"/>
    <w:rsid w:val="00292C1A"/>
    <w:rsid w:val="00294F31"/>
    <w:rsid w:val="00295D59"/>
    <w:rsid w:val="002A77AC"/>
    <w:rsid w:val="002C0070"/>
    <w:rsid w:val="002D00D4"/>
    <w:rsid w:val="002D5E2D"/>
    <w:rsid w:val="002D7A8A"/>
    <w:rsid w:val="002E05F9"/>
    <w:rsid w:val="002E6ACF"/>
    <w:rsid w:val="002F0230"/>
    <w:rsid w:val="002F0917"/>
    <w:rsid w:val="002F3DC6"/>
    <w:rsid w:val="002F4904"/>
    <w:rsid w:val="00300B71"/>
    <w:rsid w:val="00302999"/>
    <w:rsid w:val="00302F54"/>
    <w:rsid w:val="003059AC"/>
    <w:rsid w:val="003113D5"/>
    <w:rsid w:val="00311E8A"/>
    <w:rsid w:val="0031410A"/>
    <w:rsid w:val="00315F8B"/>
    <w:rsid w:val="00317450"/>
    <w:rsid w:val="003226B9"/>
    <w:rsid w:val="003230E1"/>
    <w:rsid w:val="00324648"/>
    <w:rsid w:val="00324B85"/>
    <w:rsid w:val="00325718"/>
    <w:rsid w:val="00334BD8"/>
    <w:rsid w:val="00336055"/>
    <w:rsid w:val="00343A4B"/>
    <w:rsid w:val="0035578E"/>
    <w:rsid w:val="003600B9"/>
    <w:rsid w:val="00366E3D"/>
    <w:rsid w:val="003756DD"/>
    <w:rsid w:val="00383DA5"/>
    <w:rsid w:val="00386B36"/>
    <w:rsid w:val="003A7E33"/>
    <w:rsid w:val="003B1966"/>
    <w:rsid w:val="003B36A4"/>
    <w:rsid w:val="003D6899"/>
    <w:rsid w:val="003D7F93"/>
    <w:rsid w:val="003E0690"/>
    <w:rsid w:val="003F0E44"/>
    <w:rsid w:val="003F1480"/>
    <w:rsid w:val="003F292E"/>
    <w:rsid w:val="003F6855"/>
    <w:rsid w:val="00400966"/>
    <w:rsid w:val="0040369B"/>
    <w:rsid w:val="004065AD"/>
    <w:rsid w:val="00414FCF"/>
    <w:rsid w:val="00422136"/>
    <w:rsid w:val="00432B6C"/>
    <w:rsid w:val="00444A77"/>
    <w:rsid w:val="0044726C"/>
    <w:rsid w:val="00450AE5"/>
    <w:rsid w:val="00455AB2"/>
    <w:rsid w:val="0046244C"/>
    <w:rsid w:val="0047038D"/>
    <w:rsid w:val="004706E5"/>
    <w:rsid w:val="00472626"/>
    <w:rsid w:val="00474DC2"/>
    <w:rsid w:val="00475984"/>
    <w:rsid w:val="00483C7C"/>
    <w:rsid w:val="00484F8A"/>
    <w:rsid w:val="00486F13"/>
    <w:rsid w:val="00491E13"/>
    <w:rsid w:val="00492075"/>
    <w:rsid w:val="004A7379"/>
    <w:rsid w:val="004B1C16"/>
    <w:rsid w:val="004B4F6E"/>
    <w:rsid w:val="004C22F3"/>
    <w:rsid w:val="004D1CED"/>
    <w:rsid w:val="004D3139"/>
    <w:rsid w:val="004D706A"/>
    <w:rsid w:val="004E0D44"/>
    <w:rsid w:val="004E2ED8"/>
    <w:rsid w:val="004E5406"/>
    <w:rsid w:val="004E6917"/>
    <w:rsid w:val="004E7120"/>
    <w:rsid w:val="004F0E5B"/>
    <w:rsid w:val="004F1265"/>
    <w:rsid w:val="004F507E"/>
    <w:rsid w:val="004F5FD8"/>
    <w:rsid w:val="00510732"/>
    <w:rsid w:val="0051219A"/>
    <w:rsid w:val="00520537"/>
    <w:rsid w:val="00520934"/>
    <w:rsid w:val="00524522"/>
    <w:rsid w:val="00526A7E"/>
    <w:rsid w:val="00530E15"/>
    <w:rsid w:val="005327A4"/>
    <w:rsid w:val="005403C6"/>
    <w:rsid w:val="00544048"/>
    <w:rsid w:val="0054408E"/>
    <w:rsid w:val="00544614"/>
    <w:rsid w:val="005511A0"/>
    <w:rsid w:val="00555B84"/>
    <w:rsid w:val="00556955"/>
    <w:rsid w:val="00564BA8"/>
    <w:rsid w:val="00575183"/>
    <w:rsid w:val="0058061B"/>
    <w:rsid w:val="00587A7F"/>
    <w:rsid w:val="00587E0A"/>
    <w:rsid w:val="0059464E"/>
    <w:rsid w:val="0059607F"/>
    <w:rsid w:val="005967D0"/>
    <w:rsid w:val="005A0520"/>
    <w:rsid w:val="005A29E2"/>
    <w:rsid w:val="005A3197"/>
    <w:rsid w:val="005A68FB"/>
    <w:rsid w:val="005B344A"/>
    <w:rsid w:val="005C15DE"/>
    <w:rsid w:val="005C1C4D"/>
    <w:rsid w:val="005C5630"/>
    <w:rsid w:val="005D19E4"/>
    <w:rsid w:val="005D30BF"/>
    <w:rsid w:val="005D700F"/>
    <w:rsid w:val="005E7F8D"/>
    <w:rsid w:val="005F6AF6"/>
    <w:rsid w:val="005F6F36"/>
    <w:rsid w:val="006005A8"/>
    <w:rsid w:val="00602B2D"/>
    <w:rsid w:val="006036E9"/>
    <w:rsid w:val="00605238"/>
    <w:rsid w:val="00607568"/>
    <w:rsid w:val="00607963"/>
    <w:rsid w:val="00607AD8"/>
    <w:rsid w:val="006127A3"/>
    <w:rsid w:val="0061346D"/>
    <w:rsid w:val="006143F6"/>
    <w:rsid w:val="006164DE"/>
    <w:rsid w:val="00617923"/>
    <w:rsid w:val="0062645E"/>
    <w:rsid w:val="00626ACF"/>
    <w:rsid w:val="0063464A"/>
    <w:rsid w:val="00634BD2"/>
    <w:rsid w:val="00636284"/>
    <w:rsid w:val="00643A98"/>
    <w:rsid w:val="00651A98"/>
    <w:rsid w:val="006537F7"/>
    <w:rsid w:val="0066192C"/>
    <w:rsid w:val="00661D05"/>
    <w:rsid w:val="00661EF8"/>
    <w:rsid w:val="006675F5"/>
    <w:rsid w:val="00674A01"/>
    <w:rsid w:val="0068331B"/>
    <w:rsid w:val="00684621"/>
    <w:rsid w:val="006948A7"/>
    <w:rsid w:val="00694BAE"/>
    <w:rsid w:val="006A24A4"/>
    <w:rsid w:val="006A417C"/>
    <w:rsid w:val="006A5762"/>
    <w:rsid w:val="006A6DA9"/>
    <w:rsid w:val="006B0246"/>
    <w:rsid w:val="006B374B"/>
    <w:rsid w:val="006B596A"/>
    <w:rsid w:val="006D166E"/>
    <w:rsid w:val="006E0528"/>
    <w:rsid w:val="006E1326"/>
    <w:rsid w:val="006F3421"/>
    <w:rsid w:val="007055A4"/>
    <w:rsid w:val="00707703"/>
    <w:rsid w:val="007114D0"/>
    <w:rsid w:val="00713FC4"/>
    <w:rsid w:val="007164EE"/>
    <w:rsid w:val="0072009A"/>
    <w:rsid w:val="007305AF"/>
    <w:rsid w:val="00730F22"/>
    <w:rsid w:val="00736E77"/>
    <w:rsid w:val="00740E6F"/>
    <w:rsid w:val="007479D5"/>
    <w:rsid w:val="00752732"/>
    <w:rsid w:val="00753A55"/>
    <w:rsid w:val="00760A0D"/>
    <w:rsid w:val="007642FF"/>
    <w:rsid w:val="00764DB1"/>
    <w:rsid w:val="007661E6"/>
    <w:rsid w:val="00767062"/>
    <w:rsid w:val="00767CD0"/>
    <w:rsid w:val="00774572"/>
    <w:rsid w:val="00780F33"/>
    <w:rsid w:val="007835DE"/>
    <w:rsid w:val="007846FE"/>
    <w:rsid w:val="00784F54"/>
    <w:rsid w:val="00792678"/>
    <w:rsid w:val="007A628B"/>
    <w:rsid w:val="007A7FF7"/>
    <w:rsid w:val="007B070A"/>
    <w:rsid w:val="007B0D6F"/>
    <w:rsid w:val="007B543D"/>
    <w:rsid w:val="007B6779"/>
    <w:rsid w:val="007B67D2"/>
    <w:rsid w:val="007C0D70"/>
    <w:rsid w:val="007C7A00"/>
    <w:rsid w:val="007D3AE8"/>
    <w:rsid w:val="007E4FB6"/>
    <w:rsid w:val="007E76D8"/>
    <w:rsid w:val="007F5F8D"/>
    <w:rsid w:val="008037B5"/>
    <w:rsid w:val="00803E0B"/>
    <w:rsid w:val="00806BB4"/>
    <w:rsid w:val="00806CCD"/>
    <w:rsid w:val="008153A3"/>
    <w:rsid w:val="00815FA0"/>
    <w:rsid w:val="008265C3"/>
    <w:rsid w:val="008341CC"/>
    <w:rsid w:val="0084111A"/>
    <w:rsid w:val="008428EC"/>
    <w:rsid w:val="00844E77"/>
    <w:rsid w:val="00847A53"/>
    <w:rsid w:val="008524B6"/>
    <w:rsid w:val="008565BA"/>
    <w:rsid w:val="0086218E"/>
    <w:rsid w:val="00863DAB"/>
    <w:rsid w:val="0086449F"/>
    <w:rsid w:val="00873C42"/>
    <w:rsid w:val="00877D1A"/>
    <w:rsid w:val="008841E3"/>
    <w:rsid w:val="008875FA"/>
    <w:rsid w:val="00892E64"/>
    <w:rsid w:val="00896492"/>
    <w:rsid w:val="008A5A06"/>
    <w:rsid w:val="008A70BA"/>
    <w:rsid w:val="008B167B"/>
    <w:rsid w:val="008B1CC9"/>
    <w:rsid w:val="008B2CCB"/>
    <w:rsid w:val="008B2F11"/>
    <w:rsid w:val="008B5C75"/>
    <w:rsid w:val="008C5EBE"/>
    <w:rsid w:val="008D2C23"/>
    <w:rsid w:val="008D475A"/>
    <w:rsid w:val="008F1D79"/>
    <w:rsid w:val="008F4923"/>
    <w:rsid w:val="008F563E"/>
    <w:rsid w:val="00901FD1"/>
    <w:rsid w:val="009048A7"/>
    <w:rsid w:val="00906615"/>
    <w:rsid w:val="009154B1"/>
    <w:rsid w:val="00915E31"/>
    <w:rsid w:val="00916D21"/>
    <w:rsid w:val="00921CD7"/>
    <w:rsid w:val="0092725A"/>
    <w:rsid w:val="0093058A"/>
    <w:rsid w:val="00932B9A"/>
    <w:rsid w:val="00933929"/>
    <w:rsid w:val="0094307D"/>
    <w:rsid w:val="00946872"/>
    <w:rsid w:val="009511D1"/>
    <w:rsid w:val="00963796"/>
    <w:rsid w:val="00973155"/>
    <w:rsid w:val="00977BE5"/>
    <w:rsid w:val="009818D9"/>
    <w:rsid w:val="00984AEA"/>
    <w:rsid w:val="00993103"/>
    <w:rsid w:val="00997A50"/>
    <w:rsid w:val="009A0B58"/>
    <w:rsid w:val="009B4920"/>
    <w:rsid w:val="009D2505"/>
    <w:rsid w:val="009D69F7"/>
    <w:rsid w:val="009D6B26"/>
    <w:rsid w:val="009D6F1C"/>
    <w:rsid w:val="009D7409"/>
    <w:rsid w:val="009E2246"/>
    <w:rsid w:val="009E2AE7"/>
    <w:rsid w:val="009E4A47"/>
    <w:rsid w:val="009F13FF"/>
    <w:rsid w:val="009F20B5"/>
    <w:rsid w:val="009F2996"/>
    <w:rsid w:val="009F33D1"/>
    <w:rsid w:val="009F504C"/>
    <w:rsid w:val="009F6D12"/>
    <w:rsid w:val="00A000F0"/>
    <w:rsid w:val="00A01BC5"/>
    <w:rsid w:val="00A12614"/>
    <w:rsid w:val="00A1483F"/>
    <w:rsid w:val="00A23100"/>
    <w:rsid w:val="00A24719"/>
    <w:rsid w:val="00A27D10"/>
    <w:rsid w:val="00A329B6"/>
    <w:rsid w:val="00A33D01"/>
    <w:rsid w:val="00A34618"/>
    <w:rsid w:val="00A43FCD"/>
    <w:rsid w:val="00A45BEE"/>
    <w:rsid w:val="00A51C15"/>
    <w:rsid w:val="00A52F4C"/>
    <w:rsid w:val="00A612E4"/>
    <w:rsid w:val="00A62248"/>
    <w:rsid w:val="00A65910"/>
    <w:rsid w:val="00A67A72"/>
    <w:rsid w:val="00A739FE"/>
    <w:rsid w:val="00A7436F"/>
    <w:rsid w:val="00A75C7B"/>
    <w:rsid w:val="00A8559E"/>
    <w:rsid w:val="00A90A9A"/>
    <w:rsid w:val="00A9162D"/>
    <w:rsid w:val="00A936B1"/>
    <w:rsid w:val="00A96BA8"/>
    <w:rsid w:val="00AA1EB0"/>
    <w:rsid w:val="00AA51D2"/>
    <w:rsid w:val="00AA6C16"/>
    <w:rsid w:val="00AB4DD7"/>
    <w:rsid w:val="00AC060A"/>
    <w:rsid w:val="00AC5E06"/>
    <w:rsid w:val="00AC5E3C"/>
    <w:rsid w:val="00AD0636"/>
    <w:rsid w:val="00AD106A"/>
    <w:rsid w:val="00AD2DC5"/>
    <w:rsid w:val="00AD575B"/>
    <w:rsid w:val="00AD6A3E"/>
    <w:rsid w:val="00AD7BBF"/>
    <w:rsid w:val="00AE117C"/>
    <w:rsid w:val="00AE257A"/>
    <w:rsid w:val="00AE4121"/>
    <w:rsid w:val="00AF2465"/>
    <w:rsid w:val="00AF2836"/>
    <w:rsid w:val="00AF3A7E"/>
    <w:rsid w:val="00AF5A6A"/>
    <w:rsid w:val="00B020F4"/>
    <w:rsid w:val="00B04F0A"/>
    <w:rsid w:val="00B07336"/>
    <w:rsid w:val="00B154B5"/>
    <w:rsid w:val="00B1784C"/>
    <w:rsid w:val="00B23CB3"/>
    <w:rsid w:val="00B355EA"/>
    <w:rsid w:val="00B456AA"/>
    <w:rsid w:val="00B53FC6"/>
    <w:rsid w:val="00B5684C"/>
    <w:rsid w:val="00B6579B"/>
    <w:rsid w:val="00B67EC7"/>
    <w:rsid w:val="00B704B9"/>
    <w:rsid w:val="00B72D85"/>
    <w:rsid w:val="00B7636B"/>
    <w:rsid w:val="00B80BB8"/>
    <w:rsid w:val="00B828D3"/>
    <w:rsid w:val="00B83193"/>
    <w:rsid w:val="00B94B4F"/>
    <w:rsid w:val="00BA37AA"/>
    <w:rsid w:val="00BA6038"/>
    <w:rsid w:val="00BA6C49"/>
    <w:rsid w:val="00BB2521"/>
    <w:rsid w:val="00BB2CEF"/>
    <w:rsid w:val="00BB6285"/>
    <w:rsid w:val="00BB739E"/>
    <w:rsid w:val="00BB79B4"/>
    <w:rsid w:val="00BD314A"/>
    <w:rsid w:val="00BD342A"/>
    <w:rsid w:val="00BD6337"/>
    <w:rsid w:val="00BE1E32"/>
    <w:rsid w:val="00BE2B74"/>
    <w:rsid w:val="00BE4BBD"/>
    <w:rsid w:val="00BE6170"/>
    <w:rsid w:val="00BE7465"/>
    <w:rsid w:val="00BF4949"/>
    <w:rsid w:val="00BF4D1F"/>
    <w:rsid w:val="00BF6010"/>
    <w:rsid w:val="00C0193E"/>
    <w:rsid w:val="00C0430B"/>
    <w:rsid w:val="00C04A5D"/>
    <w:rsid w:val="00C07844"/>
    <w:rsid w:val="00C15B53"/>
    <w:rsid w:val="00C2110B"/>
    <w:rsid w:val="00C26F60"/>
    <w:rsid w:val="00C30467"/>
    <w:rsid w:val="00C332F2"/>
    <w:rsid w:val="00C41FAB"/>
    <w:rsid w:val="00C61AB6"/>
    <w:rsid w:val="00C62080"/>
    <w:rsid w:val="00C73EC2"/>
    <w:rsid w:val="00C80141"/>
    <w:rsid w:val="00C863EF"/>
    <w:rsid w:val="00C91725"/>
    <w:rsid w:val="00C974D0"/>
    <w:rsid w:val="00CA2C8A"/>
    <w:rsid w:val="00CA42DD"/>
    <w:rsid w:val="00CA43C0"/>
    <w:rsid w:val="00CA4E64"/>
    <w:rsid w:val="00CA71C9"/>
    <w:rsid w:val="00CB13E6"/>
    <w:rsid w:val="00CB2622"/>
    <w:rsid w:val="00CB6A31"/>
    <w:rsid w:val="00CC7FA3"/>
    <w:rsid w:val="00CD1D52"/>
    <w:rsid w:val="00CD678B"/>
    <w:rsid w:val="00CE0DE9"/>
    <w:rsid w:val="00CE4023"/>
    <w:rsid w:val="00CF1F2C"/>
    <w:rsid w:val="00CF25AD"/>
    <w:rsid w:val="00CF3DCF"/>
    <w:rsid w:val="00CF571D"/>
    <w:rsid w:val="00CF6892"/>
    <w:rsid w:val="00CF691D"/>
    <w:rsid w:val="00D01BBA"/>
    <w:rsid w:val="00D05209"/>
    <w:rsid w:val="00D0689A"/>
    <w:rsid w:val="00D14CEC"/>
    <w:rsid w:val="00D16CAE"/>
    <w:rsid w:val="00D17261"/>
    <w:rsid w:val="00D17728"/>
    <w:rsid w:val="00D21545"/>
    <w:rsid w:val="00D25290"/>
    <w:rsid w:val="00D30BD5"/>
    <w:rsid w:val="00D31397"/>
    <w:rsid w:val="00D31724"/>
    <w:rsid w:val="00D513E6"/>
    <w:rsid w:val="00D53385"/>
    <w:rsid w:val="00D54C5E"/>
    <w:rsid w:val="00D56568"/>
    <w:rsid w:val="00D742A8"/>
    <w:rsid w:val="00D76802"/>
    <w:rsid w:val="00D84F8C"/>
    <w:rsid w:val="00D86BDC"/>
    <w:rsid w:val="00D86EEA"/>
    <w:rsid w:val="00D953EA"/>
    <w:rsid w:val="00D961F8"/>
    <w:rsid w:val="00DA2B34"/>
    <w:rsid w:val="00DA44BB"/>
    <w:rsid w:val="00DB130C"/>
    <w:rsid w:val="00DB1AC3"/>
    <w:rsid w:val="00DB2F01"/>
    <w:rsid w:val="00DC1530"/>
    <w:rsid w:val="00DD4478"/>
    <w:rsid w:val="00DF22F1"/>
    <w:rsid w:val="00DF30E3"/>
    <w:rsid w:val="00DF4A78"/>
    <w:rsid w:val="00DF4C08"/>
    <w:rsid w:val="00E113B7"/>
    <w:rsid w:val="00E14812"/>
    <w:rsid w:val="00E175F3"/>
    <w:rsid w:val="00E23900"/>
    <w:rsid w:val="00E26C98"/>
    <w:rsid w:val="00E37102"/>
    <w:rsid w:val="00E37EB8"/>
    <w:rsid w:val="00E45C67"/>
    <w:rsid w:val="00E5253C"/>
    <w:rsid w:val="00E530B8"/>
    <w:rsid w:val="00E53E84"/>
    <w:rsid w:val="00E54C5C"/>
    <w:rsid w:val="00E61F00"/>
    <w:rsid w:val="00E62252"/>
    <w:rsid w:val="00E65A04"/>
    <w:rsid w:val="00E6650F"/>
    <w:rsid w:val="00E71970"/>
    <w:rsid w:val="00E80C05"/>
    <w:rsid w:val="00E81FFE"/>
    <w:rsid w:val="00E820C5"/>
    <w:rsid w:val="00E82D0A"/>
    <w:rsid w:val="00E921E9"/>
    <w:rsid w:val="00E93333"/>
    <w:rsid w:val="00EA00D6"/>
    <w:rsid w:val="00EA0570"/>
    <w:rsid w:val="00EA2AF8"/>
    <w:rsid w:val="00EC3A7B"/>
    <w:rsid w:val="00EC3AE6"/>
    <w:rsid w:val="00EC74EF"/>
    <w:rsid w:val="00EE7E5E"/>
    <w:rsid w:val="00F0083A"/>
    <w:rsid w:val="00F07F60"/>
    <w:rsid w:val="00F128D0"/>
    <w:rsid w:val="00F17BC1"/>
    <w:rsid w:val="00F2321E"/>
    <w:rsid w:val="00F24DC0"/>
    <w:rsid w:val="00F25CCF"/>
    <w:rsid w:val="00F317CC"/>
    <w:rsid w:val="00F333D8"/>
    <w:rsid w:val="00F335E5"/>
    <w:rsid w:val="00F33696"/>
    <w:rsid w:val="00F40247"/>
    <w:rsid w:val="00F411E1"/>
    <w:rsid w:val="00F6086E"/>
    <w:rsid w:val="00F73857"/>
    <w:rsid w:val="00F76942"/>
    <w:rsid w:val="00F77C73"/>
    <w:rsid w:val="00F85505"/>
    <w:rsid w:val="00F86A66"/>
    <w:rsid w:val="00F90F82"/>
    <w:rsid w:val="00F93151"/>
    <w:rsid w:val="00F9456C"/>
    <w:rsid w:val="00F94BE4"/>
    <w:rsid w:val="00F94CF8"/>
    <w:rsid w:val="00F9727E"/>
    <w:rsid w:val="00FA070C"/>
    <w:rsid w:val="00FB044B"/>
    <w:rsid w:val="00FB18AF"/>
    <w:rsid w:val="00FB44CC"/>
    <w:rsid w:val="00FC2FDA"/>
    <w:rsid w:val="00FD012D"/>
    <w:rsid w:val="00FD06ED"/>
    <w:rsid w:val="00FD0E5E"/>
    <w:rsid w:val="00FD40FB"/>
    <w:rsid w:val="00FD448B"/>
    <w:rsid w:val="00FE2056"/>
    <w:rsid w:val="00FE4B87"/>
    <w:rsid w:val="00FE5530"/>
    <w:rsid w:val="00FF3715"/>
    <w:rsid w:val="00FF4EEF"/>
    <w:rsid w:val="00FF6329"/>
    <w:rsid w:val="300178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5DE60"/>
  <w15:chartTrackingRefBased/>
  <w15:docId w15:val="{E28C4148-5B66-4B13-A939-680D07180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1" w:qFormat="1"/>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1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iPriority="0" w:unhideWhenUsed="1" w:qFormat="1"/>
    <w:lsdException w:name="footnote text" w:semiHidden="1" w:uiPriority="13" w:unhideWhenUsed="1"/>
    <w:lsdException w:name="annotation text" w:semiHidden="1" w:unhideWhenUsed="1"/>
    <w:lsdException w:name="header" w:semiHidden="1" w:uiPriority="13" w:unhideWhenUsed="1"/>
    <w:lsdException w:name="footer" w:semiHidden="1" w:uiPriority="13" w:unhideWhenUsed="1"/>
    <w:lsdException w:name="index heading" w:semiHidden="1" w:unhideWhenUsed="1"/>
    <w:lsdException w:name="caption" w:semiHidden="1" w:uiPriority="7"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iPriority="13" w:unhideWhenUsed="1"/>
    <w:lsdException w:name="annotation reference" w:semiHidden="1" w:unhideWhenUsed="1"/>
    <w:lsdException w:name="line number" w:semiHidden="1" w:unhideWhenUsed="1"/>
    <w:lsdException w:name="endnote reference" w:semiHidden="1" w:uiPriority="13" w:unhideWhenUsed="1"/>
    <w:lsdException w:name="endnote text" w:semiHidden="1" w:uiPriority="13" w:unhideWhenUsed="1" w:qFormat="1"/>
    <w:lsdException w:name="table of authorities" w:semiHidden="1" w:unhideWhenUsed="1"/>
    <w:lsdException w:name="macro" w:semiHidden="1" w:unhideWhenUsed="1"/>
    <w:lsdException w:name="toa heading" w:semiHidden="1" w:uiPriority="39"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4" w:unhideWhenUsed="1"/>
    <w:lsdException w:name="Strong" w:semiHidden="1" w:uiPriority="8" w:qFormat="1"/>
    <w:lsdException w:name="Emphasis" w:semiHidden="1"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2"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semiHidden="1" w:uiPriority="8"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2836"/>
    <w:pPr>
      <w:spacing w:after="160"/>
    </w:pPr>
    <w:rPr>
      <w:szCs w:val="22"/>
    </w:rPr>
  </w:style>
  <w:style w:type="paragraph" w:styleId="Heading1">
    <w:name w:val="heading 1"/>
    <w:basedOn w:val="Normal"/>
    <w:next w:val="Normal"/>
    <w:link w:val="Heading1Char"/>
    <w:qFormat/>
    <w:rsid w:val="00932B9A"/>
    <w:pPr>
      <w:keepNext/>
      <w:keepLines/>
      <w:numPr>
        <w:numId w:val="13"/>
      </w:numPr>
      <w:suppressAutoHyphens/>
      <w:spacing w:before="440" w:after="440"/>
      <w:outlineLvl w:val="0"/>
    </w:pPr>
    <w:rPr>
      <w:caps/>
      <w:color w:val="000000" w:themeColor="accent1"/>
      <w:szCs w:val="32"/>
    </w:rPr>
  </w:style>
  <w:style w:type="paragraph" w:styleId="Heading2">
    <w:name w:val="heading 2"/>
    <w:basedOn w:val="Normal"/>
    <w:next w:val="Normal"/>
    <w:link w:val="Heading2Char"/>
    <w:qFormat/>
    <w:rsid w:val="00AA6C16"/>
    <w:pPr>
      <w:keepNext/>
      <w:keepLines/>
      <w:numPr>
        <w:ilvl w:val="1"/>
        <w:numId w:val="13"/>
      </w:numPr>
      <w:suppressAutoHyphens/>
      <w:spacing w:before="320" w:after="80"/>
      <w:outlineLvl w:val="1"/>
    </w:pPr>
    <w:rPr>
      <w:rFonts w:asciiTheme="majorHAnsi" w:eastAsiaTheme="majorEastAsia" w:hAnsiTheme="majorHAnsi" w:cstheme="majorBidi"/>
      <w:b/>
      <w:color w:val="000000" w:themeColor="accent1"/>
      <w:szCs w:val="26"/>
    </w:rPr>
  </w:style>
  <w:style w:type="paragraph" w:styleId="Heading3">
    <w:name w:val="heading 3"/>
    <w:basedOn w:val="Normal"/>
    <w:next w:val="Normal"/>
    <w:link w:val="Heading3Char"/>
    <w:qFormat/>
    <w:rsid w:val="00AA6C16"/>
    <w:pPr>
      <w:keepNext/>
      <w:keepLines/>
      <w:numPr>
        <w:ilvl w:val="2"/>
        <w:numId w:val="13"/>
      </w:numPr>
      <w:suppressAutoHyphens/>
      <w:spacing w:before="320" w:after="30"/>
      <w:outlineLvl w:val="2"/>
    </w:pPr>
    <w:rPr>
      <w:color w:val="000000" w:themeColor="accent1"/>
      <w:szCs w:val="24"/>
    </w:rPr>
  </w:style>
  <w:style w:type="paragraph" w:styleId="Heading4">
    <w:name w:val="heading 4"/>
    <w:basedOn w:val="Normal"/>
    <w:next w:val="Normal"/>
    <w:link w:val="Heading4Char"/>
    <w:rsid w:val="00AA6C16"/>
    <w:pPr>
      <w:keepNext/>
      <w:keepLines/>
      <w:numPr>
        <w:ilvl w:val="3"/>
        <w:numId w:val="13"/>
      </w:numPr>
      <w:suppressAutoHyphens/>
      <w:spacing w:before="320" w:after="30"/>
      <w:outlineLvl w:val="3"/>
    </w:pPr>
    <w:rPr>
      <w:i/>
      <w:iCs/>
      <w:color w:val="000000" w:themeColor="accent1"/>
      <w:szCs w:val="20"/>
    </w:rPr>
  </w:style>
  <w:style w:type="paragraph" w:styleId="Heading5">
    <w:name w:val="heading 5"/>
    <w:basedOn w:val="Normal"/>
    <w:next w:val="Normal"/>
    <w:link w:val="Heading5Char"/>
    <w:semiHidden/>
    <w:rsid w:val="00AA6C16"/>
    <w:pPr>
      <w:keepNext/>
      <w:keepLines/>
      <w:numPr>
        <w:ilvl w:val="4"/>
        <w:numId w:val="13"/>
      </w:numPr>
      <w:suppressAutoHyphens/>
      <w:spacing w:after="0" w:line="240" w:lineRule="atLeast"/>
      <w:outlineLvl w:val="4"/>
    </w:pPr>
    <w:rPr>
      <w:b/>
      <w:sz w:val="20"/>
      <w:szCs w:val="20"/>
    </w:rPr>
  </w:style>
  <w:style w:type="paragraph" w:styleId="Heading6">
    <w:name w:val="heading 6"/>
    <w:basedOn w:val="Normal"/>
    <w:next w:val="Normal"/>
    <w:link w:val="Heading6Char"/>
    <w:semiHidden/>
    <w:rsid w:val="00AA6C16"/>
    <w:pPr>
      <w:keepNext/>
      <w:keepLines/>
      <w:numPr>
        <w:ilvl w:val="5"/>
        <w:numId w:val="13"/>
      </w:numPr>
      <w:suppressAutoHyphens/>
      <w:spacing w:after="0" w:line="240" w:lineRule="atLeast"/>
      <w:outlineLvl w:val="5"/>
    </w:pPr>
    <w:rPr>
      <w:b/>
      <w:sz w:val="20"/>
      <w:szCs w:val="20"/>
    </w:rPr>
  </w:style>
  <w:style w:type="paragraph" w:styleId="Heading7">
    <w:name w:val="heading 7"/>
    <w:aliases w:val="Heading 7 Appendix Heading"/>
    <w:basedOn w:val="Normal"/>
    <w:next w:val="Normal"/>
    <w:link w:val="Heading7Char"/>
    <w:uiPriority w:val="10"/>
    <w:semiHidden/>
    <w:rsid w:val="00AA6C16"/>
    <w:pPr>
      <w:keepNext/>
      <w:keepLines/>
      <w:numPr>
        <w:numId w:val="48"/>
      </w:numPr>
      <w:suppressAutoHyphens/>
      <w:spacing w:after="120"/>
      <w:outlineLvl w:val="6"/>
    </w:pPr>
    <w:rPr>
      <w:iCs/>
      <w:color w:val="000000" w:themeColor="accent1"/>
      <w:sz w:val="44"/>
      <w:szCs w:val="20"/>
    </w:rPr>
  </w:style>
  <w:style w:type="paragraph" w:styleId="Heading8">
    <w:name w:val="heading 8"/>
    <w:basedOn w:val="Normal"/>
    <w:next w:val="Normal"/>
    <w:link w:val="Heading8Char"/>
    <w:semiHidden/>
    <w:rsid w:val="00AA6C16"/>
    <w:pPr>
      <w:keepNext/>
      <w:keepLines/>
      <w:suppressAutoHyphens/>
      <w:spacing w:after="0" w:line="240" w:lineRule="atLeast"/>
      <w:outlineLvl w:val="7"/>
    </w:pPr>
    <w:rPr>
      <w:b/>
      <w:sz w:val="20"/>
      <w:szCs w:val="21"/>
    </w:rPr>
  </w:style>
  <w:style w:type="paragraph" w:styleId="Heading9">
    <w:name w:val="heading 9"/>
    <w:basedOn w:val="Normal"/>
    <w:next w:val="Normal"/>
    <w:link w:val="Heading9Char"/>
    <w:semiHidden/>
    <w:rsid w:val="00AA6C16"/>
    <w:pPr>
      <w:keepNext/>
      <w:keepLines/>
      <w:suppressAutoHyphens/>
      <w:spacing w:after="0" w:line="240" w:lineRule="atLeast"/>
      <w:outlineLvl w:val="8"/>
    </w:pPr>
    <w:rPr>
      <w:b/>
      <w:iCs/>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Style-AppendixHeading">
    <w:name w:val="_List Style - Appendix Heading"/>
    <w:uiPriority w:val="99"/>
    <w:rsid w:val="00AA6C16"/>
    <w:pPr>
      <w:numPr>
        <w:numId w:val="2"/>
      </w:numPr>
    </w:pPr>
  </w:style>
  <w:style w:type="numbering" w:customStyle="1" w:styleId="ListStyle-Headings">
    <w:name w:val="_List Style - Headings"/>
    <w:uiPriority w:val="99"/>
    <w:rsid w:val="00AA6C16"/>
    <w:pPr>
      <w:numPr>
        <w:numId w:val="3"/>
      </w:numPr>
    </w:pPr>
  </w:style>
  <w:style w:type="numbering" w:customStyle="1" w:styleId="ListStyle-HeadingsNoNumber">
    <w:name w:val="_List Style - Headings No Number"/>
    <w:uiPriority w:val="99"/>
    <w:rsid w:val="00AA6C16"/>
    <w:pPr>
      <w:numPr>
        <w:numId w:val="4"/>
      </w:numPr>
    </w:pPr>
  </w:style>
  <w:style w:type="numbering" w:customStyle="1" w:styleId="ListStyle-ListAlphabet">
    <w:name w:val="_List Style - List Alphabet"/>
    <w:uiPriority w:val="99"/>
    <w:rsid w:val="00AA6C16"/>
    <w:pPr>
      <w:numPr>
        <w:numId w:val="5"/>
      </w:numPr>
    </w:pPr>
  </w:style>
  <w:style w:type="numbering" w:customStyle="1" w:styleId="ListStyle-ListBullet">
    <w:name w:val="_List Style - List Bullet"/>
    <w:uiPriority w:val="99"/>
    <w:rsid w:val="00AA6C16"/>
    <w:pPr>
      <w:numPr>
        <w:numId w:val="6"/>
      </w:numPr>
    </w:pPr>
  </w:style>
  <w:style w:type="numbering" w:customStyle="1" w:styleId="ListStyle-ListBulletNoSpacing">
    <w:name w:val="_List Style - List Bullet No Spacing"/>
    <w:uiPriority w:val="99"/>
    <w:rsid w:val="00AA6C16"/>
    <w:pPr>
      <w:numPr>
        <w:numId w:val="7"/>
      </w:numPr>
    </w:pPr>
  </w:style>
  <w:style w:type="numbering" w:customStyle="1" w:styleId="ListStyle-ListNumber">
    <w:name w:val="_List Style - List Number"/>
    <w:uiPriority w:val="99"/>
    <w:rsid w:val="00AA6C16"/>
    <w:pPr>
      <w:numPr>
        <w:numId w:val="8"/>
      </w:numPr>
    </w:pPr>
  </w:style>
  <w:style w:type="numbering" w:customStyle="1" w:styleId="ListStyle-TableListBullet">
    <w:name w:val="_List Style - Table List Bullet"/>
    <w:uiPriority w:val="99"/>
    <w:rsid w:val="00AA6C16"/>
    <w:pPr>
      <w:numPr>
        <w:numId w:val="9"/>
      </w:numPr>
    </w:pPr>
  </w:style>
  <w:style w:type="numbering" w:customStyle="1" w:styleId="ListStyle-TableListNumber">
    <w:name w:val="_List Style - Table List Number"/>
    <w:uiPriority w:val="99"/>
    <w:rsid w:val="00AA6C16"/>
    <w:pPr>
      <w:numPr>
        <w:numId w:val="10"/>
      </w:numPr>
    </w:pPr>
  </w:style>
  <w:style w:type="numbering" w:customStyle="1" w:styleId="ListStyle-ListNumberNoSpacing">
    <w:name w:val="_List Style-List Number No Spacing"/>
    <w:uiPriority w:val="99"/>
    <w:rsid w:val="00121147"/>
    <w:pPr>
      <w:numPr>
        <w:numId w:val="1"/>
      </w:numPr>
    </w:pPr>
  </w:style>
  <w:style w:type="numbering" w:styleId="111111">
    <w:name w:val="Outline List 2"/>
    <w:basedOn w:val="NoList"/>
    <w:uiPriority w:val="99"/>
    <w:semiHidden/>
    <w:rsid w:val="00AA6C16"/>
    <w:pPr>
      <w:numPr>
        <w:numId w:val="11"/>
      </w:numPr>
    </w:pPr>
  </w:style>
  <w:style w:type="character" w:customStyle="1" w:styleId="Heading1Char">
    <w:name w:val="Heading 1 Char"/>
    <w:basedOn w:val="DefaultParagraphFont"/>
    <w:link w:val="Heading1"/>
    <w:rsid w:val="00932B9A"/>
    <w:rPr>
      <w:caps/>
      <w:color w:val="000000" w:themeColor="accent1"/>
      <w:szCs w:val="32"/>
    </w:rPr>
  </w:style>
  <w:style w:type="numbering" w:styleId="1ai">
    <w:name w:val="Outline List 1"/>
    <w:basedOn w:val="NoList"/>
    <w:uiPriority w:val="99"/>
    <w:semiHidden/>
    <w:rsid w:val="00AA6C16"/>
    <w:pPr>
      <w:numPr>
        <w:numId w:val="12"/>
      </w:numPr>
    </w:pPr>
  </w:style>
  <w:style w:type="character" w:customStyle="1" w:styleId="Heading5Char">
    <w:name w:val="Heading 5 Char"/>
    <w:basedOn w:val="DefaultParagraphFont"/>
    <w:link w:val="Heading5"/>
    <w:semiHidden/>
    <w:rsid w:val="00AA6C16"/>
    <w:rPr>
      <w:b/>
      <w:sz w:val="20"/>
      <w:szCs w:val="20"/>
    </w:rPr>
  </w:style>
  <w:style w:type="character" w:customStyle="1" w:styleId="Heading6Char">
    <w:name w:val="Heading 6 Char"/>
    <w:basedOn w:val="DefaultParagraphFont"/>
    <w:link w:val="Heading6"/>
    <w:semiHidden/>
    <w:rsid w:val="00AA6C16"/>
    <w:rPr>
      <w:b/>
      <w:sz w:val="20"/>
      <w:szCs w:val="20"/>
    </w:rPr>
  </w:style>
  <w:style w:type="character" w:customStyle="1" w:styleId="Heading7Char">
    <w:name w:val="Heading 7 Char"/>
    <w:aliases w:val="Heading 7 Appendix Heading Char"/>
    <w:basedOn w:val="DefaultParagraphFont"/>
    <w:link w:val="Heading7"/>
    <w:uiPriority w:val="10"/>
    <w:semiHidden/>
    <w:rsid w:val="004E5406"/>
    <w:rPr>
      <w:iCs/>
      <w:color w:val="000000" w:themeColor="accent1"/>
      <w:sz w:val="44"/>
      <w:szCs w:val="20"/>
    </w:rPr>
  </w:style>
  <w:style w:type="character" w:customStyle="1" w:styleId="Heading8Char">
    <w:name w:val="Heading 8 Char"/>
    <w:basedOn w:val="DefaultParagraphFont"/>
    <w:link w:val="Heading8"/>
    <w:semiHidden/>
    <w:rsid w:val="00AA6C16"/>
    <w:rPr>
      <w:b/>
      <w:sz w:val="20"/>
      <w:szCs w:val="21"/>
      <w:lang w:val="en-GB"/>
    </w:rPr>
  </w:style>
  <w:style w:type="character" w:customStyle="1" w:styleId="Heading9Char">
    <w:name w:val="Heading 9 Char"/>
    <w:basedOn w:val="DefaultParagraphFont"/>
    <w:link w:val="Heading9"/>
    <w:semiHidden/>
    <w:rsid w:val="00AA6C16"/>
    <w:rPr>
      <w:b/>
      <w:iCs/>
      <w:sz w:val="20"/>
      <w:szCs w:val="21"/>
      <w:lang w:val="en-GB"/>
    </w:rPr>
  </w:style>
  <w:style w:type="paragraph" w:customStyle="1" w:styleId="ValueStandfirst">
    <w:name w:val="Value Standfirst"/>
    <w:uiPriority w:val="1"/>
    <w:qFormat/>
    <w:rsid w:val="004E5406"/>
    <w:pPr>
      <w:spacing w:after="240" w:line="280" w:lineRule="atLeast"/>
    </w:pPr>
    <w:rPr>
      <w:rFonts w:cs="Times New Roman"/>
      <w:sz w:val="28"/>
      <w:szCs w:val="28"/>
    </w:rPr>
  </w:style>
  <w:style w:type="paragraph" w:customStyle="1" w:styleId="Valuestandfirst0">
    <w:name w:val="Value standfirst"/>
    <w:basedOn w:val="Normal"/>
    <w:next w:val="Normal"/>
    <w:uiPriority w:val="8"/>
    <w:rsid w:val="004E5406"/>
    <w:pPr>
      <w:spacing w:before="160" w:after="220"/>
    </w:pPr>
    <w:rPr>
      <w:color w:val="000000"/>
      <w:sz w:val="28"/>
      <w:szCs w:val="28"/>
    </w:rPr>
  </w:style>
  <w:style w:type="character" w:customStyle="1" w:styleId="Heading2Char">
    <w:name w:val="Heading 2 Char"/>
    <w:basedOn w:val="DefaultParagraphFont"/>
    <w:link w:val="Heading2"/>
    <w:rsid w:val="00AA6C16"/>
    <w:rPr>
      <w:rFonts w:asciiTheme="majorHAnsi" w:eastAsiaTheme="majorEastAsia" w:hAnsiTheme="majorHAnsi" w:cstheme="majorBidi"/>
      <w:b/>
      <w:color w:val="000000" w:themeColor="accent1"/>
      <w:szCs w:val="26"/>
    </w:rPr>
  </w:style>
  <w:style w:type="character" w:customStyle="1" w:styleId="Heading3Char">
    <w:name w:val="Heading 3 Char"/>
    <w:basedOn w:val="DefaultParagraphFont"/>
    <w:link w:val="Heading3"/>
    <w:rsid w:val="00AA6C16"/>
    <w:rPr>
      <w:color w:val="000000" w:themeColor="accent1"/>
    </w:rPr>
  </w:style>
  <w:style w:type="character" w:customStyle="1" w:styleId="Heading4Char">
    <w:name w:val="Heading 4 Char"/>
    <w:basedOn w:val="DefaultParagraphFont"/>
    <w:link w:val="Heading4"/>
    <w:rsid w:val="00AA6C16"/>
    <w:rPr>
      <w:i/>
      <w:iCs/>
      <w:color w:val="000000" w:themeColor="accent1"/>
      <w:szCs w:val="20"/>
    </w:rPr>
  </w:style>
  <w:style w:type="paragraph" w:customStyle="1" w:styleId="AppendixText">
    <w:name w:val="Appendix Text"/>
    <w:basedOn w:val="Normal"/>
    <w:uiPriority w:val="11"/>
    <w:semiHidden/>
    <w:qFormat/>
    <w:rsid w:val="00121147"/>
    <w:rPr>
      <w:color w:val="231F20"/>
    </w:rPr>
  </w:style>
  <w:style w:type="paragraph" w:styleId="BalloonText">
    <w:name w:val="Balloon Text"/>
    <w:basedOn w:val="Normal"/>
    <w:link w:val="BalloonTextChar"/>
    <w:uiPriority w:val="99"/>
    <w:semiHidden/>
    <w:rsid w:val="00AA6C16"/>
    <w:rPr>
      <w:rFonts w:asciiTheme="majorHAnsi" w:eastAsiaTheme="majorEastAsia" w:hAnsiTheme="majorHAnsi" w:cstheme="majorBidi"/>
    </w:rPr>
  </w:style>
  <w:style w:type="character" w:customStyle="1" w:styleId="BalloonTextChar">
    <w:name w:val="Balloon Text Char"/>
    <w:basedOn w:val="DefaultParagraphFont"/>
    <w:link w:val="BalloonText"/>
    <w:uiPriority w:val="99"/>
    <w:semiHidden/>
    <w:rsid w:val="00AA6C16"/>
    <w:rPr>
      <w:rFonts w:asciiTheme="majorHAnsi" w:eastAsiaTheme="majorEastAsia" w:hAnsiTheme="majorHAnsi" w:cstheme="majorBidi"/>
      <w:sz w:val="22"/>
      <w:szCs w:val="22"/>
      <w:lang w:val="en-GB"/>
    </w:rPr>
  </w:style>
  <w:style w:type="paragraph" w:styleId="Bibliography">
    <w:name w:val="Bibliography"/>
    <w:basedOn w:val="Normal"/>
    <w:next w:val="Normal"/>
    <w:uiPriority w:val="99"/>
    <w:semiHidden/>
    <w:rsid w:val="00AA6C16"/>
  </w:style>
  <w:style w:type="table" w:customStyle="1" w:styleId="Blank">
    <w:name w:val="Blank"/>
    <w:basedOn w:val="TableNormal"/>
    <w:uiPriority w:val="99"/>
    <w:rsid w:val="00AA6C16"/>
    <w:rPr>
      <w:sz w:val="22"/>
      <w:szCs w:val="22"/>
      <w:lang w:eastAsia="en-US"/>
    </w:rPr>
    <w:tblPr>
      <w:tblCellMar>
        <w:left w:w="0" w:type="dxa"/>
        <w:right w:w="0" w:type="dxa"/>
      </w:tblCellMar>
    </w:tblPr>
  </w:style>
  <w:style w:type="paragraph" w:styleId="BlockText">
    <w:name w:val="Block Text"/>
    <w:basedOn w:val="Normal"/>
    <w:uiPriority w:val="99"/>
    <w:semiHidden/>
    <w:rsid w:val="00AA6C16"/>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ajorHAnsi" w:eastAsiaTheme="majorEastAsia" w:hAnsiTheme="majorHAnsi" w:cstheme="majorBidi"/>
      <w:i/>
      <w:iCs/>
      <w:color w:val="000000" w:themeColor="accent1"/>
    </w:rPr>
  </w:style>
  <w:style w:type="paragraph" w:styleId="BodyText">
    <w:name w:val="Body Text"/>
    <w:basedOn w:val="Normal"/>
    <w:link w:val="BodyTextChar"/>
    <w:uiPriority w:val="99"/>
    <w:semiHidden/>
    <w:rsid w:val="00AA6C16"/>
    <w:pPr>
      <w:spacing w:after="120"/>
    </w:pPr>
  </w:style>
  <w:style w:type="character" w:customStyle="1" w:styleId="BodyTextChar">
    <w:name w:val="Body Text Char"/>
    <w:basedOn w:val="DefaultParagraphFont"/>
    <w:link w:val="BodyText"/>
    <w:uiPriority w:val="99"/>
    <w:semiHidden/>
    <w:rsid w:val="00AA6C16"/>
    <w:rPr>
      <w:sz w:val="22"/>
      <w:szCs w:val="22"/>
      <w:lang w:val="en-GB"/>
    </w:rPr>
  </w:style>
  <w:style w:type="paragraph" w:styleId="BodyText2">
    <w:name w:val="Body Text 2"/>
    <w:basedOn w:val="Normal"/>
    <w:link w:val="BodyText2Char"/>
    <w:uiPriority w:val="99"/>
    <w:semiHidden/>
    <w:rsid w:val="00AA6C16"/>
    <w:pPr>
      <w:spacing w:after="120" w:line="480" w:lineRule="auto"/>
    </w:pPr>
  </w:style>
  <w:style w:type="character" w:customStyle="1" w:styleId="BodyText2Char">
    <w:name w:val="Body Text 2 Char"/>
    <w:basedOn w:val="DefaultParagraphFont"/>
    <w:link w:val="BodyText2"/>
    <w:uiPriority w:val="99"/>
    <w:semiHidden/>
    <w:rsid w:val="00AA6C16"/>
    <w:rPr>
      <w:sz w:val="22"/>
      <w:szCs w:val="22"/>
      <w:lang w:val="en-GB"/>
    </w:rPr>
  </w:style>
  <w:style w:type="paragraph" w:styleId="BodyText3">
    <w:name w:val="Body Text 3"/>
    <w:basedOn w:val="Normal"/>
    <w:link w:val="BodyText3Char"/>
    <w:uiPriority w:val="99"/>
    <w:semiHidden/>
    <w:rsid w:val="00AA6C16"/>
    <w:pPr>
      <w:spacing w:after="120"/>
    </w:pPr>
    <w:rPr>
      <w:sz w:val="16"/>
      <w:szCs w:val="16"/>
    </w:rPr>
  </w:style>
  <w:style w:type="character" w:customStyle="1" w:styleId="BodyText3Char">
    <w:name w:val="Body Text 3 Char"/>
    <w:basedOn w:val="DefaultParagraphFont"/>
    <w:link w:val="BodyText3"/>
    <w:uiPriority w:val="99"/>
    <w:semiHidden/>
    <w:rsid w:val="00AA6C16"/>
    <w:rPr>
      <w:sz w:val="16"/>
      <w:szCs w:val="16"/>
      <w:lang w:val="en-GB"/>
    </w:rPr>
  </w:style>
  <w:style w:type="paragraph" w:styleId="BodyTextFirstIndent">
    <w:name w:val="Body Text First Indent"/>
    <w:basedOn w:val="BodyText"/>
    <w:link w:val="BodyTextFirstIndentChar"/>
    <w:uiPriority w:val="99"/>
    <w:semiHidden/>
    <w:rsid w:val="00AA6C16"/>
    <w:pPr>
      <w:spacing w:after="0"/>
      <w:ind w:firstLine="360"/>
    </w:pPr>
  </w:style>
  <w:style w:type="character" w:customStyle="1" w:styleId="BodyTextFirstIndentChar">
    <w:name w:val="Body Text First Indent Char"/>
    <w:basedOn w:val="BodyTextChar"/>
    <w:link w:val="BodyTextFirstIndent"/>
    <w:uiPriority w:val="99"/>
    <w:semiHidden/>
    <w:rsid w:val="00AA6C16"/>
    <w:rPr>
      <w:sz w:val="22"/>
      <w:szCs w:val="22"/>
      <w:lang w:val="en-GB"/>
    </w:rPr>
  </w:style>
  <w:style w:type="paragraph" w:styleId="BodyTextIndent">
    <w:name w:val="Body Text Indent"/>
    <w:basedOn w:val="Normal"/>
    <w:link w:val="BodyTextIndentChar"/>
    <w:uiPriority w:val="99"/>
    <w:semiHidden/>
    <w:rsid w:val="00AA6C16"/>
    <w:pPr>
      <w:spacing w:after="120"/>
      <w:ind w:left="283"/>
    </w:pPr>
  </w:style>
  <w:style w:type="character" w:customStyle="1" w:styleId="BodyTextIndentChar">
    <w:name w:val="Body Text Indent Char"/>
    <w:basedOn w:val="DefaultParagraphFont"/>
    <w:link w:val="BodyTextIndent"/>
    <w:uiPriority w:val="99"/>
    <w:semiHidden/>
    <w:rsid w:val="00AA6C16"/>
    <w:rPr>
      <w:sz w:val="22"/>
      <w:szCs w:val="22"/>
      <w:lang w:val="en-GB"/>
    </w:rPr>
  </w:style>
  <w:style w:type="paragraph" w:styleId="BodyTextFirstIndent2">
    <w:name w:val="Body Text First Indent 2"/>
    <w:basedOn w:val="BodyTextIndent"/>
    <w:link w:val="BodyTextFirstIndent2Char"/>
    <w:uiPriority w:val="99"/>
    <w:semiHidden/>
    <w:rsid w:val="00AA6C16"/>
    <w:pPr>
      <w:spacing w:after="0"/>
      <w:ind w:left="360" w:firstLine="360"/>
    </w:pPr>
  </w:style>
  <w:style w:type="character" w:customStyle="1" w:styleId="BodyTextFirstIndent2Char">
    <w:name w:val="Body Text First Indent 2 Char"/>
    <w:basedOn w:val="BodyTextIndentChar"/>
    <w:link w:val="BodyTextFirstIndent2"/>
    <w:uiPriority w:val="99"/>
    <w:semiHidden/>
    <w:rsid w:val="00AA6C16"/>
    <w:rPr>
      <w:sz w:val="22"/>
      <w:szCs w:val="22"/>
      <w:lang w:val="en-GB"/>
    </w:rPr>
  </w:style>
  <w:style w:type="paragraph" w:styleId="BodyTextIndent2">
    <w:name w:val="Body Text Indent 2"/>
    <w:basedOn w:val="Normal"/>
    <w:link w:val="BodyTextIndent2Char"/>
    <w:uiPriority w:val="99"/>
    <w:semiHidden/>
    <w:rsid w:val="00AA6C16"/>
    <w:pPr>
      <w:spacing w:after="120" w:line="480" w:lineRule="auto"/>
      <w:ind w:left="283"/>
    </w:pPr>
  </w:style>
  <w:style w:type="character" w:customStyle="1" w:styleId="BodyTextIndent2Char">
    <w:name w:val="Body Text Indent 2 Char"/>
    <w:basedOn w:val="DefaultParagraphFont"/>
    <w:link w:val="BodyTextIndent2"/>
    <w:uiPriority w:val="99"/>
    <w:semiHidden/>
    <w:rsid w:val="00AA6C16"/>
    <w:rPr>
      <w:sz w:val="22"/>
      <w:szCs w:val="22"/>
      <w:lang w:val="en-GB"/>
    </w:rPr>
  </w:style>
  <w:style w:type="paragraph" w:styleId="BodyTextIndent3">
    <w:name w:val="Body Text Indent 3"/>
    <w:basedOn w:val="Normal"/>
    <w:link w:val="BodyTextIndent3Char"/>
    <w:uiPriority w:val="99"/>
    <w:semiHidden/>
    <w:rsid w:val="00AA6C1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A6C16"/>
    <w:rPr>
      <w:sz w:val="16"/>
      <w:szCs w:val="16"/>
      <w:lang w:val="en-GB"/>
    </w:rPr>
  </w:style>
  <w:style w:type="paragraph" w:styleId="Caption">
    <w:name w:val="caption"/>
    <w:next w:val="Normal"/>
    <w:uiPriority w:val="7"/>
    <w:unhideWhenUsed/>
    <w:qFormat/>
    <w:rsid w:val="00AA6C16"/>
    <w:pPr>
      <w:keepNext/>
      <w:snapToGrid w:val="0"/>
      <w:spacing w:before="60" w:after="60"/>
    </w:pPr>
    <w:rPr>
      <w:rFonts w:asciiTheme="majorHAnsi" w:eastAsiaTheme="majorEastAsia" w:hAnsiTheme="majorHAnsi" w:cstheme="majorBidi"/>
      <w:b/>
      <w:iCs/>
      <w:color w:val="000000" w:themeColor="accent1"/>
      <w:sz w:val="17"/>
      <w:szCs w:val="18"/>
    </w:rPr>
  </w:style>
  <w:style w:type="table" w:styleId="ColorfulGrid">
    <w:name w:val="Colorful Grid"/>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6D5ED" w:themeFill="accent2" w:themeFillTint="33"/>
    </w:tcPr>
    <w:tblStylePr w:type="firstRow">
      <w:rPr>
        <w:b/>
        <w:bCs/>
      </w:rPr>
      <w:tblPr/>
      <w:tcPr>
        <w:shd w:val="clear" w:color="auto" w:fill="CDACDB" w:themeFill="accent2" w:themeFillTint="66"/>
      </w:tcPr>
    </w:tblStylePr>
    <w:tblStylePr w:type="lastRow">
      <w:rPr>
        <w:b/>
        <w:bCs/>
        <w:color w:val="000000" w:themeColor="text1"/>
      </w:rPr>
      <w:tblPr/>
      <w:tcPr>
        <w:shd w:val="clear" w:color="auto" w:fill="CDACDB" w:themeFill="accent2" w:themeFillTint="66"/>
      </w:tcPr>
    </w:tblStylePr>
    <w:tblStylePr w:type="firstCol">
      <w:rPr>
        <w:color w:val="FFFFFF" w:themeColor="background1"/>
      </w:rPr>
      <w:tblPr/>
      <w:tcPr>
        <w:shd w:val="clear" w:color="auto" w:fill="5D3070" w:themeFill="accent2" w:themeFillShade="BF"/>
      </w:tcPr>
    </w:tblStylePr>
    <w:tblStylePr w:type="lastCol">
      <w:rPr>
        <w:color w:val="FFFFFF" w:themeColor="background1"/>
      </w:rPr>
      <w:tblPr/>
      <w:tcPr>
        <w:shd w:val="clear" w:color="auto" w:fill="5D3070" w:themeFill="accent2" w:themeFillShade="BF"/>
      </w:tcPr>
    </w:tblStylePr>
    <w:tblStylePr w:type="band1Vert">
      <w:tblPr/>
      <w:tcPr>
        <w:shd w:val="clear" w:color="auto" w:fill="C198D2" w:themeFill="accent2" w:themeFillTint="7F"/>
      </w:tcPr>
    </w:tblStylePr>
    <w:tblStylePr w:type="band1Horz">
      <w:tblPr/>
      <w:tcPr>
        <w:shd w:val="clear" w:color="auto" w:fill="C198D2" w:themeFill="accent2" w:themeFillTint="7F"/>
      </w:tcPr>
    </w:tblStylePr>
  </w:style>
  <w:style w:type="table" w:styleId="ColorfulGrid-Accent3">
    <w:name w:val="Colorful Grid Accent 3"/>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BBDFFF" w:themeFill="accent3" w:themeFillTint="33"/>
    </w:tcPr>
    <w:tblStylePr w:type="firstRow">
      <w:rPr>
        <w:b/>
        <w:bCs/>
      </w:rPr>
      <w:tblPr/>
      <w:tcPr>
        <w:shd w:val="clear" w:color="auto" w:fill="77BFFF" w:themeFill="accent3" w:themeFillTint="66"/>
      </w:tcPr>
    </w:tblStylePr>
    <w:tblStylePr w:type="lastRow">
      <w:rPr>
        <w:b/>
        <w:bCs/>
        <w:color w:val="000000" w:themeColor="text1"/>
      </w:rPr>
      <w:tblPr/>
      <w:tcPr>
        <w:shd w:val="clear" w:color="auto" w:fill="77BFFF" w:themeFill="accent3" w:themeFillTint="66"/>
      </w:tcPr>
    </w:tblStylePr>
    <w:tblStylePr w:type="firstCol">
      <w:rPr>
        <w:color w:val="FFFFFF" w:themeColor="background1"/>
      </w:rPr>
      <w:tblPr/>
      <w:tcPr>
        <w:shd w:val="clear" w:color="auto" w:fill="00437F" w:themeFill="accent3" w:themeFillShade="BF"/>
      </w:tcPr>
    </w:tblStylePr>
    <w:tblStylePr w:type="lastCol">
      <w:rPr>
        <w:color w:val="FFFFFF" w:themeColor="background1"/>
      </w:rPr>
      <w:tblPr/>
      <w:tcPr>
        <w:shd w:val="clear" w:color="auto" w:fill="00437F" w:themeFill="accent3" w:themeFillShade="BF"/>
      </w:tcPr>
    </w:tblStylePr>
    <w:tblStylePr w:type="band1Vert">
      <w:tblPr/>
      <w:tcPr>
        <w:shd w:val="clear" w:color="auto" w:fill="55AFFF" w:themeFill="accent3" w:themeFillTint="7F"/>
      </w:tcPr>
    </w:tblStylePr>
    <w:tblStylePr w:type="band1Horz">
      <w:tblPr/>
      <w:tcPr>
        <w:shd w:val="clear" w:color="auto" w:fill="55AFFF" w:themeFill="accent3" w:themeFillTint="7F"/>
      </w:tcPr>
    </w:tblStylePr>
  </w:style>
  <w:style w:type="table" w:styleId="ColorfulGrid-Accent4">
    <w:name w:val="Colorful Grid Accent 4"/>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1F1F0" w:themeFill="accent4" w:themeFillTint="33"/>
    </w:tcPr>
    <w:tblStylePr w:type="firstRow">
      <w:rPr>
        <w:b/>
        <w:bCs/>
      </w:rPr>
      <w:tblPr/>
      <w:tcPr>
        <w:shd w:val="clear" w:color="auto" w:fill="A4E3E1" w:themeFill="accent4" w:themeFillTint="66"/>
      </w:tcPr>
    </w:tblStylePr>
    <w:tblStylePr w:type="lastRow">
      <w:rPr>
        <w:b/>
        <w:bCs/>
        <w:color w:val="000000" w:themeColor="text1"/>
      </w:rPr>
      <w:tblPr/>
      <w:tcPr>
        <w:shd w:val="clear" w:color="auto" w:fill="A4E3E1" w:themeFill="accent4" w:themeFillTint="66"/>
      </w:tcPr>
    </w:tblStylePr>
    <w:tblStylePr w:type="firstCol">
      <w:rPr>
        <w:color w:val="FFFFFF" w:themeColor="background1"/>
      </w:rPr>
      <w:tblPr/>
      <w:tcPr>
        <w:shd w:val="clear" w:color="auto" w:fill="257A77" w:themeFill="accent4" w:themeFillShade="BF"/>
      </w:tcPr>
    </w:tblStylePr>
    <w:tblStylePr w:type="lastCol">
      <w:rPr>
        <w:color w:val="FFFFFF" w:themeColor="background1"/>
      </w:rPr>
      <w:tblPr/>
      <w:tcPr>
        <w:shd w:val="clear" w:color="auto" w:fill="257A77" w:themeFill="accent4" w:themeFillShade="BF"/>
      </w:tcPr>
    </w:tblStylePr>
    <w:tblStylePr w:type="band1Vert">
      <w:tblPr/>
      <w:tcPr>
        <w:shd w:val="clear" w:color="auto" w:fill="8DDCD9" w:themeFill="accent4" w:themeFillTint="7F"/>
      </w:tcPr>
    </w:tblStylePr>
    <w:tblStylePr w:type="band1Horz">
      <w:tblPr/>
      <w:tcPr>
        <w:shd w:val="clear" w:color="auto" w:fill="8DDCD9" w:themeFill="accent4" w:themeFillTint="7F"/>
      </w:tcPr>
    </w:tblStylePr>
  </w:style>
  <w:style w:type="table" w:styleId="ColorfulGrid-Accent5">
    <w:name w:val="Colorful Grid Accent 5"/>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4D8E9" w:themeFill="accent5" w:themeFillTint="33"/>
    </w:tcPr>
    <w:tblStylePr w:type="firstRow">
      <w:rPr>
        <w:b/>
        <w:bCs/>
      </w:rPr>
      <w:tblPr/>
      <w:tcPr>
        <w:shd w:val="clear" w:color="auto" w:fill="E9B1D4" w:themeFill="accent5" w:themeFillTint="66"/>
      </w:tcPr>
    </w:tblStylePr>
    <w:tblStylePr w:type="lastRow">
      <w:rPr>
        <w:b/>
        <w:bCs/>
        <w:color w:val="000000" w:themeColor="text1"/>
      </w:rPr>
      <w:tblPr/>
      <w:tcPr>
        <w:shd w:val="clear" w:color="auto" w:fill="E9B1D4" w:themeFill="accent5" w:themeFillTint="66"/>
      </w:tcPr>
    </w:tblStylePr>
    <w:tblStylePr w:type="firstCol">
      <w:rPr>
        <w:color w:val="FFFFFF" w:themeColor="background1"/>
      </w:rPr>
      <w:tblPr/>
      <w:tcPr>
        <w:shd w:val="clear" w:color="auto" w:fill="972B70" w:themeFill="accent5" w:themeFillShade="BF"/>
      </w:tcPr>
    </w:tblStylePr>
    <w:tblStylePr w:type="lastCol">
      <w:rPr>
        <w:color w:val="FFFFFF" w:themeColor="background1"/>
      </w:rPr>
      <w:tblPr/>
      <w:tcPr>
        <w:shd w:val="clear" w:color="auto" w:fill="972B70" w:themeFill="accent5" w:themeFillShade="BF"/>
      </w:tcPr>
    </w:tblStylePr>
    <w:tblStylePr w:type="band1Vert">
      <w:tblPr/>
      <w:tcPr>
        <w:shd w:val="clear" w:color="auto" w:fill="E39DCA" w:themeFill="accent5" w:themeFillTint="7F"/>
      </w:tcPr>
    </w:tblStylePr>
    <w:tblStylePr w:type="band1Horz">
      <w:tblPr/>
      <w:tcPr>
        <w:shd w:val="clear" w:color="auto" w:fill="E39DCA" w:themeFill="accent5" w:themeFillTint="7F"/>
      </w:tcPr>
    </w:tblStylePr>
  </w:style>
  <w:style w:type="table" w:styleId="ColorfulGrid-Accent6">
    <w:name w:val="Colorful Grid Accent 6"/>
    <w:basedOn w:val="TableNormal"/>
    <w:uiPriority w:val="99"/>
    <w:semiHidden/>
    <w:unhideWhenUsed/>
    <w:rsid w:val="00AA6C16"/>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9EED8" w:themeFill="accent6" w:themeFillTint="33"/>
    </w:tcPr>
    <w:tblStylePr w:type="firstRow">
      <w:rPr>
        <w:b/>
        <w:bCs/>
      </w:rPr>
      <w:tblPr/>
      <w:tcPr>
        <w:shd w:val="clear" w:color="auto" w:fill="B3DDB1" w:themeFill="accent6" w:themeFillTint="66"/>
      </w:tcPr>
    </w:tblStylePr>
    <w:tblStylePr w:type="lastRow">
      <w:rPr>
        <w:b/>
        <w:bCs/>
        <w:color w:val="000000" w:themeColor="text1"/>
      </w:rPr>
      <w:tblPr/>
      <w:tcPr>
        <w:shd w:val="clear" w:color="auto" w:fill="B3DDB1" w:themeFill="accent6" w:themeFillTint="66"/>
      </w:tcPr>
    </w:tblStylePr>
    <w:tblStylePr w:type="firstCol">
      <w:rPr>
        <w:color w:val="FFFFFF" w:themeColor="background1"/>
      </w:rPr>
      <w:tblPr/>
      <w:tcPr>
        <w:shd w:val="clear" w:color="auto" w:fill="387734" w:themeFill="accent6" w:themeFillShade="BF"/>
      </w:tcPr>
    </w:tblStylePr>
    <w:tblStylePr w:type="lastCol">
      <w:rPr>
        <w:color w:val="FFFFFF" w:themeColor="background1"/>
      </w:rPr>
      <w:tblPr/>
      <w:tcPr>
        <w:shd w:val="clear" w:color="auto" w:fill="387734" w:themeFill="accent6" w:themeFillShade="BF"/>
      </w:tcPr>
    </w:tblStylePr>
    <w:tblStylePr w:type="band1Vert">
      <w:tblPr/>
      <w:tcPr>
        <w:shd w:val="clear" w:color="auto" w:fill="A0D49D" w:themeFill="accent6" w:themeFillTint="7F"/>
      </w:tcPr>
    </w:tblStylePr>
    <w:tblStylePr w:type="band1Horz">
      <w:tblPr/>
      <w:tcPr>
        <w:shd w:val="clear" w:color="auto" w:fill="A0D49D" w:themeFill="accent6" w:themeFillTint="7F"/>
      </w:tcPr>
    </w:tblStylePr>
  </w:style>
  <w:style w:type="table" w:styleId="ColorfulList">
    <w:name w:val="Colorful List"/>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33477" w:themeFill="accent2" w:themeFillShade="CC"/>
      </w:tcPr>
    </w:tblStylePr>
    <w:tblStylePr w:type="lastRow">
      <w:rPr>
        <w:b/>
        <w:bCs/>
        <w:color w:val="63347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633477" w:themeFill="accent2" w:themeFillShade="CC"/>
      </w:tcPr>
    </w:tblStylePr>
    <w:tblStylePr w:type="lastRow">
      <w:rPr>
        <w:b/>
        <w:bCs/>
        <w:color w:val="63347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F2EAF6" w:themeFill="accent2" w:themeFillTint="19"/>
    </w:tcPr>
    <w:tblStylePr w:type="firstRow">
      <w:rPr>
        <w:b/>
        <w:bCs/>
        <w:color w:val="FFFFFF" w:themeColor="background1"/>
      </w:rPr>
      <w:tblPr/>
      <w:tcPr>
        <w:tcBorders>
          <w:bottom w:val="single" w:sz="12" w:space="0" w:color="FFFFFF" w:themeColor="background1"/>
        </w:tcBorders>
        <w:shd w:val="clear" w:color="auto" w:fill="633477" w:themeFill="accent2" w:themeFillShade="CC"/>
      </w:tcPr>
    </w:tblStylePr>
    <w:tblStylePr w:type="lastRow">
      <w:rPr>
        <w:b/>
        <w:bCs/>
        <w:color w:val="63347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CE9" w:themeFill="accent2" w:themeFillTint="3F"/>
      </w:tcPr>
    </w:tblStylePr>
    <w:tblStylePr w:type="band1Horz">
      <w:tblPr/>
      <w:tcPr>
        <w:shd w:val="clear" w:color="auto" w:fill="E6D5ED" w:themeFill="accent2" w:themeFillTint="33"/>
      </w:tcPr>
    </w:tblStylePr>
  </w:style>
  <w:style w:type="table" w:styleId="ColorfulList-Accent3">
    <w:name w:val="Colorful List Accent 3"/>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DDEFFF" w:themeFill="accent3" w:themeFillTint="19"/>
    </w:tcPr>
    <w:tblStylePr w:type="firstRow">
      <w:rPr>
        <w:b/>
        <w:bCs/>
        <w:color w:val="FFFFFF" w:themeColor="background1"/>
      </w:rPr>
      <w:tblPr/>
      <w:tcPr>
        <w:tcBorders>
          <w:bottom w:val="single" w:sz="12" w:space="0" w:color="FFFFFF" w:themeColor="background1"/>
        </w:tcBorders>
        <w:shd w:val="clear" w:color="auto" w:fill="28837F" w:themeFill="accent4" w:themeFillShade="CC"/>
      </w:tcPr>
    </w:tblStylePr>
    <w:tblStylePr w:type="lastRow">
      <w:rPr>
        <w:b/>
        <w:bCs/>
        <w:color w:val="2883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7FF" w:themeFill="accent3" w:themeFillTint="3F"/>
      </w:tcPr>
    </w:tblStylePr>
    <w:tblStylePr w:type="band1Horz">
      <w:tblPr/>
      <w:tcPr>
        <w:shd w:val="clear" w:color="auto" w:fill="BBDFFF" w:themeFill="accent3" w:themeFillTint="33"/>
      </w:tcPr>
    </w:tblStylePr>
  </w:style>
  <w:style w:type="table" w:styleId="ColorfulList-Accent4">
    <w:name w:val="Colorful List Accent 4"/>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8F8F7" w:themeFill="accent4" w:themeFillTint="19"/>
    </w:tcPr>
    <w:tblStylePr w:type="firstRow">
      <w:rPr>
        <w:b/>
        <w:bCs/>
        <w:color w:val="FFFFFF" w:themeColor="background1"/>
      </w:rPr>
      <w:tblPr/>
      <w:tcPr>
        <w:tcBorders>
          <w:bottom w:val="single" w:sz="12" w:space="0" w:color="FFFFFF" w:themeColor="background1"/>
        </w:tcBorders>
        <w:shd w:val="clear" w:color="auto" w:fill="004888" w:themeFill="accent3" w:themeFillShade="CC"/>
      </w:tcPr>
    </w:tblStylePr>
    <w:tblStylePr w:type="lastRow">
      <w:rPr>
        <w:b/>
        <w:bCs/>
        <w:color w:val="00488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EEC" w:themeFill="accent4" w:themeFillTint="3F"/>
      </w:tcPr>
    </w:tblStylePr>
    <w:tblStylePr w:type="band1Horz">
      <w:tblPr/>
      <w:tcPr>
        <w:shd w:val="clear" w:color="auto" w:fill="D1F1F0" w:themeFill="accent4" w:themeFillTint="33"/>
      </w:tcPr>
    </w:tblStylePr>
  </w:style>
  <w:style w:type="table" w:styleId="ColorfulList-Accent5">
    <w:name w:val="Colorful List Accent 5"/>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F9EBF4" w:themeFill="accent5" w:themeFillTint="19"/>
    </w:tcPr>
    <w:tblStylePr w:type="firstRow">
      <w:rPr>
        <w:b/>
        <w:bCs/>
        <w:color w:val="FFFFFF" w:themeColor="background1"/>
      </w:rPr>
      <w:tblPr/>
      <w:tcPr>
        <w:tcBorders>
          <w:bottom w:val="single" w:sz="12" w:space="0" w:color="FFFFFF" w:themeColor="background1"/>
        </w:tcBorders>
        <w:shd w:val="clear" w:color="auto" w:fill="3C7F38" w:themeFill="accent6" w:themeFillShade="CC"/>
      </w:tcPr>
    </w:tblStylePr>
    <w:tblStylePr w:type="lastRow">
      <w:rPr>
        <w:b/>
        <w:bCs/>
        <w:color w:val="3C7F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EE4" w:themeFill="accent5" w:themeFillTint="3F"/>
      </w:tcPr>
    </w:tblStylePr>
    <w:tblStylePr w:type="band1Horz">
      <w:tblPr/>
      <w:tcPr>
        <w:shd w:val="clear" w:color="auto" w:fill="F4D8E9" w:themeFill="accent5" w:themeFillTint="33"/>
      </w:tcPr>
    </w:tblStylePr>
  </w:style>
  <w:style w:type="table" w:styleId="ColorfulList-Accent6">
    <w:name w:val="Colorful List Accent 6"/>
    <w:basedOn w:val="TableNormal"/>
    <w:uiPriority w:val="99"/>
    <w:semiHidden/>
    <w:unhideWhenUsed/>
    <w:rsid w:val="00AA6C16"/>
    <w:rPr>
      <w:color w:val="000000" w:themeColor="text1"/>
      <w:sz w:val="22"/>
      <w:szCs w:val="22"/>
      <w:lang w:eastAsia="en-US"/>
    </w:rPr>
    <w:tblPr>
      <w:tblStyleRowBandSize w:val="1"/>
      <w:tblStyleColBandSize w:val="1"/>
    </w:tblPr>
    <w:tcPr>
      <w:shd w:val="clear" w:color="auto" w:fill="ECF6EB" w:themeFill="accent6" w:themeFillTint="19"/>
    </w:tcPr>
    <w:tblStylePr w:type="firstRow">
      <w:rPr>
        <w:b/>
        <w:bCs/>
        <w:color w:val="FFFFFF" w:themeColor="background1"/>
      </w:rPr>
      <w:tblPr/>
      <w:tcPr>
        <w:tcBorders>
          <w:bottom w:val="single" w:sz="12" w:space="0" w:color="FFFFFF" w:themeColor="background1"/>
        </w:tcBorders>
        <w:shd w:val="clear" w:color="auto" w:fill="A22D78" w:themeFill="accent5" w:themeFillShade="CC"/>
      </w:tcPr>
    </w:tblStylePr>
    <w:tblStylePr w:type="lastRow">
      <w:rPr>
        <w:b/>
        <w:bCs/>
        <w:color w:val="A22D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ACE" w:themeFill="accent6" w:themeFillTint="3F"/>
      </w:tcPr>
    </w:tblStylePr>
    <w:tblStylePr w:type="band1Horz">
      <w:tblPr/>
      <w:tcPr>
        <w:shd w:val="clear" w:color="auto" w:fill="D9EED8" w:themeFill="accent6" w:themeFillTint="33"/>
      </w:tcPr>
    </w:tblStylePr>
  </w:style>
  <w:style w:type="table" w:styleId="ColorfulShading">
    <w:name w:val="Colorful Shading"/>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7D419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7D4196"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7D4196" w:themeColor="accent2"/>
        <w:left w:val="single" w:sz="4" w:space="0" w:color="7D4196" w:themeColor="accent2"/>
        <w:bottom w:val="single" w:sz="4" w:space="0" w:color="7D4196" w:themeColor="accent2"/>
        <w:right w:val="single" w:sz="4" w:space="0" w:color="7D4196" w:themeColor="accent2"/>
        <w:insideH w:val="single" w:sz="4" w:space="0" w:color="FFFFFF" w:themeColor="background1"/>
        <w:insideV w:val="single" w:sz="4" w:space="0" w:color="FFFFFF" w:themeColor="background1"/>
      </w:tblBorders>
    </w:tblPr>
    <w:tcPr>
      <w:shd w:val="clear" w:color="auto" w:fill="F2EAF6" w:themeFill="accent2" w:themeFillTint="19"/>
    </w:tcPr>
    <w:tblStylePr w:type="firstRow">
      <w:rPr>
        <w:b/>
        <w:bCs/>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2759" w:themeFill="accent2" w:themeFillShade="99"/>
      </w:tcPr>
    </w:tblStylePr>
    <w:tblStylePr w:type="firstCol">
      <w:rPr>
        <w:color w:val="FFFFFF" w:themeColor="background1"/>
      </w:rPr>
      <w:tblPr/>
      <w:tcPr>
        <w:tcBorders>
          <w:top w:val="nil"/>
          <w:left w:val="nil"/>
          <w:bottom w:val="nil"/>
          <w:right w:val="nil"/>
          <w:insideH w:val="single" w:sz="4" w:space="0" w:color="4A2759" w:themeColor="accent2" w:themeShade="99"/>
          <w:insideV w:val="nil"/>
        </w:tcBorders>
        <w:shd w:val="clear" w:color="auto" w:fill="4A275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A2759" w:themeFill="accent2" w:themeFillShade="99"/>
      </w:tcPr>
    </w:tblStylePr>
    <w:tblStylePr w:type="band1Vert">
      <w:tblPr/>
      <w:tcPr>
        <w:shd w:val="clear" w:color="auto" w:fill="CDACDB" w:themeFill="accent2" w:themeFillTint="66"/>
      </w:tcPr>
    </w:tblStylePr>
    <w:tblStylePr w:type="band1Horz">
      <w:tblPr/>
      <w:tcPr>
        <w:shd w:val="clear" w:color="auto" w:fill="C198D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32A4A0" w:themeColor="accent4"/>
        <w:left w:val="single" w:sz="4" w:space="0" w:color="005AAA" w:themeColor="accent3"/>
        <w:bottom w:val="single" w:sz="4" w:space="0" w:color="005AAA" w:themeColor="accent3"/>
        <w:right w:val="single" w:sz="4" w:space="0" w:color="005AAA" w:themeColor="accent3"/>
        <w:insideH w:val="single" w:sz="4" w:space="0" w:color="FFFFFF" w:themeColor="background1"/>
        <w:insideV w:val="single" w:sz="4" w:space="0" w:color="FFFFFF" w:themeColor="background1"/>
      </w:tblBorders>
    </w:tblPr>
    <w:tcPr>
      <w:shd w:val="clear" w:color="auto" w:fill="DDEFFF" w:themeFill="accent3" w:themeFillTint="19"/>
    </w:tcPr>
    <w:tblStylePr w:type="firstRow">
      <w:rPr>
        <w:b/>
        <w:bCs/>
      </w:rPr>
      <w:tblPr/>
      <w:tcPr>
        <w:tcBorders>
          <w:top w:val="nil"/>
          <w:left w:val="nil"/>
          <w:bottom w:val="single" w:sz="24" w:space="0" w:color="32A4A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666" w:themeFill="accent3" w:themeFillShade="99"/>
      </w:tcPr>
    </w:tblStylePr>
    <w:tblStylePr w:type="firstCol">
      <w:rPr>
        <w:color w:val="FFFFFF" w:themeColor="background1"/>
      </w:rPr>
      <w:tblPr/>
      <w:tcPr>
        <w:tcBorders>
          <w:top w:val="nil"/>
          <w:left w:val="nil"/>
          <w:bottom w:val="nil"/>
          <w:right w:val="nil"/>
          <w:insideH w:val="single" w:sz="4" w:space="0" w:color="003666" w:themeColor="accent3" w:themeShade="99"/>
          <w:insideV w:val="nil"/>
        </w:tcBorders>
        <w:shd w:val="clear" w:color="auto" w:fill="00366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666" w:themeFill="accent3" w:themeFillShade="99"/>
      </w:tcPr>
    </w:tblStylePr>
    <w:tblStylePr w:type="band1Vert">
      <w:tblPr/>
      <w:tcPr>
        <w:shd w:val="clear" w:color="auto" w:fill="77BFFF" w:themeFill="accent3" w:themeFillTint="66"/>
      </w:tcPr>
    </w:tblStylePr>
    <w:tblStylePr w:type="band1Horz">
      <w:tblPr/>
      <w:tcPr>
        <w:shd w:val="clear" w:color="auto" w:fill="55AFFF" w:themeFill="accent3" w:themeFillTint="7F"/>
      </w:tcPr>
    </w:tblStylePr>
  </w:style>
  <w:style w:type="table" w:styleId="ColorfulShading-Accent4">
    <w:name w:val="Colorful Shading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005AAA" w:themeColor="accent3"/>
        <w:left w:val="single" w:sz="4" w:space="0" w:color="32A4A0" w:themeColor="accent4"/>
        <w:bottom w:val="single" w:sz="4" w:space="0" w:color="32A4A0" w:themeColor="accent4"/>
        <w:right w:val="single" w:sz="4" w:space="0" w:color="32A4A0" w:themeColor="accent4"/>
        <w:insideH w:val="single" w:sz="4" w:space="0" w:color="FFFFFF" w:themeColor="background1"/>
        <w:insideV w:val="single" w:sz="4" w:space="0" w:color="FFFFFF" w:themeColor="background1"/>
      </w:tblBorders>
    </w:tblPr>
    <w:tcPr>
      <w:shd w:val="clear" w:color="auto" w:fill="E8F8F7" w:themeFill="accent4" w:themeFillTint="19"/>
    </w:tcPr>
    <w:tblStylePr w:type="firstRow">
      <w:rPr>
        <w:b/>
        <w:bCs/>
      </w:rPr>
      <w:tblPr/>
      <w:tcPr>
        <w:tcBorders>
          <w:top w:val="nil"/>
          <w:left w:val="nil"/>
          <w:bottom w:val="single" w:sz="24" w:space="0" w:color="005AA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25F" w:themeFill="accent4" w:themeFillShade="99"/>
      </w:tcPr>
    </w:tblStylePr>
    <w:tblStylePr w:type="firstCol">
      <w:rPr>
        <w:color w:val="FFFFFF" w:themeColor="background1"/>
      </w:rPr>
      <w:tblPr/>
      <w:tcPr>
        <w:tcBorders>
          <w:top w:val="nil"/>
          <w:left w:val="nil"/>
          <w:bottom w:val="nil"/>
          <w:right w:val="nil"/>
          <w:insideH w:val="single" w:sz="4" w:space="0" w:color="1E625F" w:themeColor="accent4" w:themeShade="99"/>
          <w:insideV w:val="nil"/>
        </w:tcBorders>
        <w:shd w:val="clear" w:color="auto" w:fill="1E62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E625F" w:themeFill="accent4" w:themeFillShade="99"/>
      </w:tcPr>
    </w:tblStylePr>
    <w:tblStylePr w:type="band1Vert">
      <w:tblPr/>
      <w:tcPr>
        <w:shd w:val="clear" w:color="auto" w:fill="A4E3E1" w:themeFill="accent4" w:themeFillTint="66"/>
      </w:tcPr>
    </w:tblStylePr>
    <w:tblStylePr w:type="band1Horz">
      <w:tblPr/>
      <w:tcPr>
        <w:shd w:val="clear" w:color="auto" w:fill="8DDC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4BA046" w:themeColor="accent6"/>
        <w:left w:val="single" w:sz="4" w:space="0" w:color="C83C96" w:themeColor="accent5"/>
        <w:bottom w:val="single" w:sz="4" w:space="0" w:color="C83C96" w:themeColor="accent5"/>
        <w:right w:val="single" w:sz="4" w:space="0" w:color="C83C96" w:themeColor="accent5"/>
        <w:insideH w:val="single" w:sz="4" w:space="0" w:color="FFFFFF" w:themeColor="background1"/>
        <w:insideV w:val="single" w:sz="4" w:space="0" w:color="FFFFFF" w:themeColor="background1"/>
      </w:tblBorders>
    </w:tblPr>
    <w:tcPr>
      <w:shd w:val="clear" w:color="auto" w:fill="F9EBF4" w:themeFill="accent5" w:themeFillTint="19"/>
    </w:tcPr>
    <w:tblStylePr w:type="firstRow">
      <w:rPr>
        <w:b/>
        <w:bCs/>
      </w:rPr>
      <w:tblPr/>
      <w:tcPr>
        <w:tcBorders>
          <w:top w:val="nil"/>
          <w:left w:val="nil"/>
          <w:bottom w:val="single" w:sz="24" w:space="0" w:color="4BA0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225A" w:themeFill="accent5" w:themeFillShade="99"/>
      </w:tcPr>
    </w:tblStylePr>
    <w:tblStylePr w:type="firstCol">
      <w:rPr>
        <w:color w:val="FFFFFF" w:themeColor="background1"/>
      </w:rPr>
      <w:tblPr/>
      <w:tcPr>
        <w:tcBorders>
          <w:top w:val="nil"/>
          <w:left w:val="nil"/>
          <w:bottom w:val="nil"/>
          <w:right w:val="nil"/>
          <w:insideH w:val="single" w:sz="4" w:space="0" w:color="79225A" w:themeColor="accent5" w:themeShade="99"/>
          <w:insideV w:val="nil"/>
        </w:tcBorders>
        <w:shd w:val="clear" w:color="auto" w:fill="7922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9225A" w:themeFill="accent5" w:themeFillShade="99"/>
      </w:tcPr>
    </w:tblStylePr>
    <w:tblStylePr w:type="band1Vert">
      <w:tblPr/>
      <w:tcPr>
        <w:shd w:val="clear" w:color="auto" w:fill="E9B1D4" w:themeFill="accent5" w:themeFillTint="66"/>
      </w:tcPr>
    </w:tblStylePr>
    <w:tblStylePr w:type="band1Horz">
      <w:tblPr/>
      <w:tcPr>
        <w:shd w:val="clear" w:color="auto" w:fill="E39D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24" w:space="0" w:color="C83C96" w:themeColor="accent5"/>
        <w:left w:val="single" w:sz="4" w:space="0" w:color="4BA046" w:themeColor="accent6"/>
        <w:bottom w:val="single" w:sz="4" w:space="0" w:color="4BA046" w:themeColor="accent6"/>
        <w:right w:val="single" w:sz="4" w:space="0" w:color="4BA046" w:themeColor="accent6"/>
        <w:insideH w:val="single" w:sz="4" w:space="0" w:color="FFFFFF" w:themeColor="background1"/>
        <w:insideV w:val="single" w:sz="4" w:space="0" w:color="FFFFFF" w:themeColor="background1"/>
      </w:tblBorders>
    </w:tblPr>
    <w:tcPr>
      <w:shd w:val="clear" w:color="auto" w:fill="ECF6EB" w:themeFill="accent6" w:themeFillTint="19"/>
    </w:tcPr>
    <w:tblStylePr w:type="firstRow">
      <w:rPr>
        <w:b/>
        <w:bCs/>
      </w:rPr>
      <w:tblPr/>
      <w:tcPr>
        <w:tcBorders>
          <w:top w:val="nil"/>
          <w:left w:val="nil"/>
          <w:bottom w:val="single" w:sz="24" w:space="0" w:color="C83C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5F2A" w:themeFill="accent6" w:themeFillShade="99"/>
      </w:tcPr>
    </w:tblStylePr>
    <w:tblStylePr w:type="firstCol">
      <w:rPr>
        <w:color w:val="FFFFFF" w:themeColor="background1"/>
      </w:rPr>
      <w:tblPr/>
      <w:tcPr>
        <w:tcBorders>
          <w:top w:val="nil"/>
          <w:left w:val="nil"/>
          <w:bottom w:val="nil"/>
          <w:right w:val="nil"/>
          <w:insideH w:val="single" w:sz="4" w:space="0" w:color="2D5F2A" w:themeColor="accent6" w:themeShade="99"/>
          <w:insideV w:val="nil"/>
        </w:tcBorders>
        <w:shd w:val="clear" w:color="auto" w:fill="2D5F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5F2A" w:themeFill="accent6" w:themeFillShade="99"/>
      </w:tcPr>
    </w:tblStylePr>
    <w:tblStylePr w:type="band1Vert">
      <w:tblPr/>
      <w:tcPr>
        <w:shd w:val="clear" w:color="auto" w:fill="B3DDB1" w:themeFill="accent6" w:themeFillTint="66"/>
      </w:tcPr>
    </w:tblStylePr>
    <w:tblStylePr w:type="band1Horz">
      <w:tblPr/>
      <w:tcPr>
        <w:shd w:val="clear" w:color="auto" w:fill="A0D49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AA6C16"/>
    <w:rPr>
      <w:sz w:val="16"/>
      <w:szCs w:val="16"/>
      <w:lang w:val="en-GB"/>
    </w:rPr>
  </w:style>
  <w:style w:type="paragraph" w:styleId="CommentText">
    <w:name w:val="annotation text"/>
    <w:basedOn w:val="Normal"/>
    <w:link w:val="CommentTextChar"/>
    <w:uiPriority w:val="99"/>
    <w:semiHidden/>
    <w:rsid w:val="00AA6C16"/>
  </w:style>
  <w:style w:type="character" w:customStyle="1" w:styleId="CommentTextChar">
    <w:name w:val="Comment Text Char"/>
    <w:basedOn w:val="DefaultParagraphFont"/>
    <w:link w:val="CommentText"/>
    <w:uiPriority w:val="99"/>
    <w:semiHidden/>
    <w:rsid w:val="00AA6C16"/>
    <w:rPr>
      <w:sz w:val="22"/>
      <w:szCs w:val="22"/>
      <w:lang w:val="en-GB"/>
    </w:rPr>
  </w:style>
  <w:style w:type="paragraph" w:styleId="CommentSubject">
    <w:name w:val="annotation subject"/>
    <w:basedOn w:val="CommentText"/>
    <w:next w:val="CommentText"/>
    <w:link w:val="CommentSubjectChar"/>
    <w:uiPriority w:val="99"/>
    <w:semiHidden/>
    <w:rsid w:val="00AA6C16"/>
    <w:rPr>
      <w:b/>
      <w:bCs/>
    </w:rPr>
  </w:style>
  <w:style w:type="character" w:customStyle="1" w:styleId="CommentSubjectChar">
    <w:name w:val="Comment Subject Char"/>
    <w:basedOn w:val="CommentTextChar"/>
    <w:link w:val="CommentSubject"/>
    <w:uiPriority w:val="99"/>
    <w:semiHidden/>
    <w:rsid w:val="00AA6C16"/>
    <w:rPr>
      <w:b/>
      <w:bCs/>
      <w:sz w:val="22"/>
      <w:szCs w:val="22"/>
      <w:lang w:val="en-GB"/>
    </w:rPr>
  </w:style>
  <w:style w:type="paragraph" w:customStyle="1" w:styleId="Copyright">
    <w:name w:val="Copyright"/>
    <w:basedOn w:val="Normal"/>
    <w:next w:val="Normal"/>
    <w:uiPriority w:val="7"/>
    <w:qFormat/>
    <w:rsid w:val="00AA6C16"/>
    <w:pPr>
      <w:spacing w:before="80" w:after="0"/>
    </w:pPr>
    <w:rPr>
      <w:sz w:val="12"/>
      <w:szCs w:val="12"/>
    </w:rPr>
  </w:style>
  <w:style w:type="table" w:styleId="DarkList">
    <w:name w:val="Dark List"/>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7D419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04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D307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D3070" w:themeFill="accent2" w:themeFillShade="BF"/>
      </w:tcPr>
    </w:tblStylePr>
    <w:tblStylePr w:type="band1Vert">
      <w:tblPr/>
      <w:tcPr>
        <w:tcBorders>
          <w:top w:val="nil"/>
          <w:left w:val="nil"/>
          <w:bottom w:val="nil"/>
          <w:right w:val="nil"/>
          <w:insideH w:val="nil"/>
          <w:insideV w:val="nil"/>
        </w:tcBorders>
        <w:shd w:val="clear" w:color="auto" w:fill="5D3070" w:themeFill="accent2" w:themeFillShade="BF"/>
      </w:tcPr>
    </w:tblStylePr>
    <w:tblStylePr w:type="band1Horz">
      <w:tblPr/>
      <w:tcPr>
        <w:tcBorders>
          <w:top w:val="nil"/>
          <w:left w:val="nil"/>
          <w:bottom w:val="nil"/>
          <w:right w:val="nil"/>
          <w:insideH w:val="nil"/>
          <w:insideV w:val="nil"/>
        </w:tcBorders>
        <w:shd w:val="clear" w:color="auto" w:fill="5D3070" w:themeFill="accent2" w:themeFillShade="BF"/>
      </w:tcPr>
    </w:tblStylePr>
  </w:style>
  <w:style w:type="table" w:styleId="DarkList-Accent3">
    <w:name w:val="Dark List Accent 3"/>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005AA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5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37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37F" w:themeFill="accent3" w:themeFillShade="BF"/>
      </w:tcPr>
    </w:tblStylePr>
    <w:tblStylePr w:type="band1Vert">
      <w:tblPr/>
      <w:tcPr>
        <w:tcBorders>
          <w:top w:val="nil"/>
          <w:left w:val="nil"/>
          <w:bottom w:val="nil"/>
          <w:right w:val="nil"/>
          <w:insideH w:val="nil"/>
          <w:insideV w:val="nil"/>
        </w:tcBorders>
        <w:shd w:val="clear" w:color="auto" w:fill="00437F" w:themeFill="accent3" w:themeFillShade="BF"/>
      </w:tcPr>
    </w:tblStylePr>
    <w:tblStylePr w:type="band1Horz">
      <w:tblPr/>
      <w:tcPr>
        <w:tcBorders>
          <w:top w:val="nil"/>
          <w:left w:val="nil"/>
          <w:bottom w:val="nil"/>
          <w:right w:val="nil"/>
          <w:insideH w:val="nil"/>
          <w:insideV w:val="nil"/>
        </w:tcBorders>
        <w:shd w:val="clear" w:color="auto" w:fill="00437F" w:themeFill="accent3" w:themeFillShade="BF"/>
      </w:tcPr>
    </w:tblStylePr>
  </w:style>
  <w:style w:type="table" w:styleId="DarkList-Accent4">
    <w:name w:val="Dark List Accent 4"/>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32A4A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1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57A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57A77" w:themeFill="accent4" w:themeFillShade="BF"/>
      </w:tcPr>
    </w:tblStylePr>
    <w:tblStylePr w:type="band1Vert">
      <w:tblPr/>
      <w:tcPr>
        <w:tcBorders>
          <w:top w:val="nil"/>
          <w:left w:val="nil"/>
          <w:bottom w:val="nil"/>
          <w:right w:val="nil"/>
          <w:insideH w:val="nil"/>
          <w:insideV w:val="nil"/>
        </w:tcBorders>
        <w:shd w:val="clear" w:color="auto" w:fill="257A77" w:themeFill="accent4" w:themeFillShade="BF"/>
      </w:tcPr>
    </w:tblStylePr>
    <w:tblStylePr w:type="band1Horz">
      <w:tblPr/>
      <w:tcPr>
        <w:tcBorders>
          <w:top w:val="nil"/>
          <w:left w:val="nil"/>
          <w:bottom w:val="nil"/>
          <w:right w:val="nil"/>
          <w:insideH w:val="nil"/>
          <w:insideV w:val="nil"/>
        </w:tcBorders>
        <w:shd w:val="clear" w:color="auto" w:fill="257A77" w:themeFill="accent4" w:themeFillShade="BF"/>
      </w:tcPr>
    </w:tblStylePr>
  </w:style>
  <w:style w:type="table" w:styleId="DarkList-Accent5">
    <w:name w:val="Dark List Accent 5"/>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C83C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1C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72B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72B70" w:themeFill="accent5" w:themeFillShade="BF"/>
      </w:tcPr>
    </w:tblStylePr>
    <w:tblStylePr w:type="band1Vert">
      <w:tblPr/>
      <w:tcPr>
        <w:tcBorders>
          <w:top w:val="nil"/>
          <w:left w:val="nil"/>
          <w:bottom w:val="nil"/>
          <w:right w:val="nil"/>
          <w:insideH w:val="nil"/>
          <w:insideV w:val="nil"/>
        </w:tcBorders>
        <w:shd w:val="clear" w:color="auto" w:fill="972B70" w:themeFill="accent5" w:themeFillShade="BF"/>
      </w:tcPr>
    </w:tblStylePr>
    <w:tblStylePr w:type="band1Horz">
      <w:tblPr/>
      <w:tcPr>
        <w:tcBorders>
          <w:top w:val="nil"/>
          <w:left w:val="nil"/>
          <w:bottom w:val="nil"/>
          <w:right w:val="nil"/>
          <w:insideH w:val="nil"/>
          <w:insideV w:val="nil"/>
        </w:tcBorders>
        <w:shd w:val="clear" w:color="auto" w:fill="972B70" w:themeFill="accent5" w:themeFillShade="BF"/>
      </w:tcPr>
    </w:tblStylePr>
  </w:style>
  <w:style w:type="table" w:styleId="DarkList-Accent6">
    <w:name w:val="Dark List Accent 6"/>
    <w:basedOn w:val="TableNormal"/>
    <w:uiPriority w:val="99"/>
    <w:semiHidden/>
    <w:unhideWhenUsed/>
    <w:rsid w:val="00AA6C16"/>
    <w:rPr>
      <w:color w:val="FFFFFF" w:themeColor="background1"/>
      <w:sz w:val="22"/>
      <w:szCs w:val="22"/>
      <w:lang w:eastAsia="en-US"/>
    </w:rPr>
    <w:tblPr>
      <w:tblStyleRowBandSize w:val="1"/>
      <w:tblStyleColBandSize w:val="1"/>
    </w:tblPr>
    <w:tcPr>
      <w:shd w:val="clear" w:color="auto" w:fill="4BA0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4F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773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7734" w:themeFill="accent6" w:themeFillShade="BF"/>
      </w:tcPr>
    </w:tblStylePr>
    <w:tblStylePr w:type="band1Vert">
      <w:tblPr/>
      <w:tcPr>
        <w:tcBorders>
          <w:top w:val="nil"/>
          <w:left w:val="nil"/>
          <w:bottom w:val="nil"/>
          <w:right w:val="nil"/>
          <w:insideH w:val="nil"/>
          <w:insideV w:val="nil"/>
        </w:tcBorders>
        <w:shd w:val="clear" w:color="auto" w:fill="387734" w:themeFill="accent6" w:themeFillShade="BF"/>
      </w:tcPr>
    </w:tblStylePr>
    <w:tblStylePr w:type="band1Horz">
      <w:tblPr/>
      <w:tcPr>
        <w:tcBorders>
          <w:top w:val="nil"/>
          <w:left w:val="nil"/>
          <w:bottom w:val="nil"/>
          <w:right w:val="nil"/>
          <w:insideH w:val="nil"/>
          <w:insideV w:val="nil"/>
        </w:tcBorders>
        <w:shd w:val="clear" w:color="auto" w:fill="387734" w:themeFill="accent6" w:themeFillShade="BF"/>
      </w:tcPr>
    </w:tblStylePr>
  </w:style>
  <w:style w:type="paragraph" w:styleId="Date">
    <w:name w:val="Date"/>
    <w:basedOn w:val="Normal"/>
    <w:next w:val="Normal"/>
    <w:link w:val="DateChar"/>
    <w:uiPriority w:val="99"/>
    <w:semiHidden/>
    <w:rsid w:val="00AA6C16"/>
  </w:style>
  <w:style w:type="character" w:customStyle="1" w:styleId="DateChar">
    <w:name w:val="Date Char"/>
    <w:basedOn w:val="DefaultParagraphFont"/>
    <w:link w:val="Date"/>
    <w:uiPriority w:val="99"/>
    <w:semiHidden/>
    <w:rsid w:val="00AA6C16"/>
    <w:rPr>
      <w:sz w:val="22"/>
      <w:szCs w:val="22"/>
      <w:lang w:val="en-GB"/>
    </w:rPr>
  </w:style>
  <w:style w:type="paragraph" w:styleId="DocumentMap">
    <w:name w:val="Document Map"/>
    <w:basedOn w:val="Normal"/>
    <w:link w:val="DocumentMapChar"/>
    <w:uiPriority w:val="99"/>
    <w:semiHidden/>
    <w:rsid w:val="00AA6C16"/>
    <w:rPr>
      <w:rFonts w:asciiTheme="majorHAnsi" w:eastAsiaTheme="majorEastAsia" w:hAnsiTheme="majorHAnsi" w:cstheme="majorBidi"/>
      <w:sz w:val="16"/>
      <w:szCs w:val="16"/>
    </w:rPr>
  </w:style>
  <w:style w:type="character" w:customStyle="1" w:styleId="DocumentMapChar">
    <w:name w:val="Document Map Char"/>
    <w:basedOn w:val="DefaultParagraphFont"/>
    <w:link w:val="DocumentMap"/>
    <w:uiPriority w:val="99"/>
    <w:semiHidden/>
    <w:rsid w:val="00AA6C16"/>
    <w:rPr>
      <w:rFonts w:asciiTheme="majorHAnsi" w:eastAsiaTheme="majorEastAsia" w:hAnsiTheme="majorHAnsi" w:cstheme="majorBidi"/>
      <w:sz w:val="16"/>
      <w:szCs w:val="16"/>
      <w:lang w:val="en-GB"/>
    </w:rPr>
  </w:style>
  <w:style w:type="paragraph" w:styleId="E-mailSignature">
    <w:name w:val="E-mail Signature"/>
    <w:basedOn w:val="Normal"/>
    <w:link w:val="E-mailSignatureChar"/>
    <w:uiPriority w:val="99"/>
    <w:semiHidden/>
    <w:rsid w:val="00AA6C16"/>
  </w:style>
  <w:style w:type="character" w:customStyle="1" w:styleId="E-mailSignatureChar">
    <w:name w:val="E-mail Signature Char"/>
    <w:basedOn w:val="DefaultParagraphFont"/>
    <w:link w:val="E-mailSignature"/>
    <w:uiPriority w:val="99"/>
    <w:semiHidden/>
    <w:rsid w:val="00AA6C16"/>
    <w:rPr>
      <w:sz w:val="22"/>
      <w:szCs w:val="22"/>
      <w:lang w:val="en-GB"/>
    </w:rPr>
  </w:style>
  <w:style w:type="character" w:styleId="Emphasis">
    <w:name w:val="Emphasis"/>
    <w:basedOn w:val="DefaultParagraphFont"/>
    <w:uiPriority w:val="8"/>
    <w:semiHidden/>
    <w:rsid w:val="00AA6C16"/>
    <w:rPr>
      <w:i/>
      <w:iCs/>
      <w:lang w:val="en-GB"/>
    </w:rPr>
  </w:style>
  <w:style w:type="character" w:styleId="EndnoteReference">
    <w:name w:val="endnote reference"/>
    <w:basedOn w:val="DefaultParagraphFont"/>
    <w:uiPriority w:val="13"/>
    <w:semiHidden/>
    <w:rsid w:val="00AA6C16"/>
    <w:rPr>
      <w:vertAlign w:val="superscript"/>
      <w:lang w:val="en-GB"/>
    </w:rPr>
  </w:style>
  <w:style w:type="paragraph" w:styleId="EndnoteText">
    <w:name w:val="endnote text"/>
    <w:basedOn w:val="Normal"/>
    <w:link w:val="EndnoteTextChar"/>
    <w:uiPriority w:val="13"/>
    <w:semiHidden/>
    <w:qFormat/>
    <w:rsid w:val="00AA6C16"/>
    <w:pPr>
      <w:ind w:left="113" w:hanging="113"/>
    </w:pPr>
  </w:style>
  <w:style w:type="character" w:customStyle="1" w:styleId="EndnoteTextChar">
    <w:name w:val="Endnote Text Char"/>
    <w:basedOn w:val="DefaultParagraphFont"/>
    <w:link w:val="EndnoteText"/>
    <w:uiPriority w:val="13"/>
    <w:semiHidden/>
    <w:rsid w:val="00AA6C16"/>
    <w:rPr>
      <w:sz w:val="22"/>
      <w:szCs w:val="22"/>
      <w:lang w:val="en-GB"/>
    </w:rPr>
  </w:style>
  <w:style w:type="paragraph" w:styleId="EnvelopeAddress">
    <w:name w:val="envelope address"/>
    <w:basedOn w:val="Normal"/>
    <w:uiPriority w:val="99"/>
    <w:semiHidden/>
    <w:rsid w:val="00AA6C16"/>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rsid w:val="00AA6C16"/>
    <w:rPr>
      <w:rFonts w:asciiTheme="majorHAnsi" w:eastAsiaTheme="majorEastAsia" w:hAnsiTheme="majorHAnsi" w:cstheme="majorBidi"/>
    </w:rPr>
  </w:style>
  <w:style w:type="paragraph" w:customStyle="1" w:styleId="ExecutiveSummary">
    <w:name w:val="Executive Summary"/>
    <w:next w:val="Normal"/>
    <w:uiPriority w:val="2"/>
    <w:semiHidden/>
    <w:qFormat/>
    <w:rsid w:val="003F0E44"/>
    <w:pPr>
      <w:keepNext/>
      <w:spacing w:after="440"/>
      <w:outlineLvl w:val="0"/>
    </w:pPr>
    <w:rPr>
      <w:color w:val="000000" w:themeColor="accent1"/>
      <w:sz w:val="40"/>
      <w:szCs w:val="40"/>
    </w:rPr>
  </w:style>
  <w:style w:type="character" w:styleId="FollowedHyperlink">
    <w:name w:val="FollowedHyperlink"/>
    <w:basedOn w:val="DefaultParagraphFont"/>
    <w:uiPriority w:val="14"/>
    <w:semiHidden/>
    <w:rsid w:val="00AF2836"/>
    <w:rPr>
      <w:color w:val="808080"/>
      <w:u w:val="single"/>
      <w:lang w:val="en-GB"/>
    </w:rPr>
  </w:style>
  <w:style w:type="paragraph" w:styleId="Footer">
    <w:name w:val="footer"/>
    <w:basedOn w:val="Normal"/>
    <w:link w:val="FooterChar"/>
    <w:uiPriority w:val="13"/>
    <w:semiHidden/>
    <w:rsid w:val="00AA6C16"/>
    <w:pPr>
      <w:spacing w:before="80" w:after="0"/>
    </w:pPr>
    <w:rPr>
      <w:sz w:val="14"/>
    </w:rPr>
  </w:style>
  <w:style w:type="character" w:customStyle="1" w:styleId="FooterChar">
    <w:name w:val="Footer Char"/>
    <w:basedOn w:val="DefaultParagraphFont"/>
    <w:link w:val="Footer"/>
    <w:uiPriority w:val="13"/>
    <w:semiHidden/>
    <w:rsid w:val="00AA6C16"/>
    <w:rPr>
      <w:sz w:val="14"/>
      <w:szCs w:val="22"/>
      <w:lang w:val="en-GB"/>
    </w:rPr>
  </w:style>
  <w:style w:type="paragraph" w:customStyle="1" w:styleId="Footer-PageNumber">
    <w:name w:val="Footer - Page Number"/>
    <w:basedOn w:val="Footer"/>
    <w:next w:val="Footer"/>
    <w:uiPriority w:val="13"/>
    <w:semiHidden/>
    <w:rsid w:val="00AA6C16"/>
    <w:pPr>
      <w:jc w:val="right"/>
    </w:pPr>
  </w:style>
  <w:style w:type="character" w:styleId="FootnoteReference">
    <w:name w:val="footnote reference"/>
    <w:basedOn w:val="DefaultParagraphFont"/>
    <w:uiPriority w:val="13"/>
    <w:semiHidden/>
    <w:rsid w:val="00AA6C16"/>
    <w:rPr>
      <w:vertAlign w:val="superscript"/>
      <w:lang w:val="en-GB"/>
    </w:rPr>
  </w:style>
  <w:style w:type="paragraph" w:styleId="FootnoteText">
    <w:name w:val="footnote text"/>
    <w:basedOn w:val="Normal"/>
    <w:link w:val="FootnoteTextChar"/>
    <w:uiPriority w:val="13"/>
    <w:semiHidden/>
    <w:rsid w:val="00AA6C16"/>
    <w:pPr>
      <w:spacing w:line="200" w:lineRule="atLeast"/>
      <w:ind w:left="113" w:hanging="113"/>
    </w:pPr>
    <w:rPr>
      <w:sz w:val="16"/>
    </w:rPr>
  </w:style>
  <w:style w:type="character" w:customStyle="1" w:styleId="FootnoteTextChar">
    <w:name w:val="Footnote Text Char"/>
    <w:basedOn w:val="DefaultParagraphFont"/>
    <w:link w:val="FootnoteText"/>
    <w:uiPriority w:val="13"/>
    <w:semiHidden/>
    <w:rsid w:val="00AA6C16"/>
    <w:rPr>
      <w:sz w:val="16"/>
      <w:szCs w:val="22"/>
      <w:lang w:val="en-GB"/>
    </w:rPr>
  </w:style>
  <w:style w:type="table" w:styleId="GridTable1Light">
    <w:name w:val="Grid Table 1 Light"/>
    <w:basedOn w:val="TableNormal"/>
    <w:uiPriority w:val="99"/>
    <w:rsid w:val="00AA6C16"/>
    <w:rPr>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AA6C16"/>
    <w:rPr>
      <w:sz w:val="22"/>
      <w:szCs w:val="22"/>
      <w:lang w:eastAsia="en-US"/>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AA6C16"/>
    <w:rPr>
      <w:sz w:val="22"/>
      <w:szCs w:val="22"/>
      <w:lang w:eastAsia="en-US"/>
    </w:rPr>
    <w:tblPr>
      <w:tblStyleRowBandSize w:val="1"/>
      <w:tblStyleColBandSize w:val="1"/>
      <w:tblBorders>
        <w:top w:val="single" w:sz="4" w:space="0" w:color="CDACDB" w:themeColor="accent2" w:themeTint="66"/>
        <w:left w:val="single" w:sz="4" w:space="0" w:color="CDACDB" w:themeColor="accent2" w:themeTint="66"/>
        <w:bottom w:val="single" w:sz="4" w:space="0" w:color="CDACDB" w:themeColor="accent2" w:themeTint="66"/>
        <w:right w:val="single" w:sz="4" w:space="0" w:color="CDACDB" w:themeColor="accent2" w:themeTint="66"/>
        <w:insideH w:val="single" w:sz="4" w:space="0" w:color="CDACDB" w:themeColor="accent2" w:themeTint="66"/>
        <w:insideV w:val="single" w:sz="4" w:space="0" w:color="CDACDB" w:themeColor="accent2" w:themeTint="66"/>
      </w:tblBorders>
    </w:tblPr>
    <w:tblStylePr w:type="firstRow">
      <w:rPr>
        <w:b/>
        <w:bCs/>
      </w:rPr>
      <w:tblPr/>
      <w:tcPr>
        <w:tcBorders>
          <w:bottom w:val="single" w:sz="12" w:space="0" w:color="B483C9" w:themeColor="accent2" w:themeTint="99"/>
        </w:tcBorders>
      </w:tcPr>
    </w:tblStylePr>
    <w:tblStylePr w:type="lastRow">
      <w:rPr>
        <w:b/>
        <w:bCs/>
      </w:rPr>
      <w:tblPr/>
      <w:tcPr>
        <w:tcBorders>
          <w:top w:val="double" w:sz="2" w:space="0" w:color="B483C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AA6C16"/>
    <w:rPr>
      <w:sz w:val="22"/>
      <w:szCs w:val="22"/>
      <w:lang w:eastAsia="en-US"/>
    </w:rPr>
    <w:tblPr>
      <w:tblStyleRowBandSize w:val="1"/>
      <w:tblStyleColBandSize w:val="1"/>
      <w:tblBorders>
        <w:top w:val="single" w:sz="4" w:space="0" w:color="77BFFF" w:themeColor="accent3" w:themeTint="66"/>
        <w:left w:val="single" w:sz="4" w:space="0" w:color="77BFFF" w:themeColor="accent3" w:themeTint="66"/>
        <w:bottom w:val="single" w:sz="4" w:space="0" w:color="77BFFF" w:themeColor="accent3" w:themeTint="66"/>
        <w:right w:val="single" w:sz="4" w:space="0" w:color="77BFFF" w:themeColor="accent3" w:themeTint="66"/>
        <w:insideH w:val="single" w:sz="4" w:space="0" w:color="77BFFF" w:themeColor="accent3" w:themeTint="66"/>
        <w:insideV w:val="single" w:sz="4" w:space="0" w:color="77BFFF" w:themeColor="accent3" w:themeTint="66"/>
      </w:tblBorders>
    </w:tblPr>
    <w:tblStylePr w:type="firstRow">
      <w:rPr>
        <w:b/>
        <w:bCs/>
      </w:rPr>
      <w:tblPr/>
      <w:tcPr>
        <w:tcBorders>
          <w:bottom w:val="single" w:sz="12" w:space="0" w:color="339FFF" w:themeColor="accent3" w:themeTint="99"/>
        </w:tcBorders>
      </w:tcPr>
    </w:tblStylePr>
    <w:tblStylePr w:type="lastRow">
      <w:rPr>
        <w:b/>
        <w:bCs/>
      </w:rPr>
      <w:tblPr/>
      <w:tcPr>
        <w:tcBorders>
          <w:top w:val="double" w:sz="2" w:space="0" w:color="339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AA6C16"/>
    <w:rPr>
      <w:sz w:val="22"/>
      <w:szCs w:val="22"/>
      <w:lang w:eastAsia="en-US"/>
    </w:rPr>
    <w:tblPr>
      <w:tblStyleRowBandSize w:val="1"/>
      <w:tblStyleColBandSize w:val="1"/>
      <w:tblBorders>
        <w:top w:val="single" w:sz="4" w:space="0" w:color="A4E3E1" w:themeColor="accent4" w:themeTint="66"/>
        <w:left w:val="single" w:sz="4" w:space="0" w:color="A4E3E1" w:themeColor="accent4" w:themeTint="66"/>
        <w:bottom w:val="single" w:sz="4" w:space="0" w:color="A4E3E1" w:themeColor="accent4" w:themeTint="66"/>
        <w:right w:val="single" w:sz="4" w:space="0" w:color="A4E3E1" w:themeColor="accent4" w:themeTint="66"/>
        <w:insideH w:val="single" w:sz="4" w:space="0" w:color="A4E3E1" w:themeColor="accent4" w:themeTint="66"/>
        <w:insideV w:val="single" w:sz="4" w:space="0" w:color="A4E3E1" w:themeColor="accent4" w:themeTint="66"/>
      </w:tblBorders>
    </w:tblPr>
    <w:tblStylePr w:type="firstRow">
      <w:rPr>
        <w:b/>
        <w:bCs/>
      </w:rPr>
      <w:tblPr/>
      <w:tcPr>
        <w:tcBorders>
          <w:bottom w:val="single" w:sz="12" w:space="0" w:color="76D5D2" w:themeColor="accent4" w:themeTint="99"/>
        </w:tcBorders>
      </w:tcPr>
    </w:tblStylePr>
    <w:tblStylePr w:type="lastRow">
      <w:rPr>
        <w:b/>
        <w:bCs/>
      </w:rPr>
      <w:tblPr/>
      <w:tcPr>
        <w:tcBorders>
          <w:top w:val="double" w:sz="2" w:space="0" w:color="76D5D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AA6C16"/>
    <w:rPr>
      <w:sz w:val="22"/>
      <w:szCs w:val="22"/>
      <w:lang w:eastAsia="en-US"/>
    </w:rPr>
    <w:tblPr>
      <w:tblStyleRowBandSize w:val="1"/>
      <w:tblStyleColBandSize w:val="1"/>
      <w:tblBorders>
        <w:top w:val="single" w:sz="4" w:space="0" w:color="E9B1D4" w:themeColor="accent5" w:themeTint="66"/>
        <w:left w:val="single" w:sz="4" w:space="0" w:color="E9B1D4" w:themeColor="accent5" w:themeTint="66"/>
        <w:bottom w:val="single" w:sz="4" w:space="0" w:color="E9B1D4" w:themeColor="accent5" w:themeTint="66"/>
        <w:right w:val="single" w:sz="4" w:space="0" w:color="E9B1D4" w:themeColor="accent5" w:themeTint="66"/>
        <w:insideH w:val="single" w:sz="4" w:space="0" w:color="E9B1D4" w:themeColor="accent5" w:themeTint="66"/>
        <w:insideV w:val="single" w:sz="4" w:space="0" w:color="E9B1D4" w:themeColor="accent5" w:themeTint="66"/>
      </w:tblBorders>
    </w:tblPr>
    <w:tblStylePr w:type="firstRow">
      <w:rPr>
        <w:b/>
        <w:bCs/>
      </w:rPr>
      <w:tblPr/>
      <w:tcPr>
        <w:tcBorders>
          <w:bottom w:val="single" w:sz="12" w:space="0" w:color="DE8ABF" w:themeColor="accent5" w:themeTint="99"/>
        </w:tcBorders>
      </w:tcPr>
    </w:tblStylePr>
    <w:tblStylePr w:type="lastRow">
      <w:rPr>
        <w:b/>
        <w:bCs/>
      </w:rPr>
      <w:tblPr/>
      <w:tcPr>
        <w:tcBorders>
          <w:top w:val="double" w:sz="2" w:space="0" w:color="DE8AB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AA6C16"/>
    <w:rPr>
      <w:sz w:val="22"/>
      <w:szCs w:val="22"/>
      <w:lang w:eastAsia="en-US"/>
    </w:rPr>
    <w:tblPr>
      <w:tblStyleRowBandSize w:val="1"/>
      <w:tblStyleColBandSize w:val="1"/>
      <w:tblBorders>
        <w:top w:val="single" w:sz="4" w:space="0" w:color="B3DDB1" w:themeColor="accent6" w:themeTint="66"/>
        <w:left w:val="single" w:sz="4" w:space="0" w:color="B3DDB1" w:themeColor="accent6" w:themeTint="66"/>
        <w:bottom w:val="single" w:sz="4" w:space="0" w:color="B3DDB1" w:themeColor="accent6" w:themeTint="66"/>
        <w:right w:val="single" w:sz="4" w:space="0" w:color="B3DDB1" w:themeColor="accent6" w:themeTint="66"/>
        <w:insideH w:val="single" w:sz="4" w:space="0" w:color="B3DDB1" w:themeColor="accent6" w:themeTint="66"/>
        <w:insideV w:val="single" w:sz="4" w:space="0" w:color="B3DDB1" w:themeColor="accent6" w:themeTint="66"/>
      </w:tblBorders>
    </w:tblPr>
    <w:tblStylePr w:type="firstRow">
      <w:rPr>
        <w:b/>
        <w:bCs/>
      </w:rPr>
      <w:tblPr/>
      <w:tcPr>
        <w:tcBorders>
          <w:bottom w:val="single" w:sz="12" w:space="0" w:color="8DCB8A" w:themeColor="accent6" w:themeTint="99"/>
        </w:tcBorders>
      </w:tcPr>
    </w:tblStylePr>
    <w:tblStylePr w:type="lastRow">
      <w:rPr>
        <w:b/>
        <w:bCs/>
      </w:rPr>
      <w:tblPr/>
      <w:tcPr>
        <w:tcBorders>
          <w:top w:val="double" w:sz="2" w:space="0" w:color="8DCB8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AA6C16"/>
    <w:rPr>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rsid w:val="00AA6C16"/>
    <w:rPr>
      <w:sz w:val="22"/>
      <w:szCs w:val="22"/>
      <w:lang w:eastAsia="en-US"/>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99"/>
    <w:rsid w:val="00AA6C16"/>
    <w:rPr>
      <w:sz w:val="22"/>
      <w:szCs w:val="22"/>
      <w:lang w:eastAsia="en-US"/>
    </w:rPr>
    <w:tblPr>
      <w:tblStyleRowBandSize w:val="1"/>
      <w:tblStyleColBandSize w:val="1"/>
      <w:tblBorders>
        <w:top w:val="single" w:sz="2" w:space="0" w:color="B483C9" w:themeColor="accent2" w:themeTint="99"/>
        <w:bottom w:val="single" w:sz="2" w:space="0" w:color="B483C9" w:themeColor="accent2" w:themeTint="99"/>
        <w:insideH w:val="single" w:sz="2" w:space="0" w:color="B483C9" w:themeColor="accent2" w:themeTint="99"/>
        <w:insideV w:val="single" w:sz="2" w:space="0" w:color="B483C9" w:themeColor="accent2" w:themeTint="99"/>
      </w:tblBorders>
    </w:tblPr>
    <w:tblStylePr w:type="firstRow">
      <w:rPr>
        <w:b/>
        <w:bCs/>
      </w:rPr>
      <w:tblPr/>
      <w:tcPr>
        <w:tcBorders>
          <w:top w:val="nil"/>
          <w:bottom w:val="single" w:sz="12" w:space="0" w:color="B483C9" w:themeColor="accent2" w:themeTint="99"/>
          <w:insideH w:val="nil"/>
          <w:insideV w:val="nil"/>
        </w:tcBorders>
        <w:shd w:val="clear" w:color="auto" w:fill="FFFFFF" w:themeFill="background1"/>
      </w:tcPr>
    </w:tblStylePr>
    <w:tblStylePr w:type="lastRow">
      <w:rPr>
        <w:b/>
        <w:bCs/>
      </w:rPr>
      <w:tblPr/>
      <w:tcPr>
        <w:tcBorders>
          <w:top w:val="double" w:sz="2" w:space="0" w:color="B483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GridTable2-Accent3">
    <w:name w:val="Grid Table 2 Accent 3"/>
    <w:basedOn w:val="TableNormal"/>
    <w:uiPriority w:val="99"/>
    <w:rsid w:val="00AA6C16"/>
    <w:rPr>
      <w:sz w:val="22"/>
      <w:szCs w:val="22"/>
      <w:lang w:eastAsia="en-US"/>
    </w:rPr>
    <w:tblPr>
      <w:tblStyleRowBandSize w:val="1"/>
      <w:tblStyleColBandSize w:val="1"/>
      <w:tblBorders>
        <w:top w:val="single" w:sz="2" w:space="0" w:color="339FFF" w:themeColor="accent3" w:themeTint="99"/>
        <w:bottom w:val="single" w:sz="2" w:space="0" w:color="339FFF" w:themeColor="accent3" w:themeTint="99"/>
        <w:insideH w:val="single" w:sz="2" w:space="0" w:color="339FFF" w:themeColor="accent3" w:themeTint="99"/>
        <w:insideV w:val="single" w:sz="2" w:space="0" w:color="339FFF" w:themeColor="accent3" w:themeTint="99"/>
      </w:tblBorders>
    </w:tblPr>
    <w:tblStylePr w:type="firstRow">
      <w:rPr>
        <w:b/>
        <w:bCs/>
      </w:rPr>
      <w:tblPr/>
      <w:tcPr>
        <w:tcBorders>
          <w:top w:val="nil"/>
          <w:bottom w:val="single" w:sz="12" w:space="0" w:color="339FFF" w:themeColor="accent3" w:themeTint="99"/>
          <w:insideH w:val="nil"/>
          <w:insideV w:val="nil"/>
        </w:tcBorders>
        <w:shd w:val="clear" w:color="auto" w:fill="FFFFFF" w:themeFill="background1"/>
      </w:tcPr>
    </w:tblStylePr>
    <w:tblStylePr w:type="lastRow">
      <w:rPr>
        <w:b/>
        <w:bCs/>
      </w:rPr>
      <w:tblPr/>
      <w:tcPr>
        <w:tcBorders>
          <w:top w:val="double" w:sz="2" w:space="0" w:color="339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GridTable2-Accent4">
    <w:name w:val="Grid Table 2 Accent 4"/>
    <w:basedOn w:val="TableNormal"/>
    <w:uiPriority w:val="99"/>
    <w:rsid w:val="00AA6C16"/>
    <w:rPr>
      <w:sz w:val="22"/>
      <w:szCs w:val="22"/>
      <w:lang w:eastAsia="en-US"/>
    </w:rPr>
    <w:tblPr>
      <w:tblStyleRowBandSize w:val="1"/>
      <w:tblStyleColBandSize w:val="1"/>
      <w:tblBorders>
        <w:top w:val="single" w:sz="2" w:space="0" w:color="76D5D2" w:themeColor="accent4" w:themeTint="99"/>
        <w:bottom w:val="single" w:sz="2" w:space="0" w:color="76D5D2" w:themeColor="accent4" w:themeTint="99"/>
        <w:insideH w:val="single" w:sz="2" w:space="0" w:color="76D5D2" w:themeColor="accent4" w:themeTint="99"/>
        <w:insideV w:val="single" w:sz="2" w:space="0" w:color="76D5D2" w:themeColor="accent4" w:themeTint="99"/>
      </w:tblBorders>
    </w:tblPr>
    <w:tblStylePr w:type="firstRow">
      <w:rPr>
        <w:b/>
        <w:bCs/>
      </w:rPr>
      <w:tblPr/>
      <w:tcPr>
        <w:tcBorders>
          <w:top w:val="nil"/>
          <w:bottom w:val="single" w:sz="12" w:space="0" w:color="76D5D2" w:themeColor="accent4" w:themeTint="99"/>
          <w:insideH w:val="nil"/>
          <w:insideV w:val="nil"/>
        </w:tcBorders>
        <w:shd w:val="clear" w:color="auto" w:fill="FFFFFF" w:themeFill="background1"/>
      </w:tcPr>
    </w:tblStylePr>
    <w:tblStylePr w:type="lastRow">
      <w:rPr>
        <w:b/>
        <w:bCs/>
      </w:rPr>
      <w:tblPr/>
      <w:tcPr>
        <w:tcBorders>
          <w:top w:val="double" w:sz="2" w:space="0" w:color="76D5D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GridTable2-Accent5">
    <w:name w:val="Grid Table 2 Accent 5"/>
    <w:basedOn w:val="TableNormal"/>
    <w:uiPriority w:val="99"/>
    <w:rsid w:val="00AA6C16"/>
    <w:rPr>
      <w:sz w:val="22"/>
      <w:szCs w:val="22"/>
      <w:lang w:eastAsia="en-US"/>
    </w:rPr>
    <w:tblPr>
      <w:tblStyleRowBandSize w:val="1"/>
      <w:tblStyleColBandSize w:val="1"/>
      <w:tblBorders>
        <w:top w:val="single" w:sz="2" w:space="0" w:color="DE8ABF" w:themeColor="accent5" w:themeTint="99"/>
        <w:bottom w:val="single" w:sz="2" w:space="0" w:color="DE8ABF" w:themeColor="accent5" w:themeTint="99"/>
        <w:insideH w:val="single" w:sz="2" w:space="0" w:color="DE8ABF" w:themeColor="accent5" w:themeTint="99"/>
        <w:insideV w:val="single" w:sz="2" w:space="0" w:color="DE8ABF" w:themeColor="accent5" w:themeTint="99"/>
      </w:tblBorders>
    </w:tblPr>
    <w:tblStylePr w:type="firstRow">
      <w:rPr>
        <w:b/>
        <w:bCs/>
      </w:rPr>
      <w:tblPr/>
      <w:tcPr>
        <w:tcBorders>
          <w:top w:val="nil"/>
          <w:bottom w:val="single" w:sz="12" w:space="0" w:color="DE8ABF" w:themeColor="accent5" w:themeTint="99"/>
          <w:insideH w:val="nil"/>
          <w:insideV w:val="nil"/>
        </w:tcBorders>
        <w:shd w:val="clear" w:color="auto" w:fill="FFFFFF" w:themeFill="background1"/>
      </w:tcPr>
    </w:tblStylePr>
    <w:tblStylePr w:type="lastRow">
      <w:rPr>
        <w:b/>
        <w:bCs/>
      </w:rPr>
      <w:tblPr/>
      <w:tcPr>
        <w:tcBorders>
          <w:top w:val="double" w:sz="2" w:space="0" w:color="DE8AB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GridTable2-Accent6">
    <w:name w:val="Grid Table 2 Accent 6"/>
    <w:basedOn w:val="TableNormal"/>
    <w:uiPriority w:val="99"/>
    <w:rsid w:val="00AA6C16"/>
    <w:rPr>
      <w:sz w:val="22"/>
      <w:szCs w:val="22"/>
      <w:lang w:eastAsia="en-US"/>
    </w:rPr>
    <w:tblPr>
      <w:tblStyleRowBandSize w:val="1"/>
      <w:tblStyleColBandSize w:val="1"/>
      <w:tblBorders>
        <w:top w:val="single" w:sz="2" w:space="0" w:color="8DCB8A" w:themeColor="accent6" w:themeTint="99"/>
        <w:bottom w:val="single" w:sz="2" w:space="0" w:color="8DCB8A" w:themeColor="accent6" w:themeTint="99"/>
        <w:insideH w:val="single" w:sz="2" w:space="0" w:color="8DCB8A" w:themeColor="accent6" w:themeTint="99"/>
        <w:insideV w:val="single" w:sz="2" w:space="0" w:color="8DCB8A" w:themeColor="accent6" w:themeTint="99"/>
      </w:tblBorders>
    </w:tblPr>
    <w:tblStylePr w:type="firstRow">
      <w:rPr>
        <w:b/>
        <w:bCs/>
      </w:rPr>
      <w:tblPr/>
      <w:tcPr>
        <w:tcBorders>
          <w:top w:val="nil"/>
          <w:bottom w:val="single" w:sz="12" w:space="0" w:color="8DCB8A" w:themeColor="accent6" w:themeTint="99"/>
          <w:insideH w:val="nil"/>
          <w:insideV w:val="nil"/>
        </w:tcBorders>
        <w:shd w:val="clear" w:color="auto" w:fill="FFFFFF" w:themeFill="background1"/>
      </w:tcPr>
    </w:tblStylePr>
    <w:tblStylePr w:type="lastRow">
      <w:rPr>
        <w:b/>
        <w:bCs/>
      </w:rPr>
      <w:tblPr/>
      <w:tcPr>
        <w:tcBorders>
          <w:top w:val="double" w:sz="2" w:space="0" w:color="8DCB8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GridTable3">
    <w:name w:val="Grid Table 3"/>
    <w:basedOn w:val="TableNormal"/>
    <w:uiPriority w:val="99"/>
    <w:rsid w:val="00AA6C16"/>
    <w:rPr>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rsid w:val="00AA6C16"/>
    <w:rPr>
      <w:sz w:val="22"/>
      <w:szCs w:val="22"/>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99"/>
    <w:rsid w:val="00AA6C16"/>
    <w:rPr>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5ED" w:themeFill="accent2" w:themeFillTint="33"/>
      </w:tcPr>
    </w:tblStylePr>
    <w:tblStylePr w:type="band1Horz">
      <w:tblPr/>
      <w:tcPr>
        <w:shd w:val="clear" w:color="auto" w:fill="E6D5ED" w:themeFill="accent2" w:themeFillTint="33"/>
      </w:tcPr>
    </w:tblStylePr>
    <w:tblStylePr w:type="neCell">
      <w:tblPr/>
      <w:tcPr>
        <w:tcBorders>
          <w:bottom w:val="single" w:sz="4" w:space="0" w:color="B483C9" w:themeColor="accent2" w:themeTint="99"/>
        </w:tcBorders>
      </w:tcPr>
    </w:tblStylePr>
    <w:tblStylePr w:type="nwCell">
      <w:tblPr/>
      <w:tcPr>
        <w:tcBorders>
          <w:bottom w:val="single" w:sz="4" w:space="0" w:color="B483C9" w:themeColor="accent2" w:themeTint="99"/>
        </w:tcBorders>
      </w:tcPr>
    </w:tblStylePr>
    <w:tblStylePr w:type="seCell">
      <w:tblPr/>
      <w:tcPr>
        <w:tcBorders>
          <w:top w:val="single" w:sz="4" w:space="0" w:color="B483C9" w:themeColor="accent2" w:themeTint="99"/>
        </w:tcBorders>
      </w:tcPr>
    </w:tblStylePr>
    <w:tblStylePr w:type="swCell">
      <w:tblPr/>
      <w:tcPr>
        <w:tcBorders>
          <w:top w:val="single" w:sz="4" w:space="0" w:color="B483C9" w:themeColor="accent2" w:themeTint="99"/>
        </w:tcBorders>
      </w:tcPr>
    </w:tblStylePr>
  </w:style>
  <w:style w:type="table" w:styleId="GridTable3-Accent3">
    <w:name w:val="Grid Table 3 Accent 3"/>
    <w:basedOn w:val="TableNormal"/>
    <w:uiPriority w:val="99"/>
    <w:rsid w:val="00AA6C16"/>
    <w:rPr>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FFF" w:themeFill="accent3" w:themeFillTint="33"/>
      </w:tcPr>
    </w:tblStylePr>
    <w:tblStylePr w:type="band1Horz">
      <w:tblPr/>
      <w:tcPr>
        <w:shd w:val="clear" w:color="auto" w:fill="BBDFFF" w:themeFill="accent3" w:themeFillTint="33"/>
      </w:tcPr>
    </w:tblStylePr>
    <w:tblStylePr w:type="neCell">
      <w:tblPr/>
      <w:tcPr>
        <w:tcBorders>
          <w:bottom w:val="single" w:sz="4" w:space="0" w:color="339FFF" w:themeColor="accent3" w:themeTint="99"/>
        </w:tcBorders>
      </w:tcPr>
    </w:tblStylePr>
    <w:tblStylePr w:type="nwCell">
      <w:tblPr/>
      <w:tcPr>
        <w:tcBorders>
          <w:bottom w:val="single" w:sz="4" w:space="0" w:color="339FFF" w:themeColor="accent3" w:themeTint="99"/>
        </w:tcBorders>
      </w:tcPr>
    </w:tblStylePr>
    <w:tblStylePr w:type="seCell">
      <w:tblPr/>
      <w:tcPr>
        <w:tcBorders>
          <w:top w:val="single" w:sz="4" w:space="0" w:color="339FFF" w:themeColor="accent3" w:themeTint="99"/>
        </w:tcBorders>
      </w:tcPr>
    </w:tblStylePr>
    <w:tblStylePr w:type="swCell">
      <w:tblPr/>
      <w:tcPr>
        <w:tcBorders>
          <w:top w:val="single" w:sz="4" w:space="0" w:color="339FFF" w:themeColor="accent3" w:themeTint="99"/>
        </w:tcBorders>
      </w:tcPr>
    </w:tblStylePr>
  </w:style>
  <w:style w:type="table" w:styleId="GridTable3-Accent4">
    <w:name w:val="Grid Table 3 Accent 4"/>
    <w:basedOn w:val="TableNormal"/>
    <w:uiPriority w:val="99"/>
    <w:rsid w:val="00AA6C16"/>
    <w:rPr>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0" w:themeFill="accent4" w:themeFillTint="33"/>
      </w:tcPr>
    </w:tblStylePr>
    <w:tblStylePr w:type="band1Horz">
      <w:tblPr/>
      <w:tcPr>
        <w:shd w:val="clear" w:color="auto" w:fill="D1F1F0" w:themeFill="accent4" w:themeFillTint="33"/>
      </w:tcPr>
    </w:tblStylePr>
    <w:tblStylePr w:type="neCell">
      <w:tblPr/>
      <w:tcPr>
        <w:tcBorders>
          <w:bottom w:val="single" w:sz="4" w:space="0" w:color="76D5D2" w:themeColor="accent4" w:themeTint="99"/>
        </w:tcBorders>
      </w:tcPr>
    </w:tblStylePr>
    <w:tblStylePr w:type="nwCell">
      <w:tblPr/>
      <w:tcPr>
        <w:tcBorders>
          <w:bottom w:val="single" w:sz="4" w:space="0" w:color="76D5D2" w:themeColor="accent4" w:themeTint="99"/>
        </w:tcBorders>
      </w:tcPr>
    </w:tblStylePr>
    <w:tblStylePr w:type="seCell">
      <w:tblPr/>
      <w:tcPr>
        <w:tcBorders>
          <w:top w:val="single" w:sz="4" w:space="0" w:color="76D5D2" w:themeColor="accent4" w:themeTint="99"/>
        </w:tcBorders>
      </w:tcPr>
    </w:tblStylePr>
    <w:tblStylePr w:type="swCell">
      <w:tblPr/>
      <w:tcPr>
        <w:tcBorders>
          <w:top w:val="single" w:sz="4" w:space="0" w:color="76D5D2" w:themeColor="accent4" w:themeTint="99"/>
        </w:tcBorders>
      </w:tcPr>
    </w:tblStylePr>
  </w:style>
  <w:style w:type="table" w:styleId="GridTable3-Accent5">
    <w:name w:val="Grid Table 3 Accent 5"/>
    <w:basedOn w:val="TableNormal"/>
    <w:uiPriority w:val="99"/>
    <w:rsid w:val="00AA6C16"/>
    <w:rPr>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E9" w:themeFill="accent5" w:themeFillTint="33"/>
      </w:tcPr>
    </w:tblStylePr>
    <w:tblStylePr w:type="band1Horz">
      <w:tblPr/>
      <w:tcPr>
        <w:shd w:val="clear" w:color="auto" w:fill="F4D8E9" w:themeFill="accent5" w:themeFillTint="33"/>
      </w:tcPr>
    </w:tblStylePr>
    <w:tblStylePr w:type="neCell">
      <w:tblPr/>
      <w:tcPr>
        <w:tcBorders>
          <w:bottom w:val="single" w:sz="4" w:space="0" w:color="DE8ABF" w:themeColor="accent5" w:themeTint="99"/>
        </w:tcBorders>
      </w:tcPr>
    </w:tblStylePr>
    <w:tblStylePr w:type="nwCell">
      <w:tblPr/>
      <w:tcPr>
        <w:tcBorders>
          <w:bottom w:val="single" w:sz="4" w:space="0" w:color="DE8ABF" w:themeColor="accent5" w:themeTint="99"/>
        </w:tcBorders>
      </w:tcPr>
    </w:tblStylePr>
    <w:tblStylePr w:type="seCell">
      <w:tblPr/>
      <w:tcPr>
        <w:tcBorders>
          <w:top w:val="single" w:sz="4" w:space="0" w:color="DE8ABF" w:themeColor="accent5" w:themeTint="99"/>
        </w:tcBorders>
      </w:tcPr>
    </w:tblStylePr>
    <w:tblStylePr w:type="swCell">
      <w:tblPr/>
      <w:tcPr>
        <w:tcBorders>
          <w:top w:val="single" w:sz="4" w:space="0" w:color="DE8ABF" w:themeColor="accent5" w:themeTint="99"/>
        </w:tcBorders>
      </w:tcPr>
    </w:tblStylePr>
  </w:style>
  <w:style w:type="table" w:styleId="GridTable3-Accent6">
    <w:name w:val="Grid Table 3 Accent 6"/>
    <w:basedOn w:val="TableNormal"/>
    <w:uiPriority w:val="99"/>
    <w:rsid w:val="00AA6C16"/>
    <w:rPr>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ED8" w:themeFill="accent6" w:themeFillTint="33"/>
      </w:tcPr>
    </w:tblStylePr>
    <w:tblStylePr w:type="band1Horz">
      <w:tblPr/>
      <w:tcPr>
        <w:shd w:val="clear" w:color="auto" w:fill="D9EED8" w:themeFill="accent6" w:themeFillTint="33"/>
      </w:tcPr>
    </w:tblStylePr>
    <w:tblStylePr w:type="neCell">
      <w:tblPr/>
      <w:tcPr>
        <w:tcBorders>
          <w:bottom w:val="single" w:sz="4" w:space="0" w:color="8DCB8A" w:themeColor="accent6" w:themeTint="99"/>
        </w:tcBorders>
      </w:tcPr>
    </w:tblStylePr>
    <w:tblStylePr w:type="nwCell">
      <w:tblPr/>
      <w:tcPr>
        <w:tcBorders>
          <w:bottom w:val="single" w:sz="4" w:space="0" w:color="8DCB8A" w:themeColor="accent6" w:themeTint="99"/>
        </w:tcBorders>
      </w:tcPr>
    </w:tblStylePr>
    <w:tblStylePr w:type="seCell">
      <w:tblPr/>
      <w:tcPr>
        <w:tcBorders>
          <w:top w:val="single" w:sz="4" w:space="0" w:color="8DCB8A" w:themeColor="accent6" w:themeTint="99"/>
        </w:tcBorders>
      </w:tcPr>
    </w:tblStylePr>
    <w:tblStylePr w:type="swCell">
      <w:tblPr/>
      <w:tcPr>
        <w:tcBorders>
          <w:top w:val="single" w:sz="4" w:space="0" w:color="8DCB8A" w:themeColor="accent6" w:themeTint="99"/>
        </w:tcBorders>
      </w:tcPr>
    </w:tblStylePr>
  </w:style>
  <w:style w:type="table" w:styleId="GridTable4">
    <w:name w:val="Grid Table 4"/>
    <w:basedOn w:val="TableNormal"/>
    <w:uiPriority w:val="99"/>
    <w:rsid w:val="00AA6C16"/>
    <w:rPr>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rsid w:val="00AA6C16"/>
    <w:rPr>
      <w:sz w:val="22"/>
      <w:szCs w:val="22"/>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99"/>
    <w:rsid w:val="00AA6C16"/>
    <w:rPr>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color w:val="FFFFFF" w:themeColor="background1"/>
      </w:rPr>
      <w:tblPr/>
      <w:tcPr>
        <w:tcBorders>
          <w:top w:val="single" w:sz="4" w:space="0" w:color="7D4196" w:themeColor="accent2"/>
          <w:left w:val="single" w:sz="4" w:space="0" w:color="7D4196" w:themeColor="accent2"/>
          <w:bottom w:val="single" w:sz="4" w:space="0" w:color="7D4196" w:themeColor="accent2"/>
          <w:right w:val="single" w:sz="4" w:space="0" w:color="7D4196" w:themeColor="accent2"/>
          <w:insideH w:val="nil"/>
          <w:insideV w:val="nil"/>
        </w:tcBorders>
        <w:shd w:val="clear" w:color="auto" w:fill="7D4196" w:themeFill="accent2"/>
      </w:tcPr>
    </w:tblStylePr>
    <w:tblStylePr w:type="lastRow">
      <w:rPr>
        <w:b/>
        <w:bCs/>
      </w:rPr>
      <w:tblPr/>
      <w:tcPr>
        <w:tcBorders>
          <w:top w:val="double" w:sz="4" w:space="0" w:color="7D4196" w:themeColor="accent2"/>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GridTable4-Accent3">
    <w:name w:val="Grid Table 4 Accent 3"/>
    <w:basedOn w:val="TableNormal"/>
    <w:uiPriority w:val="99"/>
    <w:rsid w:val="00AA6C16"/>
    <w:rPr>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color w:val="FFFFFF" w:themeColor="background1"/>
      </w:rPr>
      <w:tblPr/>
      <w:tcPr>
        <w:tcBorders>
          <w:top w:val="single" w:sz="4" w:space="0" w:color="005AAA" w:themeColor="accent3"/>
          <w:left w:val="single" w:sz="4" w:space="0" w:color="005AAA" w:themeColor="accent3"/>
          <w:bottom w:val="single" w:sz="4" w:space="0" w:color="005AAA" w:themeColor="accent3"/>
          <w:right w:val="single" w:sz="4" w:space="0" w:color="005AAA" w:themeColor="accent3"/>
          <w:insideH w:val="nil"/>
          <w:insideV w:val="nil"/>
        </w:tcBorders>
        <w:shd w:val="clear" w:color="auto" w:fill="005AAA" w:themeFill="accent3"/>
      </w:tcPr>
    </w:tblStylePr>
    <w:tblStylePr w:type="lastRow">
      <w:rPr>
        <w:b/>
        <w:bCs/>
      </w:rPr>
      <w:tblPr/>
      <w:tcPr>
        <w:tcBorders>
          <w:top w:val="double" w:sz="4" w:space="0" w:color="005AAA" w:themeColor="accent3"/>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GridTable4-Accent4">
    <w:name w:val="Grid Table 4 Accent 4"/>
    <w:basedOn w:val="TableNormal"/>
    <w:uiPriority w:val="99"/>
    <w:rsid w:val="00AA6C16"/>
    <w:rPr>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color w:val="FFFFFF" w:themeColor="background1"/>
      </w:rPr>
      <w:tblPr/>
      <w:tcPr>
        <w:tcBorders>
          <w:top w:val="single" w:sz="4" w:space="0" w:color="32A4A0" w:themeColor="accent4"/>
          <w:left w:val="single" w:sz="4" w:space="0" w:color="32A4A0" w:themeColor="accent4"/>
          <w:bottom w:val="single" w:sz="4" w:space="0" w:color="32A4A0" w:themeColor="accent4"/>
          <w:right w:val="single" w:sz="4" w:space="0" w:color="32A4A0" w:themeColor="accent4"/>
          <w:insideH w:val="nil"/>
          <w:insideV w:val="nil"/>
        </w:tcBorders>
        <w:shd w:val="clear" w:color="auto" w:fill="32A4A0" w:themeFill="accent4"/>
      </w:tcPr>
    </w:tblStylePr>
    <w:tblStylePr w:type="lastRow">
      <w:rPr>
        <w:b/>
        <w:bCs/>
      </w:rPr>
      <w:tblPr/>
      <w:tcPr>
        <w:tcBorders>
          <w:top w:val="double" w:sz="4" w:space="0" w:color="32A4A0" w:themeColor="accent4"/>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GridTable4-Accent5">
    <w:name w:val="Grid Table 4 Accent 5"/>
    <w:basedOn w:val="TableNormal"/>
    <w:uiPriority w:val="99"/>
    <w:rsid w:val="00AA6C16"/>
    <w:rPr>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color w:val="FFFFFF" w:themeColor="background1"/>
      </w:rPr>
      <w:tblPr/>
      <w:tcPr>
        <w:tcBorders>
          <w:top w:val="single" w:sz="4" w:space="0" w:color="C83C96" w:themeColor="accent5"/>
          <w:left w:val="single" w:sz="4" w:space="0" w:color="C83C96" w:themeColor="accent5"/>
          <w:bottom w:val="single" w:sz="4" w:space="0" w:color="C83C96" w:themeColor="accent5"/>
          <w:right w:val="single" w:sz="4" w:space="0" w:color="C83C96" w:themeColor="accent5"/>
          <w:insideH w:val="nil"/>
          <w:insideV w:val="nil"/>
        </w:tcBorders>
        <w:shd w:val="clear" w:color="auto" w:fill="C83C96" w:themeFill="accent5"/>
      </w:tcPr>
    </w:tblStylePr>
    <w:tblStylePr w:type="lastRow">
      <w:rPr>
        <w:b/>
        <w:bCs/>
      </w:rPr>
      <w:tblPr/>
      <w:tcPr>
        <w:tcBorders>
          <w:top w:val="double" w:sz="4" w:space="0" w:color="C83C96" w:themeColor="accent5"/>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GridTable4-Accent6">
    <w:name w:val="Grid Table 4 Accent 6"/>
    <w:basedOn w:val="TableNormal"/>
    <w:uiPriority w:val="99"/>
    <w:rsid w:val="00AA6C16"/>
    <w:rPr>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color w:val="FFFFFF" w:themeColor="background1"/>
      </w:rPr>
      <w:tblPr/>
      <w:tcPr>
        <w:tcBorders>
          <w:top w:val="single" w:sz="4" w:space="0" w:color="4BA046" w:themeColor="accent6"/>
          <w:left w:val="single" w:sz="4" w:space="0" w:color="4BA046" w:themeColor="accent6"/>
          <w:bottom w:val="single" w:sz="4" w:space="0" w:color="4BA046" w:themeColor="accent6"/>
          <w:right w:val="single" w:sz="4" w:space="0" w:color="4BA046" w:themeColor="accent6"/>
          <w:insideH w:val="nil"/>
          <w:insideV w:val="nil"/>
        </w:tcBorders>
        <w:shd w:val="clear" w:color="auto" w:fill="4BA046" w:themeFill="accent6"/>
      </w:tcPr>
    </w:tblStylePr>
    <w:tblStylePr w:type="lastRow">
      <w:rPr>
        <w:b/>
        <w:bCs/>
      </w:rPr>
      <w:tblPr/>
      <w:tcPr>
        <w:tcBorders>
          <w:top w:val="double" w:sz="4" w:space="0" w:color="4BA046" w:themeColor="accent6"/>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GridTable5Dark">
    <w:name w:val="Grid Table 5 Dark"/>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D5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419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419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419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4196" w:themeFill="accent2"/>
      </w:tcPr>
    </w:tblStylePr>
    <w:tblStylePr w:type="band1Vert">
      <w:tblPr/>
      <w:tcPr>
        <w:shd w:val="clear" w:color="auto" w:fill="CDACDB" w:themeFill="accent2" w:themeFillTint="66"/>
      </w:tcPr>
    </w:tblStylePr>
    <w:tblStylePr w:type="band1Horz">
      <w:tblPr/>
      <w:tcPr>
        <w:shd w:val="clear" w:color="auto" w:fill="CDACDB" w:themeFill="accent2" w:themeFillTint="66"/>
      </w:tcPr>
    </w:tblStylePr>
  </w:style>
  <w:style w:type="table" w:styleId="GridTable5Dark-Accent3">
    <w:name w:val="Grid Table 5 Dark Accent 3"/>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A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A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A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AA" w:themeFill="accent3"/>
      </w:tcPr>
    </w:tblStylePr>
    <w:tblStylePr w:type="band1Vert">
      <w:tblPr/>
      <w:tcPr>
        <w:shd w:val="clear" w:color="auto" w:fill="77BFFF" w:themeFill="accent3" w:themeFillTint="66"/>
      </w:tcPr>
    </w:tblStylePr>
    <w:tblStylePr w:type="band1Horz">
      <w:tblPr/>
      <w:tcPr>
        <w:shd w:val="clear" w:color="auto" w:fill="77BFFF" w:themeFill="accent3" w:themeFillTint="66"/>
      </w:tcPr>
    </w:tblStylePr>
  </w:style>
  <w:style w:type="table" w:styleId="GridTable5Dark-Accent4">
    <w:name w:val="Grid Table 5 Dark Accent 4"/>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F1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A4A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A4A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A4A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A4A0" w:themeFill="accent4"/>
      </w:tcPr>
    </w:tblStylePr>
    <w:tblStylePr w:type="band1Vert">
      <w:tblPr/>
      <w:tcPr>
        <w:shd w:val="clear" w:color="auto" w:fill="A4E3E1" w:themeFill="accent4" w:themeFillTint="66"/>
      </w:tcPr>
    </w:tblStylePr>
    <w:tblStylePr w:type="band1Horz">
      <w:tblPr/>
      <w:tcPr>
        <w:shd w:val="clear" w:color="auto" w:fill="A4E3E1" w:themeFill="accent4" w:themeFillTint="66"/>
      </w:tcPr>
    </w:tblStylePr>
  </w:style>
  <w:style w:type="table" w:styleId="GridTable5Dark-Accent5">
    <w:name w:val="Grid Table 5 Dark Accent 5"/>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8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C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C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C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C96" w:themeFill="accent5"/>
      </w:tcPr>
    </w:tblStylePr>
    <w:tblStylePr w:type="band1Vert">
      <w:tblPr/>
      <w:tcPr>
        <w:shd w:val="clear" w:color="auto" w:fill="E9B1D4" w:themeFill="accent5" w:themeFillTint="66"/>
      </w:tcPr>
    </w:tblStylePr>
    <w:tblStylePr w:type="band1Horz">
      <w:tblPr/>
      <w:tcPr>
        <w:shd w:val="clear" w:color="auto" w:fill="E9B1D4" w:themeFill="accent5" w:themeFillTint="66"/>
      </w:tcPr>
    </w:tblStylePr>
  </w:style>
  <w:style w:type="table" w:styleId="GridTable5Dark-Accent6">
    <w:name w:val="Grid Table 5 Dark Accent 6"/>
    <w:basedOn w:val="TableNormal"/>
    <w:uiPriority w:val="99"/>
    <w:rsid w:val="00AA6C16"/>
    <w:rPr>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E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0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0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0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046" w:themeFill="accent6"/>
      </w:tcPr>
    </w:tblStylePr>
    <w:tblStylePr w:type="band1Vert">
      <w:tblPr/>
      <w:tcPr>
        <w:shd w:val="clear" w:color="auto" w:fill="B3DDB1" w:themeFill="accent6" w:themeFillTint="66"/>
      </w:tcPr>
    </w:tblStylePr>
    <w:tblStylePr w:type="band1Horz">
      <w:tblPr/>
      <w:tcPr>
        <w:shd w:val="clear" w:color="auto" w:fill="B3DDB1" w:themeFill="accent6" w:themeFillTint="66"/>
      </w:tcPr>
    </w:tblStylePr>
  </w:style>
  <w:style w:type="table" w:styleId="GridTable6Colorful">
    <w:name w:val="Grid Table 6 Colorful"/>
    <w:basedOn w:val="TableNormal"/>
    <w:uiPriority w:val="99"/>
    <w:rsid w:val="00AA6C16"/>
    <w:rPr>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rsid w:val="00AA6C16"/>
    <w:rPr>
      <w:color w:val="000000" w:themeColor="accent1" w:themeShade="BF"/>
      <w:sz w:val="22"/>
      <w:szCs w:val="22"/>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99"/>
    <w:rsid w:val="00AA6C16"/>
    <w:rPr>
      <w:color w:val="5D3070" w:themeColor="accent2" w:themeShade="BF"/>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rPr>
      <w:tblPr/>
      <w:tcPr>
        <w:tcBorders>
          <w:bottom w:val="single" w:sz="12" w:space="0" w:color="B483C9" w:themeColor="accent2" w:themeTint="99"/>
        </w:tcBorders>
      </w:tcPr>
    </w:tblStylePr>
    <w:tblStylePr w:type="lastRow">
      <w:rPr>
        <w:b/>
        <w:bCs/>
      </w:rPr>
      <w:tblPr/>
      <w:tcPr>
        <w:tcBorders>
          <w:top w:val="double" w:sz="4" w:space="0" w:color="B483C9" w:themeColor="accent2" w:themeTint="99"/>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GridTable6Colorful-Accent3">
    <w:name w:val="Grid Table 6 Colorful Accent 3"/>
    <w:basedOn w:val="TableNormal"/>
    <w:uiPriority w:val="99"/>
    <w:rsid w:val="00AA6C16"/>
    <w:rPr>
      <w:color w:val="00437F" w:themeColor="accent3" w:themeShade="BF"/>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rPr>
      <w:tblPr/>
      <w:tcPr>
        <w:tcBorders>
          <w:bottom w:val="single" w:sz="12" w:space="0" w:color="339FFF" w:themeColor="accent3" w:themeTint="99"/>
        </w:tcBorders>
      </w:tcPr>
    </w:tblStylePr>
    <w:tblStylePr w:type="lastRow">
      <w:rPr>
        <w:b/>
        <w:bCs/>
      </w:rPr>
      <w:tblPr/>
      <w:tcPr>
        <w:tcBorders>
          <w:top w:val="double" w:sz="4" w:space="0" w:color="339FFF" w:themeColor="accent3" w:themeTint="99"/>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GridTable6Colorful-Accent4">
    <w:name w:val="Grid Table 6 Colorful Accent 4"/>
    <w:basedOn w:val="TableNormal"/>
    <w:uiPriority w:val="99"/>
    <w:rsid w:val="00AA6C16"/>
    <w:rPr>
      <w:color w:val="257A77" w:themeColor="accent4" w:themeShade="BF"/>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rPr>
      <w:tblPr/>
      <w:tcPr>
        <w:tcBorders>
          <w:bottom w:val="single" w:sz="12" w:space="0" w:color="76D5D2" w:themeColor="accent4" w:themeTint="99"/>
        </w:tcBorders>
      </w:tcPr>
    </w:tblStylePr>
    <w:tblStylePr w:type="lastRow">
      <w:rPr>
        <w:b/>
        <w:bCs/>
      </w:rPr>
      <w:tblPr/>
      <w:tcPr>
        <w:tcBorders>
          <w:top w:val="double" w:sz="4" w:space="0" w:color="76D5D2" w:themeColor="accent4" w:themeTint="99"/>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GridTable6Colorful-Accent5">
    <w:name w:val="Grid Table 6 Colorful Accent 5"/>
    <w:basedOn w:val="TableNormal"/>
    <w:uiPriority w:val="99"/>
    <w:rsid w:val="00AA6C16"/>
    <w:rPr>
      <w:color w:val="972B70" w:themeColor="accent5" w:themeShade="BF"/>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rPr>
      <w:tblPr/>
      <w:tcPr>
        <w:tcBorders>
          <w:bottom w:val="single" w:sz="12" w:space="0" w:color="DE8ABF" w:themeColor="accent5" w:themeTint="99"/>
        </w:tcBorders>
      </w:tcPr>
    </w:tblStylePr>
    <w:tblStylePr w:type="lastRow">
      <w:rPr>
        <w:b/>
        <w:bCs/>
      </w:rPr>
      <w:tblPr/>
      <w:tcPr>
        <w:tcBorders>
          <w:top w:val="double" w:sz="4" w:space="0" w:color="DE8ABF" w:themeColor="accent5" w:themeTint="99"/>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GridTable6Colorful-Accent6">
    <w:name w:val="Grid Table 6 Colorful Accent 6"/>
    <w:basedOn w:val="TableNormal"/>
    <w:uiPriority w:val="99"/>
    <w:rsid w:val="00AA6C16"/>
    <w:rPr>
      <w:color w:val="387734" w:themeColor="accent6" w:themeShade="BF"/>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rPr>
      <w:tblPr/>
      <w:tcPr>
        <w:tcBorders>
          <w:bottom w:val="single" w:sz="12" w:space="0" w:color="8DCB8A" w:themeColor="accent6" w:themeTint="99"/>
        </w:tcBorders>
      </w:tcPr>
    </w:tblStylePr>
    <w:tblStylePr w:type="lastRow">
      <w:rPr>
        <w:b/>
        <w:bCs/>
      </w:rPr>
      <w:tblPr/>
      <w:tcPr>
        <w:tcBorders>
          <w:top w:val="double" w:sz="4" w:space="0" w:color="8DCB8A" w:themeColor="accent6" w:themeTint="99"/>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GridTable7Colorful">
    <w:name w:val="Grid Table 7 Colorful"/>
    <w:basedOn w:val="TableNormal"/>
    <w:uiPriority w:val="99"/>
    <w:rsid w:val="00AA6C16"/>
    <w:rPr>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rsid w:val="00AA6C16"/>
    <w:rPr>
      <w:color w:val="000000" w:themeColor="accent1" w:themeShade="BF"/>
      <w:sz w:val="22"/>
      <w:szCs w:val="22"/>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99"/>
    <w:rsid w:val="00AA6C16"/>
    <w:rPr>
      <w:color w:val="5D3070" w:themeColor="accent2" w:themeShade="BF"/>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insideV w:val="single" w:sz="4" w:space="0" w:color="B483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5ED" w:themeFill="accent2" w:themeFillTint="33"/>
      </w:tcPr>
    </w:tblStylePr>
    <w:tblStylePr w:type="band1Horz">
      <w:tblPr/>
      <w:tcPr>
        <w:shd w:val="clear" w:color="auto" w:fill="E6D5ED" w:themeFill="accent2" w:themeFillTint="33"/>
      </w:tcPr>
    </w:tblStylePr>
    <w:tblStylePr w:type="neCell">
      <w:tblPr/>
      <w:tcPr>
        <w:tcBorders>
          <w:bottom w:val="single" w:sz="4" w:space="0" w:color="B483C9" w:themeColor="accent2" w:themeTint="99"/>
        </w:tcBorders>
      </w:tcPr>
    </w:tblStylePr>
    <w:tblStylePr w:type="nwCell">
      <w:tblPr/>
      <w:tcPr>
        <w:tcBorders>
          <w:bottom w:val="single" w:sz="4" w:space="0" w:color="B483C9" w:themeColor="accent2" w:themeTint="99"/>
        </w:tcBorders>
      </w:tcPr>
    </w:tblStylePr>
    <w:tblStylePr w:type="seCell">
      <w:tblPr/>
      <w:tcPr>
        <w:tcBorders>
          <w:top w:val="single" w:sz="4" w:space="0" w:color="B483C9" w:themeColor="accent2" w:themeTint="99"/>
        </w:tcBorders>
      </w:tcPr>
    </w:tblStylePr>
    <w:tblStylePr w:type="swCell">
      <w:tblPr/>
      <w:tcPr>
        <w:tcBorders>
          <w:top w:val="single" w:sz="4" w:space="0" w:color="B483C9" w:themeColor="accent2" w:themeTint="99"/>
        </w:tcBorders>
      </w:tcPr>
    </w:tblStylePr>
  </w:style>
  <w:style w:type="table" w:styleId="GridTable7Colorful-Accent3">
    <w:name w:val="Grid Table 7 Colorful Accent 3"/>
    <w:basedOn w:val="TableNormal"/>
    <w:uiPriority w:val="99"/>
    <w:rsid w:val="00AA6C16"/>
    <w:rPr>
      <w:color w:val="00437F" w:themeColor="accent3" w:themeShade="BF"/>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insideV w:val="single" w:sz="4" w:space="0" w:color="339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FFF" w:themeFill="accent3" w:themeFillTint="33"/>
      </w:tcPr>
    </w:tblStylePr>
    <w:tblStylePr w:type="band1Horz">
      <w:tblPr/>
      <w:tcPr>
        <w:shd w:val="clear" w:color="auto" w:fill="BBDFFF" w:themeFill="accent3" w:themeFillTint="33"/>
      </w:tcPr>
    </w:tblStylePr>
    <w:tblStylePr w:type="neCell">
      <w:tblPr/>
      <w:tcPr>
        <w:tcBorders>
          <w:bottom w:val="single" w:sz="4" w:space="0" w:color="339FFF" w:themeColor="accent3" w:themeTint="99"/>
        </w:tcBorders>
      </w:tcPr>
    </w:tblStylePr>
    <w:tblStylePr w:type="nwCell">
      <w:tblPr/>
      <w:tcPr>
        <w:tcBorders>
          <w:bottom w:val="single" w:sz="4" w:space="0" w:color="339FFF" w:themeColor="accent3" w:themeTint="99"/>
        </w:tcBorders>
      </w:tcPr>
    </w:tblStylePr>
    <w:tblStylePr w:type="seCell">
      <w:tblPr/>
      <w:tcPr>
        <w:tcBorders>
          <w:top w:val="single" w:sz="4" w:space="0" w:color="339FFF" w:themeColor="accent3" w:themeTint="99"/>
        </w:tcBorders>
      </w:tcPr>
    </w:tblStylePr>
    <w:tblStylePr w:type="swCell">
      <w:tblPr/>
      <w:tcPr>
        <w:tcBorders>
          <w:top w:val="single" w:sz="4" w:space="0" w:color="339FFF" w:themeColor="accent3" w:themeTint="99"/>
        </w:tcBorders>
      </w:tcPr>
    </w:tblStylePr>
  </w:style>
  <w:style w:type="table" w:styleId="GridTable7Colorful-Accent4">
    <w:name w:val="Grid Table 7 Colorful Accent 4"/>
    <w:basedOn w:val="TableNormal"/>
    <w:uiPriority w:val="99"/>
    <w:rsid w:val="00AA6C16"/>
    <w:rPr>
      <w:color w:val="257A77" w:themeColor="accent4" w:themeShade="BF"/>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insideV w:val="single" w:sz="4" w:space="0" w:color="76D5D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0" w:themeFill="accent4" w:themeFillTint="33"/>
      </w:tcPr>
    </w:tblStylePr>
    <w:tblStylePr w:type="band1Horz">
      <w:tblPr/>
      <w:tcPr>
        <w:shd w:val="clear" w:color="auto" w:fill="D1F1F0" w:themeFill="accent4" w:themeFillTint="33"/>
      </w:tcPr>
    </w:tblStylePr>
    <w:tblStylePr w:type="neCell">
      <w:tblPr/>
      <w:tcPr>
        <w:tcBorders>
          <w:bottom w:val="single" w:sz="4" w:space="0" w:color="76D5D2" w:themeColor="accent4" w:themeTint="99"/>
        </w:tcBorders>
      </w:tcPr>
    </w:tblStylePr>
    <w:tblStylePr w:type="nwCell">
      <w:tblPr/>
      <w:tcPr>
        <w:tcBorders>
          <w:bottom w:val="single" w:sz="4" w:space="0" w:color="76D5D2" w:themeColor="accent4" w:themeTint="99"/>
        </w:tcBorders>
      </w:tcPr>
    </w:tblStylePr>
    <w:tblStylePr w:type="seCell">
      <w:tblPr/>
      <w:tcPr>
        <w:tcBorders>
          <w:top w:val="single" w:sz="4" w:space="0" w:color="76D5D2" w:themeColor="accent4" w:themeTint="99"/>
        </w:tcBorders>
      </w:tcPr>
    </w:tblStylePr>
    <w:tblStylePr w:type="swCell">
      <w:tblPr/>
      <w:tcPr>
        <w:tcBorders>
          <w:top w:val="single" w:sz="4" w:space="0" w:color="76D5D2" w:themeColor="accent4" w:themeTint="99"/>
        </w:tcBorders>
      </w:tcPr>
    </w:tblStylePr>
  </w:style>
  <w:style w:type="table" w:styleId="GridTable7Colorful-Accent5">
    <w:name w:val="Grid Table 7 Colorful Accent 5"/>
    <w:basedOn w:val="TableNormal"/>
    <w:uiPriority w:val="99"/>
    <w:rsid w:val="00AA6C16"/>
    <w:rPr>
      <w:color w:val="972B70" w:themeColor="accent5" w:themeShade="BF"/>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insideV w:val="single" w:sz="4" w:space="0" w:color="DE8AB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E9" w:themeFill="accent5" w:themeFillTint="33"/>
      </w:tcPr>
    </w:tblStylePr>
    <w:tblStylePr w:type="band1Horz">
      <w:tblPr/>
      <w:tcPr>
        <w:shd w:val="clear" w:color="auto" w:fill="F4D8E9" w:themeFill="accent5" w:themeFillTint="33"/>
      </w:tcPr>
    </w:tblStylePr>
    <w:tblStylePr w:type="neCell">
      <w:tblPr/>
      <w:tcPr>
        <w:tcBorders>
          <w:bottom w:val="single" w:sz="4" w:space="0" w:color="DE8ABF" w:themeColor="accent5" w:themeTint="99"/>
        </w:tcBorders>
      </w:tcPr>
    </w:tblStylePr>
    <w:tblStylePr w:type="nwCell">
      <w:tblPr/>
      <w:tcPr>
        <w:tcBorders>
          <w:bottom w:val="single" w:sz="4" w:space="0" w:color="DE8ABF" w:themeColor="accent5" w:themeTint="99"/>
        </w:tcBorders>
      </w:tcPr>
    </w:tblStylePr>
    <w:tblStylePr w:type="seCell">
      <w:tblPr/>
      <w:tcPr>
        <w:tcBorders>
          <w:top w:val="single" w:sz="4" w:space="0" w:color="DE8ABF" w:themeColor="accent5" w:themeTint="99"/>
        </w:tcBorders>
      </w:tcPr>
    </w:tblStylePr>
    <w:tblStylePr w:type="swCell">
      <w:tblPr/>
      <w:tcPr>
        <w:tcBorders>
          <w:top w:val="single" w:sz="4" w:space="0" w:color="DE8ABF" w:themeColor="accent5" w:themeTint="99"/>
        </w:tcBorders>
      </w:tcPr>
    </w:tblStylePr>
  </w:style>
  <w:style w:type="table" w:styleId="GridTable7Colorful-Accent6">
    <w:name w:val="Grid Table 7 Colorful Accent 6"/>
    <w:basedOn w:val="TableNormal"/>
    <w:uiPriority w:val="99"/>
    <w:rsid w:val="00AA6C16"/>
    <w:rPr>
      <w:color w:val="387734" w:themeColor="accent6" w:themeShade="BF"/>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insideV w:val="single" w:sz="4" w:space="0" w:color="8DCB8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ED8" w:themeFill="accent6" w:themeFillTint="33"/>
      </w:tcPr>
    </w:tblStylePr>
    <w:tblStylePr w:type="band1Horz">
      <w:tblPr/>
      <w:tcPr>
        <w:shd w:val="clear" w:color="auto" w:fill="D9EED8" w:themeFill="accent6" w:themeFillTint="33"/>
      </w:tcPr>
    </w:tblStylePr>
    <w:tblStylePr w:type="neCell">
      <w:tblPr/>
      <w:tcPr>
        <w:tcBorders>
          <w:bottom w:val="single" w:sz="4" w:space="0" w:color="8DCB8A" w:themeColor="accent6" w:themeTint="99"/>
        </w:tcBorders>
      </w:tcPr>
    </w:tblStylePr>
    <w:tblStylePr w:type="nwCell">
      <w:tblPr/>
      <w:tcPr>
        <w:tcBorders>
          <w:bottom w:val="single" w:sz="4" w:space="0" w:color="8DCB8A" w:themeColor="accent6" w:themeTint="99"/>
        </w:tcBorders>
      </w:tcPr>
    </w:tblStylePr>
    <w:tblStylePr w:type="seCell">
      <w:tblPr/>
      <w:tcPr>
        <w:tcBorders>
          <w:top w:val="single" w:sz="4" w:space="0" w:color="8DCB8A" w:themeColor="accent6" w:themeTint="99"/>
        </w:tcBorders>
      </w:tcPr>
    </w:tblStylePr>
    <w:tblStylePr w:type="swCell">
      <w:tblPr/>
      <w:tcPr>
        <w:tcBorders>
          <w:top w:val="single" w:sz="4" w:space="0" w:color="8DCB8A" w:themeColor="accent6" w:themeTint="99"/>
        </w:tcBorders>
      </w:tcPr>
    </w:tblStylePr>
  </w:style>
  <w:style w:type="character" w:styleId="Hashtag">
    <w:name w:val="Hashtag"/>
    <w:basedOn w:val="DefaultParagraphFont"/>
    <w:uiPriority w:val="99"/>
    <w:semiHidden/>
    <w:rsid w:val="00AA6C16"/>
    <w:rPr>
      <w:color w:val="2B579A"/>
      <w:shd w:val="clear" w:color="auto" w:fill="E1DFDD"/>
      <w:lang w:val="en-GB"/>
    </w:rPr>
  </w:style>
  <w:style w:type="paragraph" w:styleId="Header">
    <w:name w:val="header"/>
    <w:basedOn w:val="Normal"/>
    <w:link w:val="HeaderChar"/>
    <w:uiPriority w:val="13"/>
    <w:semiHidden/>
    <w:rsid w:val="00AA6C16"/>
    <w:pPr>
      <w:spacing w:after="0"/>
    </w:pPr>
  </w:style>
  <w:style w:type="character" w:customStyle="1" w:styleId="HeaderChar">
    <w:name w:val="Header Char"/>
    <w:basedOn w:val="DefaultParagraphFont"/>
    <w:link w:val="Header"/>
    <w:uiPriority w:val="13"/>
    <w:semiHidden/>
    <w:rsid w:val="00AA6C16"/>
    <w:rPr>
      <w:sz w:val="22"/>
      <w:szCs w:val="22"/>
      <w:lang w:val="en-GB"/>
    </w:rPr>
  </w:style>
  <w:style w:type="paragraph" w:customStyle="1" w:styleId="Heading1NoNumber">
    <w:name w:val="Heading 1 No Number"/>
    <w:basedOn w:val="Heading1"/>
    <w:next w:val="Normal"/>
    <w:uiPriority w:val="1"/>
    <w:qFormat/>
    <w:rsid w:val="00AA6C16"/>
    <w:pPr>
      <w:numPr>
        <w:numId w:val="14"/>
      </w:numPr>
    </w:pPr>
  </w:style>
  <w:style w:type="paragraph" w:customStyle="1" w:styleId="Heading2NoNumber">
    <w:name w:val="Heading 2 No Number"/>
    <w:basedOn w:val="Heading2"/>
    <w:next w:val="Normal"/>
    <w:uiPriority w:val="1"/>
    <w:qFormat/>
    <w:rsid w:val="00AA6C16"/>
    <w:pPr>
      <w:numPr>
        <w:numId w:val="14"/>
      </w:numPr>
      <w:spacing w:before="280"/>
    </w:pPr>
  </w:style>
  <w:style w:type="paragraph" w:customStyle="1" w:styleId="Heading3NoNumber">
    <w:name w:val="Heading 3 No Number"/>
    <w:basedOn w:val="Heading3"/>
    <w:next w:val="Normal"/>
    <w:uiPriority w:val="1"/>
    <w:qFormat/>
    <w:rsid w:val="00AA6C16"/>
    <w:pPr>
      <w:numPr>
        <w:numId w:val="14"/>
      </w:numPr>
    </w:pPr>
  </w:style>
  <w:style w:type="paragraph" w:customStyle="1" w:styleId="Heading4NoNumber">
    <w:name w:val="Heading 4 No Number"/>
    <w:basedOn w:val="Heading4"/>
    <w:next w:val="Normal"/>
    <w:uiPriority w:val="1"/>
    <w:rsid w:val="00AA6C16"/>
    <w:pPr>
      <w:numPr>
        <w:numId w:val="14"/>
      </w:numPr>
    </w:pPr>
  </w:style>
  <w:style w:type="character" w:styleId="HTMLAcronym">
    <w:name w:val="HTML Acronym"/>
    <w:basedOn w:val="DefaultParagraphFont"/>
    <w:uiPriority w:val="99"/>
    <w:semiHidden/>
    <w:rsid w:val="00AA6C16"/>
    <w:rPr>
      <w:lang w:val="en-GB"/>
    </w:rPr>
  </w:style>
  <w:style w:type="paragraph" w:styleId="HTMLAddress">
    <w:name w:val="HTML Address"/>
    <w:basedOn w:val="Normal"/>
    <w:link w:val="HTMLAddressChar"/>
    <w:uiPriority w:val="99"/>
    <w:semiHidden/>
    <w:rsid w:val="00AA6C16"/>
    <w:rPr>
      <w:i/>
      <w:iCs/>
    </w:rPr>
  </w:style>
  <w:style w:type="character" w:customStyle="1" w:styleId="HTMLAddressChar">
    <w:name w:val="HTML Address Char"/>
    <w:basedOn w:val="DefaultParagraphFont"/>
    <w:link w:val="HTMLAddress"/>
    <w:uiPriority w:val="99"/>
    <w:semiHidden/>
    <w:rsid w:val="00AA6C16"/>
    <w:rPr>
      <w:i/>
      <w:iCs/>
      <w:sz w:val="22"/>
      <w:szCs w:val="22"/>
      <w:lang w:val="en-GB"/>
    </w:rPr>
  </w:style>
  <w:style w:type="character" w:styleId="HTMLCite">
    <w:name w:val="HTML Cite"/>
    <w:basedOn w:val="DefaultParagraphFont"/>
    <w:uiPriority w:val="99"/>
    <w:semiHidden/>
    <w:rsid w:val="00AA6C16"/>
    <w:rPr>
      <w:i/>
      <w:iCs/>
      <w:lang w:val="en-GB"/>
    </w:rPr>
  </w:style>
  <w:style w:type="character" w:styleId="HTMLCode">
    <w:name w:val="HTML Code"/>
    <w:basedOn w:val="DefaultParagraphFont"/>
    <w:uiPriority w:val="99"/>
    <w:semiHidden/>
    <w:rsid w:val="00AA6C16"/>
    <w:rPr>
      <w:rFonts w:asciiTheme="minorHAnsi" w:eastAsiaTheme="minorEastAsia" w:hAnsiTheme="minorHAnsi" w:cstheme="minorBidi"/>
      <w:sz w:val="20"/>
      <w:szCs w:val="20"/>
      <w:lang w:val="en-GB"/>
    </w:rPr>
  </w:style>
  <w:style w:type="character" w:styleId="HTMLDefinition">
    <w:name w:val="HTML Definition"/>
    <w:basedOn w:val="DefaultParagraphFont"/>
    <w:uiPriority w:val="99"/>
    <w:semiHidden/>
    <w:rsid w:val="00AA6C16"/>
    <w:rPr>
      <w:i/>
      <w:iCs/>
      <w:lang w:val="en-GB"/>
    </w:rPr>
  </w:style>
  <w:style w:type="character" w:styleId="HTMLKeyboard">
    <w:name w:val="HTML Keyboard"/>
    <w:basedOn w:val="DefaultParagraphFont"/>
    <w:uiPriority w:val="99"/>
    <w:semiHidden/>
    <w:rsid w:val="00AA6C16"/>
    <w:rPr>
      <w:rFonts w:asciiTheme="minorHAnsi" w:eastAsiaTheme="minorEastAsia" w:hAnsiTheme="minorHAnsi" w:cstheme="minorBidi"/>
      <w:sz w:val="20"/>
      <w:szCs w:val="20"/>
      <w:lang w:val="en-GB"/>
    </w:rPr>
  </w:style>
  <w:style w:type="paragraph" w:styleId="HTMLPreformatted">
    <w:name w:val="HTML Preformatted"/>
    <w:basedOn w:val="Normal"/>
    <w:link w:val="HTMLPreformattedChar"/>
    <w:uiPriority w:val="99"/>
    <w:semiHidden/>
    <w:rsid w:val="00AA6C16"/>
    <w:rPr>
      <w:rFonts w:asciiTheme="majorHAnsi" w:eastAsiaTheme="majorEastAsia" w:hAnsiTheme="majorHAnsi" w:cstheme="majorBidi"/>
    </w:rPr>
  </w:style>
  <w:style w:type="character" w:customStyle="1" w:styleId="HTMLPreformattedChar">
    <w:name w:val="HTML Preformatted Char"/>
    <w:basedOn w:val="DefaultParagraphFont"/>
    <w:link w:val="HTMLPreformatted"/>
    <w:uiPriority w:val="99"/>
    <w:semiHidden/>
    <w:rsid w:val="00AA6C16"/>
    <w:rPr>
      <w:rFonts w:asciiTheme="majorHAnsi" w:eastAsiaTheme="majorEastAsia" w:hAnsiTheme="majorHAnsi" w:cstheme="majorBidi"/>
      <w:sz w:val="22"/>
      <w:szCs w:val="22"/>
      <w:lang w:val="en-GB"/>
    </w:rPr>
  </w:style>
  <w:style w:type="character" w:styleId="HTMLSample">
    <w:name w:val="HTML Sample"/>
    <w:basedOn w:val="DefaultParagraphFont"/>
    <w:uiPriority w:val="99"/>
    <w:semiHidden/>
    <w:rsid w:val="00AA6C16"/>
    <w:rPr>
      <w:rFonts w:asciiTheme="minorHAnsi" w:eastAsiaTheme="minorEastAsia" w:hAnsiTheme="minorHAnsi" w:cstheme="minorBidi"/>
      <w:sz w:val="24"/>
      <w:szCs w:val="24"/>
      <w:lang w:val="en-GB"/>
    </w:rPr>
  </w:style>
  <w:style w:type="character" w:styleId="HTMLTypewriter">
    <w:name w:val="HTML Typewriter"/>
    <w:basedOn w:val="DefaultParagraphFont"/>
    <w:uiPriority w:val="99"/>
    <w:semiHidden/>
    <w:rsid w:val="00AA6C16"/>
    <w:rPr>
      <w:rFonts w:asciiTheme="minorHAnsi" w:eastAsiaTheme="minorEastAsia" w:hAnsiTheme="minorHAnsi" w:cstheme="minorBidi"/>
      <w:sz w:val="20"/>
      <w:szCs w:val="20"/>
      <w:lang w:val="en-GB"/>
    </w:rPr>
  </w:style>
  <w:style w:type="character" w:styleId="HTMLVariable">
    <w:name w:val="HTML Variable"/>
    <w:basedOn w:val="DefaultParagraphFont"/>
    <w:uiPriority w:val="99"/>
    <w:semiHidden/>
    <w:rsid w:val="00AA6C16"/>
    <w:rPr>
      <w:i/>
      <w:iCs/>
      <w:lang w:val="en-GB"/>
    </w:rPr>
  </w:style>
  <w:style w:type="character" w:styleId="Hyperlink">
    <w:name w:val="Hyperlink"/>
    <w:basedOn w:val="DefaultParagraphFont"/>
    <w:uiPriority w:val="99"/>
    <w:unhideWhenUsed/>
    <w:rsid w:val="00AA6C16"/>
    <w:rPr>
      <w:rFonts w:asciiTheme="minorHAnsi" w:eastAsiaTheme="minorEastAsia" w:hAnsiTheme="minorHAnsi" w:cstheme="minorBidi"/>
      <w:color w:val="auto"/>
      <w:u w:val="single"/>
      <w:lang w:val="en-GB"/>
    </w:rPr>
  </w:style>
  <w:style w:type="paragraph" w:styleId="Index1">
    <w:name w:val="index 1"/>
    <w:basedOn w:val="Normal"/>
    <w:next w:val="Normal"/>
    <w:autoRedefine/>
    <w:uiPriority w:val="99"/>
    <w:semiHidden/>
    <w:rsid w:val="00AA6C16"/>
    <w:pPr>
      <w:ind w:left="200" w:hanging="200"/>
    </w:pPr>
  </w:style>
  <w:style w:type="paragraph" w:styleId="Index2">
    <w:name w:val="index 2"/>
    <w:basedOn w:val="Normal"/>
    <w:next w:val="Normal"/>
    <w:autoRedefine/>
    <w:uiPriority w:val="99"/>
    <w:semiHidden/>
    <w:rsid w:val="00AA6C16"/>
    <w:pPr>
      <w:ind w:left="400" w:hanging="200"/>
    </w:pPr>
  </w:style>
  <w:style w:type="paragraph" w:styleId="Index3">
    <w:name w:val="index 3"/>
    <w:basedOn w:val="Normal"/>
    <w:next w:val="Normal"/>
    <w:autoRedefine/>
    <w:uiPriority w:val="99"/>
    <w:semiHidden/>
    <w:rsid w:val="00AA6C16"/>
    <w:pPr>
      <w:ind w:left="600" w:hanging="200"/>
    </w:pPr>
  </w:style>
  <w:style w:type="paragraph" w:styleId="Index4">
    <w:name w:val="index 4"/>
    <w:basedOn w:val="Normal"/>
    <w:next w:val="Normal"/>
    <w:autoRedefine/>
    <w:uiPriority w:val="99"/>
    <w:semiHidden/>
    <w:rsid w:val="00AA6C16"/>
    <w:pPr>
      <w:ind w:left="800" w:hanging="200"/>
    </w:pPr>
  </w:style>
  <w:style w:type="paragraph" w:styleId="Index5">
    <w:name w:val="index 5"/>
    <w:basedOn w:val="Normal"/>
    <w:next w:val="Normal"/>
    <w:autoRedefine/>
    <w:uiPriority w:val="99"/>
    <w:semiHidden/>
    <w:rsid w:val="00AA6C16"/>
    <w:pPr>
      <w:ind w:left="1000" w:hanging="200"/>
    </w:pPr>
  </w:style>
  <w:style w:type="paragraph" w:styleId="Index6">
    <w:name w:val="index 6"/>
    <w:basedOn w:val="Normal"/>
    <w:next w:val="Normal"/>
    <w:autoRedefine/>
    <w:uiPriority w:val="99"/>
    <w:semiHidden/>
    <w:rsid w:val="00AA6C16"/>
    <w:pPr>
      <w:ind w:left="1200" w:hanging="200"/>
    </w:pPr>
  </w:style>
  <w:style w:type="paragraph" w:styleId="Index7">
    <w:name w:val="index 7"/>
    <w:basedOn w:val="Normal"/>
    <w:next w:val="Normal"/>
    <w:autoRedefine/>
    <w:uiPriority w:val="99"/>
    <w:semiHidden/>
    <w:rsid w:val="00AA6C16"/>
    <w:pPr>
      <w:ind w:left="1400" w:hanging="200"/>
    </w:pPr>
  </w:style>
  <w:style w:type="paragraph" w:styleId="Index8">
    <w:name w:val="index 8"/>
    <w:basedOn w:val="Normal"/>
    <w:next w:val="Normal"/>
    <w:autoRedefine/>
    <w:uiPriority w:val="99"/>
    <w:semiHidden/>
    <w:rsid w:val="00AA6C16"/>
    <w:pPr>
      <w:ind w:left="1600" w:hanging="200"/>
    </w:pPr>
  </w:style>
  <w:style w:type="paragraph" w:styleId="Index9">
    <w:name w:val="index 9"/>
    <w:basedOn w:val="Normal"/>
    <w:next w:val="Normal"/>
    <w:autoRedefine/>
    <w:uiPriority w:val="99"/>
    <w:semiHidden/>
    <w:rsid w:val="00AA6C16"/>
    <w:pPr>
      <w:ind w:left="1800" w:hanging="200"/>
    </w:pPr>
  </w:style>
  <w:style w:type="paragraph" w:styleId="IndexHeading">
    <w:name w:val="index heading"/>
    <w:basedOn w:val="Normal"/>
    <w:next w:val="Index1"/>
    <w:uiPriority w:val="99"/>
    <w:semiHidden/>
    <w:rsid w:val="00AA6C16"/>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AA6C16"/>
    <w:rPr>
      <w:i/>
      <w:iCs/>
      <w:color w:val="000000" w:themeColor="accent1"/>
      <w:lang w:val="en-GB"/>
    </w:rPr>
  </w:style>
  <w:style w:type="paragraph" w:styleId="IntenseQuote">
    <w:name w:val="Intense Quote"/>
    <w:basedOn w:val="Normal"/>
    <w:next w:val="Normal"/>
    <w:link w:val="IntenseQuoteChar"/>
    <w:uiPriority w:val="99"/>
    <w:semiHidden/>
    <w:qFormat/>
    <w:rsid w:val="00AA6C16"/>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99"/>
    <w:semiHidden/>
    <w:rsid w:val="00AA6C16"/>
    <w:rPr>
      <w:i/>
      <w:iCs/>
      <w:color w:val="000000" w:themeColor="accent1"/>
      <w:sz w:val="22"/>
      <w:szCs w:val="22"/>
      <w:lang w:val="en-GB"/>
    </w:rPr>
  </w:style>
  <w:style w:type="character" w:styleId="IntenseReference">
    <w:name w:val="Intense Reference"/>
    <w:basedOn w:val="DefaultParagraphFont"/>
    <w:uiPriority w:val="99"/>
    <w:semiHidden/>
    <w:qFormat/>
    <w:rsid w:val="00AA6C16"/>
    <w:rPr>
      <w:b/>
      <w:bCs/>
      <w:smallCaps/>
      <w:color w:val="000000" w:themeColor="accent1"/>
      <w:spacing w:val="5"/>
      <w:lang w:val="en-GB"/>
    </w:rPr>
  </w:style>
  <w:style w:type="paragraph" w:customStyle="1" w:styleId="IntroText">
    <w:name w:val="Intro Text"/>
    <w:basedOn w:val="Normal"/>
    <w:next w:val="Normal"/>
    <w:uiPriority w:val="12"/>
    <w:semiHidden/>
    <w:rsid w:val="00AA6C16"/>
    <w:pPr>
      <w:spacing w:line="280" w:lineRule="atLeast"/>
    </w:pPr>
    <w:rPr>
      <w:sz w:val="28"/>
    </w:rPr>
  </w:style>
  <w:style w:type="table" w:styleId="LightGrid">
    <w:name w:val="Light Grid"/>
    <w:basedOn w:val="TableNormal"/>
    <w:uiPriority w:val="99"/>
    <w:semiHidden/>
    <w:unhideWhenUsed/>
    <w:rsid w:val="00AA6C16"/>
    <w:rPr>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AA6C16"/>
    <w:rPr>
      <w:sz w:val="22"/>
      <w:szCs w:val="22"/>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99"/>
    <w:semiHidden/>
    <w:unhideWhenUsed/>
    <w:rsid w:val="00AA6C16"/>
    <w:rPr>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insideH w:val="single" w:sz="8" w:space="0" w:color="7D4196" w:themeColor="accent2"/>
        <w:insideV w:val="single" w:sz="8" w:space="0" w:color="7D419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4196" w:themeColor="accent2"/>
          <w:left w:val="single" w:sz="8" w:space="0" w:color="7D4196" w:themeColor="accent2"/>
          <w:bottom w:val="single" w:sz="18" w:space="0" w:color="7D4196" w:themeColor="accent2"/>
          <w:right w:val="single" w:sz="8" w:space="0" w:color="7D4196" w:themeColor="accent2"/>
          <w:insideH w:val="nil"/>
          <w:insideV w:val="single" w:sz="8" w:space="0" w:color="7D419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4196" w:themeColor="accent2"/>
          <w:left w:val="single" w:sz="8" w:space="0" w:color="7D4196" w:themeColor="accent2"/>
          <w:bottom w:val="single" w:sz="8" w:space="0" w:color="7D4196" w:themeColor="accent2"/>
          <w:right w:val="single" w:sz="8" w:space="0" w:color="7D4196" w:themeColor="accent2"/>
          <w:insideH w:val="nil"/>
          <w:insideV w:val="single" w:sz="8" w:space="0" w:color="7D419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tcPr>
    </w:tblStylePr>
    <w:tblStylePr w:type="band1Vert">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shd w:val="clear" w:color="auto" w:fill="E0CCE9" w:themeFill="accent2" w:themeFillTint="3F"/>
      </w:tcPr>
    </w:tblStylePr>
    <w:tblStylePr w:type="band1Horz">
      <w:tblPr/>
      <w:tcPr>
        <w:tcBorders>
          <w:top w:val="single" w:sz="8" w:space="0" w:color="7D4196" w:themeColor="accent2"/>
          <w:left w:val="single" w:sz="8" w:space="0" w:color="7D4196" w:themeColor="accent2"/>
          <w:bottom w:val="single" w:sz="8" w:space="0" w:color="7D4196" w:themeColor="accent2"/>
          <w:right w:val="single" w:sz="8" w:space="0" w:color="7D4196" w:themeColor="accent2"/>
          <w:insideV w:val="single" w:sz="8" w:space="0" w:color="7D4196" w:themeColor="accent2"/>
        </w:tcBorders>
        <w:shd w:val="clear" w:color="auto" w:fill="E0CCE9" w:themeFill="accent2" w:themeFillTint="3F"/>
      </w:tcPr>
    </w:tblStylePr>
    <w:tblStylePr w:type="band2Horz">
      <w:tblPr/>
      <w:tcPr>
        <w:tcBorders>
          <w:top w:val="single" w:sz="8" w:space="0" w:color="7D4196" w:themeColor="accent2"/>
          <w:left w:val="single" w:sz="8" w:space="0" w:color="7D4196" w:themeColor="accent2"/>
          <w:bottom w:val="single" w:sz="8" w:space="0" w:color="7D4196" w:themeColor="accent2"/>
          <w:right w:val="single" w:sz="8" w:space="0" w:color="7D4196" w:themeColor="accent2"/>
          <w:insideV w:val="single" w:sz="8" w:space="0" w:color="7D4196" w:themeColor="accent2"/>
        </w:tcBorders>
      </w:tcPr>
    </w:tblStylePr>
  </w:style>
  <w:style w:type="table" w:styleId="LightGrid-Accent3">
    <w:name w:val="Light Grid Accent 3"/>
    <w:basedOn w:val="TableNormal"/>
    <w:uiPriority w:val="99"/>
    <w:semiHidden/>
    <w:unhideWhenUsed/>
    <w:rsid w:val="00AA6C16"/>
    <w:rPr>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insideH w:val="single" w:sz="8" w:space="0" w:color="005AAA" w:themeColor="accent3"/>
        <w:insideV w:val="single" w:sz="8" w:space="0" w:color="005AA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AA" w:themeColor="accent3"/>
          <w:left w:val="single" w:sz="8" w:space="0" w:color="005AAA" w:themeColor="accent3"/>
          <w:bottom w:val="single" w:sz="18" w:space="0" w:color="005AAA" w:themeColor="accent3"/>
          <w:right w:val="single" w:sz="8" w:space="0" w:color="005AAA" w:themeColor="accent3"/>
          <w:insideH w:val="nil"/>
          <w:insideV w:val="single" w:sz="8" w:space="0" w:color="005AA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AA" w:themeColor="accent3"/>
          <w:left w:val="single" w:sz="8" w:space="0" w:color="005AAA" w:themeColor="accent3"/>
          <w:bottom w:val="single" w:sz="8" w:space="0" w:color="005AAA" w:themeColor="accent3"/>
          <w:right w:val="single" w:sz="8" w:space="0" w:color="005AAA" w:themeColor="accent3"/>
          <w:insideH w:val="nil"/>
          <w:insideV w:val="single" w:sz="8" w:space="0" w:color="005AA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tcPr>
    </w:tblStylePr>
    <w:tblStylePr w:type="band1Vert">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shd w:val="clear" w:color="auto" w:fill="ABD7FF" w:themeFill="accent3" w:themeFillTint="3F"/>
      </w:tcPr>
    </w:tblStylePr>
    <w:tblStylePr w:type="band1Horz">
      <w:tblPr/>
      <w:tcPr>
        <w:tcBorders>
          <w:top w:val="single" w:sz="8" w:space="0" w:color="005AAA" w:themeColor="accent3"/>
          <w:left w:val="single" w:sz="8" w:space="0" w:color="005AAA" w:themeColor="accent3"/>
          <w:bottom w:val="single" w:sz="8" w:space="0" w:color="005AAA" w:themeColor="accent3"/>
          <w:right w:val="single" w:sz="8" w:space="0" w:color="005AAA" w:themeColor="accent3"/>
          <w:insideV w:val="single" w:sz="8" w:space="0" w:color="005AAA" w:themeColor="accent3"/>
        </w:tcBorders>
        <w:shd w:val="clear" w:color="auto" w:fill="ABD7FF" w:themeFill="accent3" w:themeFillTint="3F"/>
      </w:tcPr>
    </w:tblStylePr>
    <w:tblStylePr w:type="band2Horz">
      <w:tblPr/>
      <w:tcPr>
        <w:tcBorders>
          <w:top w:val="single" w:sz="8" w:space="0" w:color="005AAA" w:themeColor="accent3"/>
          <w:left w:val="single" w:sz="8" w:space="0" w:color="005AAA" w:themeColor="accent3"/>
          <w:bottom w:val="single" w:sz="8" w:space="0" w:color="005AAA" w:themeColor="accent3"/>
          <w:right w:val="single" w:sz="8" w:space="0" w:color="005AAA" w:themeColor="accent3"/>
          <w:insideV w:val="single" w:sz="8" w:space="0" w:color="005AAA" w:themeColor="accent3"/>
        </w:tcBorders>
      </w:tcPr>
    </w:tblStylePr>
  </w:style>
  <w:style w:type="table" w:styleId="LightGrid-Accent4">
    <w:name w:val="Light Grid Accent 4"/>
    <w:basedOn w:val="TableNormal"/>
    <w:uiPriority w:val="99"/>
    <w:semiHidden/>
    <w:unhideWhenUsed/>
    <w:rsid w:val="00AA6C16"/>
    <w:rPr>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insideH w:val="single" w:sz="8" w:space="0" w:color="32A4A0" w:themeColor="accent4"/>
        <w:insideV w:val="single" w:sz="8" w:space="0" w:color="32A4A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A4A0" w:themeColor="accent4"/>
          <w:left w:val="single" w:sz="8" w:space="0" w:color="32A4A0" w:themeColor="accent4"/>
          <w:bottom w:val="single" w:sz="18" w:space="0" w:color="32A4A0" w:themeColor="accent4"/>
          <w:right w:val="single" w:sz="8" w:space="0" w:color="32A4A0" w:themeColor="accent4"/>
          <w:insideH w:val="nil"/>
          <w:insideV w:val="single" w:sz="8" w:space="0" w:color="32A4A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A4A0" w:themeColor="accent4"/>
          <w:left w:val="single" w:sz="8" w:space="0" w:color="32A4A0" w:themeColor="accent4"/>
          <w:bottom w:val="single" w:sz="8" w:space="0" w:color="32A4A0" w:themeColor="accent4"/>
          <w:right w:val="single" w:sz="8" w:space="0" w:color="32A4A0" w:themeColor="accent4"/>
          <w:insideH w:val="nil"/>
          <w:insideV w:val="single" w:sz="8" w:space="0" w:color="32A4A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tcPr>
    </w:tblStylePr>
    <w:tblStylePr w:type="band1Vert">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shd w:val="clear" w:color="auto" w:fill="C6EEEC" w:themeFill="accent4" w:themeFillTint="3F"/>
      </w:tcPr>
    </w:tblStylePr>
    <w:tblStylePr w:type="band1Horz">
      <w:tblPr/>
      <w:tcPr>
        <w:tcBorders>
          <w:top w:val="single" w:sz="8" w:space="0" w:color="32A4A0" w:themeColor="accent4"/>
          <w:left w:val="single" w:sz="8" w:space="0" w:color="32A4A0" w:themeColor="accent4"/>
          <w:bottom w:val="single" w:sz="8" w:space="0" w:color="32A4A0" w:themeColor="accent4"/>
          <w:right w:val="single" w:sz="8" w:space="0" w:color="32A4A0" w:themeColor="accent4"/>
          <w:insideV w:val="single" w:sz="8" w:space="0" w:color="32A4A0" w:themeColor="accent4"/>
        </w:tcBorders>
        <w:shd w:val="clear" w:color="auto" w:fill="C6EEEC" w:themeFill="accent4" w:themeFillTint="3F"/>
      </w:tcPr>
    </w:tblStylePr>
    <w:tblStylePr w:type="band2Horz">
      <w:tblPr/>
      <w:tcPr>
        <w:tcBorders>
          <w:top w:val="single" w:sz="8" w:space="0" w:color="32A4A0" w:themeColor="accent4"/>
          <w:left w:val="single" w:sz="8" w:space="0" w:color="32A4A0" w:themeColor="accent4"/>
          <w:bottom w:val="single" w:sz="8" w:space="0" w:color="32A4A0" w:themeColor="accent4"/>
          <w:right w:val="single" w:sz="8" w:space="0" w:color="32A4A0" w:themeColor="accent4"/>
          <w:insideV w:val="single" w:sz="8" w:space="0" w:color="32A4A0" w:themeColor="accent4"/>
        </w:tcBorders>
      </w:tcPr>
    </w:tblStylePr>
  </w:style>
  <w:style w:type="table" w:styleId="LightGrid-Accent5">
    <w:name w:val="Light Grid Accent 5"/>
    <w:basedOn w:val="TableNormal"/>
    <w:uiPriority w:val="99"/>
    <w:semiHidden/>
    <w:unhideWhenUsed/>
    <w:rsid w:val="00AA6C16"/>
    <w:rPr>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insideH w:val="single" w:sz="8" w:space="0" w:color="C83C96" w:themeColor="accent5"/>
        <w:insideV w:val="single" w:sz="8" w:space="0" w:color="C83C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C96" w:themeColor="accent5"/>
          <w:left w:val="single" w:sz="8" w:space="0" w:color="C83C96" w:themeColor="accent5"/>
          <w:bottom w:val="single" w:sz="18" w:space="0" w:color="C83C96" w:themeColor="accent5"/>
          <w:right w:val="single" w:sz="8" w:space="0" w:color="C83C96" w:themeColor="accent5"/>
          <w:insideH w:val="nil"/>
          <w:insideV w:val="single" w:sz="8" w:space="0" w:color="C83C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C96" w:themeColor="accent5"/>
          <w:left w:val="single" w:sz="8" w:space="0" w:color="C83C96" w:themeColor="accent5"/>
          <w:bottom w:val="single" w:sz="8" w:space="0" w:color="C83C96" w:themeColor="accent5"/>
          <w:right w:val="single" w:sz="8" w:space="0" w:color="C83C96" w:themeColor="accent5"/>
          <w:insideH w:val="nil"/>
          <w:insideV w:val="single" w:sz="8" w:space="0" w:color="C83C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tcPr>
    </w:tblStylePr>
    <w:tblStylePr w:type="band1Vert">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shd w:val="clear" w:color="auto" w:fill="F1CEE4" w:themeFill="accent5" w:themeFillTint="3F"/>
      </w:tcPr>
    </w:tblStylePr>
    <w:tblStylePr w:type="band1Horz">
      <w:tblPr/>
      <w:tcPr>
        <w:tcBorders>
          <w:top w:val="single" w:sz="8" w:space="0" w:color="C83C96" w:themeColor="accent5"/>
          <w:left w:val="single" w:sz="8" w:space="0" w:color="C83C96" w:themeColor="accent5"/>
          <w:bottom w:val="single" w:sz="8" w:space="0" w:color="C83C96" w:themeColor="accent5"/>
          <w:right w:val="single" w:sz="8" w:space="0" w:color="C83C96" w:themeColor="accent5"/>
          <w:insideV w:val="single" w:sz="8" w:space="0" w:color="C83C96" w:themeColor="accent5"/>
        </w:tcBorders>
        <w:shd w:val="clear" w:color="auto" w:fill="F1CEE4" w:themeFill="accent5" w:themeFillTint="3F"/>
      </w:tcPr>
    </w:tblStylePr>
    <w:tblStylePr w:type="band2Horz">
      <w:tblPr/>
      <w:tcPr>
        <w:tcBorders>
          <w:top w:val="single" w:sz="8" w:space="0" w:color="C83C96" w:themeColor="accent5"/>
          <w:left w:val="single" w:sz="8" w:space="0" w:color="C83C96" w:themeColor="accent5"/>
          <w:bottom w:val="single" w:sz="8" w:space="0" w:color="C83C96" w:themeColor="accent5"/>
          <w:right w:val="single" w:sz="8" w:space="0" w:color="C83C96" w:themeColor="accent5"/>
          <w:insideV w:val="single" w:sz="8" w:space="0" w:color="C83C96" w:themeColor="accent5"/>
        </w:tcBorders>
      </w:tcPr>
    </w:tblStylePr>
  </w:style>
  <w:style w:type="table" w:styleId="LightGrid-Accent6">
    <w:name w:val="Light Grid Accent 6"/>
    <w:basedOn w:val="TableNormal"/>
    <w:uiPriority w:val="99"/>
    <w:semiHidden/>
    <w:unhideWhenUsed/>
    <w:rsid w:val="00AA6C16"/>
    <w:rPr>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insideH w:val="single" w:sz="8" w:space="0" w:color="4BA046" w:themeColor="accent6"/>
        <w:insideV w:val="single" w:sz="8" w:space="0" w:color="4BA0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046" w:themeColor="accent6"/>
          <w:left w:val="single" w:sz="8" w:space="0" w:color="4BA046" w:themeColor="accent6"/>
          <w:bottom w:val="single" w:sz="18" w:space="0" w:color="4BA046" w:themeColor="accent6"/>
          <w:right w:val="single" w:sz="8" w:space="0" w:color="4BA046" w:themeColor="accent6"/>
          <w:insideH w:val="nil"/>
          <w:insideV w:val="single" w:sz="8" w:space="0" w:color="4BA0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046" w:themeColor="accent6"/>
          <w:left w:val="single" w:sz="8" w:space="0" w:color="4BA046" w:themeColor="accent6"/>
          <w:bottom w:val="single" w:sz="8" w:space="0" w:color="4BA046" w:themeColor="accent6"/>
          <w:right w:val="single" w:sz="8" w:space="0" w:color="4BA046" w:themeColor="accent6"/>
          <w:insideH w:val="nil"/>
          <w:insideV w:val="single" w:sz="8" w:space="0" w:color="4BA0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tcPr>
    </w:tblStylePr>
    <w:tblStylePr w:type="band1Vert">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shd w:val="clear" w:color="auto" w:fill="D0EACE" w:themeFill="accent6" w:themeFillTint="3F"/>
      </w:tcPr>
    </w:tblStylePr>
    <w:tblStylePr w:type="band1Horz">
      <w:tblPr/>
      <w:tcPr>
        <w:tcBorders>
          <w:top w:val="single" w:sz="8" w:space="0" w:color="4BA046" w:themeColor="accent6"/>
          <w:left w:val="single" w:sz="8" w:space="0" w:color="4BA046" w:themeColor="accent6"/>
          <w:bottom w:val="single" w:sz="8" w:space="0" w:color="4BA046" w:themeColor="accent6"/>
          <w:right w:val="single" w:sz="8" w:space="0" w:color="4BA046" w:themeColor="accent6"/>
          <w:insideV w:val="single" w:sz="8" w:space="0" w:color="4BA046" w:themeColor="accent6"/>
        </w:tcBorders>
        <w:shd w:val="clear" w:color="auto" w:fill="D0EACE" w:themeFill="accent6" w:themeFillTint="3F"/>
      </w:tcPr>
    </w:tblStylePr>
    <w:tblStylePr w:type="band2Horz">
      <w:tblPr/>
      <w:tcPr>
        <w:tcBorders>
          <w:top w:val="single" w:sz="8" w:space="0" w:color="4BA046" w:themeColor="accent6"/>
          <w:left w:val="single" w:sz="8" w:space="0" w:color="4BA046" w:themeColor="accent6"/>
          <w:bottom w:val="single" w:sz="8" w:space="0" w:color="4BA046" w:themeColor="accent6"/>
          <w:right w:val="single" w:sz="8" w:space="0" w:color="4BA046" w:themeColor="accent6"/>
          <w:insideV w:val="single" w:sz="8" w:space="0" w:color="4BA046" w:themeColor="accent6"/>
        </w:tcBorders>
      </w:tcPr>
    </w:tblStylePr>
  </w:style>
  <w:style w:type="table" w:styleId="LightList">
    <w:name w:val="Light List"/>
    <w:basedOn w:val="TableNormal"/>
    <w:uiPriority w:val="99"/>
    <w:semiHidden/>
    <w:unhideWhenUsed/>
    <w:rsid w:val="00AA6C16"/>
    <w:rPr>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AA6C16"/>
    <w:rPr>
      <w:sz w:val="22"/>
      <w:szCs w:val="22"/>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99"/>
    <w:semiHidden/>
    <w:unhideWhenUsed/>
    <w:rsid w:val="00AA6C16"/>
    <w:rPr>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tblBorders>
    </w:tblPr>
    <w:tblStylePr w:type="firstRow">
      <w:pPr>
        <w:spacing w:before="0" w:after="0" w:line="240" w:lineRule="auto"/>
      </w:pPr>
      <w:rPr>
        <w:b/>
        <w:bCs/>
        <w:color w:val="FFFFFF" w:themeColor="background1"/>
      </w:rPr>
      <w:tblPr/>
      <w:tcPr>
        <w:shd w:val="clear" w:color="auto" w:fill="7D4196" w:themeFill="accent2"/>
      </w:tcPr>
    </w:tblStylePr>
    <w:tblStylePr w:type="lastRow">
      <w:pPr>
        <w:spacing w:before="0" w:after="0" w:line="240" w:lineRule="auto"/>
      </w:pPr>
      <w:rPr>
        <w:b/>
        <w:bCs/>
      </w:rPr>
      <w:tblPr/>
      <w:tcPr>
        <w:tcBorders>
          <w:top w:val="double" w:sz="6" w:space="0" w:color="7D4196" w:themeColor="accent2"/>
          <w:left w:val="single" w:sz="8" w:space="0" w:color="7D4196" w:themeColor="accent2"/>
          <w:bottom w:val="single" w:sz="8" w:space="0" w:color="7D4196" w:themeColor="accent2"/>
          <w:right w:val="single" w:sz="8" w:space="0" w:color="7D4196" w:themeColor="accent2"/>
        </w:tcBorders>
      </w:tcPr>
    </w:tblStylePr>
    <w:tblStylePr w:type="firstCol">
      <w:rPr>
        <w:b/>
        <w:bCs/>
      </w:rPr>
    </w:tblStylePr>
    <w:tblStylePr w:type="lastCol">
      <w:rPr>
        <w:b/>
        <w:bCs/>
      </w:rPr>
    </w:tblStylePr>
    <w:tblStylePr w:type="band1Vert">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tcPr>
    </w:tblStylePr>
    <w:tblStylePr w:type="band1Horz">
      <w:tblPr/>
      <w:tcPr>
        <w:tcBorders>
          <w:top w:val="single" w:sz="8" w:space="0" w:color="7D4196" w:themeColor="accent2"/>
          <w:left w:val="single" w:sz="8" w:space="0" w:color="7D4196" w:themeColor="accent2"/>
          <w:bottom w:val="single" w:sz="8" w:space="0" w:color="7D4196" w:themeColor="accent2"/>
          <w:right w:val="single" w:sz="8" w:space="0" w:color="7D4196" w:themeColor="accent2"/>
        </w:tcBorders>
      </w:tcPr>
    </w:tblStylePr>
  </w:style>
  <w:style w:type="table" w:styleId="LightList-Accent3">
    <w:name w:val="Light List Accent 3"/>
    <w:basedOn w:val="TableNormal"/>
    <w:uiPriority w:val="99"/>
    <w:semiHidden/>
    <w:unhideWhenUsed/>
    <w:rsid w:val="00AA6C16"/>
    <w:rPr>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tblBorders>
    </w:tblPr>
    <w:tblStylePr w:type="firstRow">
      <w:pPr>
        <w:spacing w:before="0" w:after="0" w:line="240" w:lineRule="auto"/>
      </w:pPr>
      <w:rPr>
        <w:b/>
        <w:bCs/>
        <w:color w:val="FFFFFF" w:themeColor="background1"/>
      </w:rPr>
      <w:tblPr/>
      <w:tcPr>
        <w:shd w:val="clear" w:color="auto" w:fill="005AAA" w:themeFill="accent3"/>
      </w:tcPr>
    </w:tblStylePr>
    <w:tblStylePr w:type="lastRow">
      <w:pPr>
        <w:spacing w:before="0" w:after="0" w:line="240" w:lineRule="auto"/>
      </w:pPr>
      <w:rPr>
        <w:b/>
        <w:bCs/>
      </w:rPr>
      <w:tblPr/>
      <w:tcPr>
        <w:tcBorders>
          <w:top w:val="double" w:sz="6" w:space="0" w:color="005AAA" w:themeColor="accent3"/>
          <w:left w:val="single" w:sz="8" w:space="0" w:color="005AAA" w:themeColor="accent3"/>
          <w:bottom w:val="single" w:sz="8" w:space="0" w:color="005AAA" w:themeColor="accent3"/>
          <w:right w:val="single" w:sz="8" w:space="0" w:color="005AAA" w:themeColor="accent3"/>
        </w:tcBorders>
      </w:tcPr>
    </w:tblStylePr>
    <w:tblStylePr w:type="firstCol">
      <w:rPr>
        <w:b/>
        <w:bCs/>
      </w:rPr>
    </w:tblStylePr>
    <w:tblStylePr w:type="lastCol">
      <w:rPr>
        <w:b/>
        <w:bCs/>
      </w:rPr>
    </w:tblStylePr>
    <w:tblStylePr w:type="band1Vert">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tcPr>
    </w:tblStylePr>
    <w:tblStylePr w:type="band1Horz">
      <w:tblPr/>
      <w:tcPr>
        <w:tcBorders>
          <w:top w:val="single" w:sz="8" w:space="0" w:color="005AAA" w:themeColor="accent3"/>
          <w:left w:val="single" w:sz="8" w:space="0" w:color="005AAA" w:themeColor="accent3"/>
          <w:bottom w:val="single" w:sz="8" w:space="0" w:color="005AAA" w:themeColor="accent3"/>
          <w:right w:val="single" w:sz="8" w:space="0" w:color="005AAA" w:themeColor="accent3"/>
        </w:tcBorders>
      </w:tcPr>
    </w:tblStylePr>
  </w:style>
  <w:style w:type="table" w:styleId="LightList-Accent4">
    <w:name w:val="Light List Accent 4"/>
    <w:basedOn w:val="TableNormal"/>
    <w:uiPriority w:val="99"/>
    <w:semiHidden/>
    <w:unhideWhenUsed/>
    <w:rsid w:val="00AA6C16"/>
    <w:rPr>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tblBorders>
    </w:tblPr>
    <w:tblStylePr w:type="firstRow">
      <w:pPr>
        <w:spacing w:before="0" w:after="0" w:line="240" w:lineRule="auto"/>
      </w:pPr>
      <w:rPr>
        <w:b/>
        <w:bCs/>
        <w:color w:val="FFFFFF" w:themeColor="background1"/>
      </w:rPr>
      <w:tblPr/>
      <w:tcPr>
        <w:shd w:val="clear" w:color="auto" w:fill="32A4A0" w:themeFill="accent4"/>
      </w:tcPr>
    </w:tblStylePr>
    <w:tblStylePr w:type="lastRow">
      <w:pPr>
        <w:spacing w:before="0" w:after="0" w:line="240" w:lineRule="auto"/>
      </w:pPr>
      <w:rPr>
        <w:b/>
        <w:bCs/>
      </w:rPr>
      <w:tblPr/>
      <w:tcPr>
        <w:tcBorders>
          <w:top w:val="double" w:sz="6" w:space="0" w:color="32A4A0" w:themeColor="accent4"/>
          <w:left w:val="single" w:sz="8" w:space="0" w:color="32A4A0" w:themeColor="accent4"/>
          <w:bottom w:val="single" w:sz="8" w:space="0" w:color="32A4A0" w:themeColor="accent4"/>
          <w:right w:val="single" w:sz="8" w:space="0" w:color="32A4A0" w:themeColor="accent4"/>
        </w:tcBorders>
      </w:tcPr>
    </w:tblStylePr>
    <w:tblStylePr w:type="firstCol">
      <w:rPr>
        <w:b/>
        <w:bCs/>
      </w:rPr>
    </w:tblStylePr>
    <w:tblStylePr w:type="lastCol">
      <w:rPr>
        <w:b/>
        <w:bCs/>
      </w:rPr>
    </w:tblStylePr>
    <w:tblStylePr w:type="band1Vert">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tcPr>
    </w:tblStylePr>
    <w:tblStylePr w:type="band1Horz">
      <w:tblPr/>
      <w:tcPr>
        <w:tcBorders>
          <w:top w:val="single" w:sz="8" w:space="0" w:color="32A4A0" w:themeColor="accent4"/>
          <w:left w:val="single" w:sz="8" w:space="0" w:color="32A4A0" w:themeColor="accent4"/>
          <w:bottom w:val="single" w:sz="8" w:space="0" w:color="32A4A0" w:themeColor="accent4"/>
          <w:right w:val="single" w:sz="8" w:space="0" w:color="32A4A0" w:themeColor="accent4"/>
        </w:tcBorders>
      </w:tcPr>
    </w:tblStylePr>
  </w:style>
  <w:style w:type="table" w:styleId="LightList-Accent5">
    <w:name w:val="Light List Accent 5"/>
    <w:basedOn w:val="TableNormal"/>
    <w:uiPriority w:val="99"/>
    <w:semiHidden/>
    <w:unhideWhenUsed/>
    <w:rsid w:val="00AA6C16"/>
    <w:rPr>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tblBorders>
    </w:tblPr>
    <w:tblStylePr w:type="firstRow">
      <w:pPr>
        <w:spacing w:before="0" w:after="0" w:line="240" w:lineRule="auto"/>
      </w:pPr>
      <w:rPr>
        <w:b/>
        <w:bCs/>
        <w:color w:val="FFFFFF" w:themeColor="background1"/>
      </w:rPr>
      <w:tblPr/>
      <w:tcPr>
        <w:shd w:val="clear" w:color="auto" w:fill="C83C96" w:themeFill="accent5"/>
      </w:tcPr>
    </w:tblStylePr>
    <w:tblStylePr w:type="lastRow">
      <w:pPr>
        <w:spacing w:before="0" w:after="0" w:line="240" w:lineRule="auto"/>
      </w:pPr>
      <w:rPr>
        <w:b/>
        <w:bCs/>
      </w:rPr>
      <w:tblPr/>
      <w:tcPr>
        <w:tcBorders>
          <w:top w:val="double" w:sz="6" w:space="0" w:color="C83C96" w:themeColor="accent5"/>
          <w:left w:val="single" w:sz="8" w:space="0" w:color="C83C96" w:themeColor="accent5"/>
          <w:bottom w:val="single" w:sz="8" w:space="0" w:color="C83C96" w:themeColor="accent5"/>
          <w:right w:val="single" w:sz="8" w:space="0" w:color="C83C96" w:themeColor="accent5"/>
        </w:tcBorders>
      </w:tcPr>
    </w:tblStylePr>
    <w:tblStylePr w:type="firstCol">
      <w:rPr>
        <w:b/>
        <w:bCs/>
      </w:rPr>
    </w:tblStylePr>
    <w:tblStylePr w:type="lastCol">
      <w:rPr>
        <w:b/>
        <w:bCs/>
      </w:rPr>
    </w:tblStylePr>
    <w:tblStylePr w:type="band1Vert">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tcPr>
    </w:tblStylePr>
    <w:tblStylePr w:type="band1Horz">
      <w:tblPr/>
      <w:tcPr>
        <w:tcBorders>
          <w:top w:val="single" w:sz="8" w:space="0" w:color="C83C96" w:themeColor="accent5"/>
          <w:left w:val="single" w:sz="8" w:space="0" w:color="C83C96" w:themeColor="accent5"/>
          <w:bottom w:val="single" w:sz="8" w:space="0" w:color="C83C96" w:themeColor="accent5"/>
          <w:right w:val="single" w:sz="8" w:space="0" w:color="C83C96" w:themeColor="accent5"/>
        </w:tcBorders>
      </w:tcPr>
    </w:tblStylePr>
  </w:style>
  <w:style w:type="table" w:styleId="LightList-Accent6">
    <w:name w:val="Light List Accent 6"/>
    <w:basedOn w:val="TableNormal"/>
    <w:uiPriority w:val="99"/>
    <w:semiHidden/>
    <w:unhideWhenUsed/>
    <w:rsid w:val="00AA6C16"/>
    <w:rPr>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tblBorders>
    </w:tblPr>
    <w:tblStylePr w:type="firstRow">
      <w:pPr>
        <w:spacing w:before="0" w:after="0" w:line="240" w:lineRule="auto"/>
      </w:pPr>
      <w:rPr>
        <w:b/>
        <w:bCs/>
        <w:color w:val="FFFFFF" w:themeColor="background1"/>
      </w:rPr>
      <w:tblPr/>
      <w:tcPr>
        <w:shd w:val="clear" w:color="auto" w:fill="4BA046" w:themeFill="accent6"/>
      </w:tcPr>
    </w:tblStylePr>
    <w:tblStylePr w:type="lastRow">
      <w:pPr>
        <w:spacing w:before="0" w:after="0" w:line="240" w:lineRule="auto"/>
      </w:pPr>
      <w:rPr>
        <w:b/>
        <w:bCs/>
      </w:rPr>
      <w:tblPr/>
      <w:tcPr>
        <w:tcBorders>
          <w:top w:val="double" w:sz="6" w:space="0" w:color="4BA046" w:themeColor="accent6"/>
          <w:left w:val="single" w:sz="8" w:space="0" w:color="4BA046" w:themeColor="accent6"/>
          <w:bottom w:val="single" w:sz="8" w:space="0" w:color="4BA046" w:themeColor="accent6"/>
          <w:right w:val="single" w:sz="8" w:space="0" w:color="4BA046" w:themeColor="accent6"/>
        </w:tcBorders>
      </w:tcPr>
    </w:tblStylePr>
    <w:tblStylePr w:type="firstCol">
      <w:rPr>
        <w:b/>
        <w:bCs/>
      </w:rPr>
    </w:tblStylePr>
    <w:tblStylePr w:type="lastCol">
      <w:rPr>
        <w:b/>
        <w:bCs/>
      </w:rPr>
    </w:tblStylePr>
    <w:tblStylePr w:type="band1Vert">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tcPr>
    </w:tblStylePr>
    <w:tblStylePr w:type="band1Horz">
      <w:tblPr/>
      <w:tcPr>
        <w:tcBorders>
          <w:top w:val="single" w:sz="8" w:space="0" w:color="4BA046" w:themeColor="accent6"/>
          <w:left w:val="single" w:sz="8" w:space="0" w:color="4BA046" w:themeColor="accent6"/>
          <w:bottom w:val="single" w:sz="8" w:space="0" w:color="4BA046" w:themeColor="accent6"/>
          <w:right w:val="single" w:sz="8" w:space="0" w:color="4BA046" w:themeColor="accent6"/>
        </w:tcBorders>
      </w:tcPr>
    </w:tblStylePr>
  </w:style>
  <w:style w:type="table" w:styleId="LightShading">
    <w:name w:val="Light Shading"/>
    <w:basedOn w:val="TableNormal"/>
    <w:uiPriority w:val="99"/>
    <w:semiHidden/>
    <w:unhideWhenUsed/>
    <w:rsid w:val="00AA6C16"/>
    <w:rPr>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AA6C16"/>
    <w:rPr>
      <w:color w:val="000000" w:themeColor="accent1" w:themeShade="BF"/>
      <w:sz w:val="22"/>
      <w:szCs w:val="22"/>
      <w:lang w:eastAsia="en-US"/>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99"/>
    <w:semiHidden/>
    <w:unhideWhenUsed/>
    <w:rsid w:val="00AA6C16"/>
    <w:rPr>
      <w:color w:val="5D3070" w:themeColor="accent2" w:themeShade="BF"/>
      <w:sz w:val="22"/>
      <w:szCs w:val="22"/>
      <w:lang w:eastAsia="en-US"/>
    </w:rPr>
    <w:tblPr>
      <w:tblStyleRowBandSize w:val="1"/>
      <w:tblStyleColBandSize w:val="1"/>
      <w:tblBorders>
        <w:top w:val="single" w:sz="8" w:space="0" w:color="7D4196" w:themeColor="accent2"/>
        <w:bottom w:val="single" w:sz="8" w:space="0" w:color="7D4196" w:themeColor="accent2"/>
      </w:tblBorders>
    </w:tblPr>
    <w:tblStylePr w:type="firstRow">
      <w:pPr>
        <w:spacing w:before="0" w:after="0" w:line="240" w:lineRule="auto"/>
      </w:pPr>
      <w:rPr>
        <w:b/>
        <w:bCs/>
      </w:rPr>
      <w:tblPr/>
      <w:tcPr>
        <w:tcBorders>
          <w:top w:val="single" w:sz="8" w:space="0" w:color="7D4196" w:themeColor="accent2"/>
          <w:left w:val="nil"/>
          <w:bottom w:val="single" w:sz="8" w:space="0" w:color="7D4196" w:themeColor="accent2"/>
          <w:right w:val="nil"/>
          <w:insideH w:val="nil"/>
          <w:insideV w:val="nil"/>
        </w:tcBorders>
      </w:tcPr>
    </w:tblStylePr>
    <w:tblStylePr w:type="lastRow">
      <w:pPr>
        <w:spacing w:before="0" w:after="0" w:line="240" w:lineRule="auto"/>
      </w:pPr>
      <w:rPr>
        <w:b/>
        <w:bCs/>
      </w:rPr>
      <w:tblPr/>
      <w:tcPr>
        <w:tcBorders>
          <w:top w:val="single" w:sz="8" w:space="0" w:color="7D4196" w:themeColor="accent2"/>
          <w:left w:val="nil"/>
          <w:bottom w:val="single" w:sz="8" w:space="0" w:color="7D419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CE9" w:themeFill="accent2" w:themeFillTint="3F"/>
      </w:tcPr>
    </w:tblStylePr>
    <w:tblStylePr w:type="band1Horz">
      <w:tblPr/>
      <w:tcPr>
        <w:tcBorders>
          <w:left w:val="nil"/>
          <w:right w:val="nil"/>
          <w:insideH w:val="nil"/>
          <w:insideV w:val="nil"/>
        </w:tcBorders>
        <w:shd w:val="clear" w:color="auto" w:fill="E0CCE9" w:themeFill="accent2" w:themeFillTint="3F"/>
      </w:tcPr>
    </w:tblStylePr>
  </w:style>
  <w:style w:type="table" w:styleId="LightShading-Accent3">
    <w:name w:val="Light Shading Accent 3"/>
    <w:basedOn w:val="TableNormal"/>
    <w:uiPriority w:val="99"/>
    <w:semiHidden/>
    <w:unhideWhenUsed/>
    <w:rsid w:val="00AA6C16"/>
    <w:rPr>
      <w:color w:val="00437F" w:themeColor="accent3" w:themeShade="BF"/>
      <w:sz w:val="22"/>
      <w:szCs w:val="22"/>
      <w:lang w:eastAsia="en-US"/>
    </w:rPr>
    <w:tblPr>
      <w:tblStyleRowBandSize w:val="1"/>
      <w:tblStyleColBandSize w:val="1"/>
      <w:tblBorders>
        <w:top w:val="single" w:sz="8" w:space="0" w:color="005AAA" w:themeColor="accent3"/>
        <w:bottom w:val="single" w:sz="8" w:space="0" w:color="005AAA" w:themeColor="accent3"/>
      </w:tblBorders>
    </w:tblPr>
    <w:tblStylePr w:type="firstRow">
      <w:pPr>
        <w:spacing w:before="0" w:after="0" w:line="240" w:lineRule="auto"/>
      </w:pPr>
      <w:rPr>
        <w:b/>
        <w:bCs/>
      </w:rPr>
      <w:tblPr/>
      <w:tcPr>
        <w:tcBorders>
          <w:top w:val="single" w:sz="8" w:space="0" w:color="005AAA" w:themeColor="accent3"/>
          <w:left w:val="nil"/>
          <w:bottom w:val="single" w:sz="8" w:space="0" w:color="005AAA" w:themeColor="accent3"/>
          <w:right w:val="nil"/>
          <w:insideH w:val="nil"/>
          <w:insideV w:val="nil"/>
        </w:tcBorders>
      </w:tcPr>
    </w:tblStylePr>
    <w:tblStylePr w:type="lastRow">
      <w:pPr>
        <w:spacing w:before="0" w:after="0" w:line="240" w:lineRule="auto"/>
      </w:pPr>
      <w:rPr>
        <w:b/>
        <w:bCs/>
      </w:rPr>
      <w:tblPr/>
      <w:tcPr>
        <w:tcBorders>
          <w:top w:val="single" w:sz="8" w:space="0" w:color="005AAA" w:themeColor="accent3"/>
          <w:left w:val="nil"/>
          <w:bottom w:val="single" w:sz="8" w:space="0" w:color="005AA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7FF" w:themeFill="accent3" w:themeFillTint="3F"/>
      </w:tcPr>
    </w:tblStylePr>
    <w:tblStylePr w:type="band1Horz">
      <w:tblPr/>
      <w:tcPr>
        <w:tcBorders>
          <w:left w:val="nil"/>
          <w:right w:val="nil"/>
          <w:insideH w:val="nil"/>
          <w:insideV w:val="nil"/>
        </w:tcBorders>
        <w:shd w:val="clear" w:color="auto" w:fill="ABD7FF" w:themeFill="accent3" w:themeFillTint="3F"/>
      </w:tcPr>
    </w:tblStylePr>
  </w:style>
  <w:style w:type="table" w:styleId="LightShading-Accent4">
    <w:name w:val="Light Shading Accent 4"/>
    <w:basedOn w:val="TableNormal"/>
    <w:uiPriority w:val="99"/>
    <w:semiHidden/>
    <w:unhideWhenUsed/>
    <w:rsid w:val="00AA6C16"/>
    <w:rPr>
      <w:color w:val="257A77" w:themeColor="accent4" w:themeShade="BF"/>
      <w:sz w:val="22"/>
      <w:szCs w:val="22"/>
      <w:lang w:eastAsia="en-US"/>
    </w:rPr>
    <w:tblPr>
      <w:tblStyleRowBandSize w:val="1"/>
      <w:tblStyleColBandSize w:val="1"/>
      <w:tblBorders>
        <w:top w:val="single" w:sz="8" w:space="0" w:color="32A4A0" w:themeColor="accent4"/>
        <w:bottom w:val="single" w:sz="8" w:space="0" w:color="32A4A0" w:themeColor="accent4"/>
      </w:tblBorders>
    </w:tblPr>
    <w:tblStylePr w:type="firstRow">
      <w:pPr>
        <w:spacing w:before="0" w:after="0" w:line="240" w:lineRule="auto"/>
      </w:pPr>
      <w:rPr>
        <w:b/>
        <w:bCs/>
      </w:rPr>
      <w:tblPr/>
      <w:tcPr>
        <w:tcBorders>
          <w:top w:val="single" w:sz="8" w:space="0" w:color="32A4A0" w:themeColor="accent4"/>
          <w:left w:val="nil"/>
          <w:bottom w:val="single" w:sz="8" w:space="0" w:color="32A4A0" w:themeColor="accent4"/>
          <w:right w:val="nil"/>
          <w:insideH w:val="nil"/>
          <w:insideV w:val="nil"/>
        </w:tcBorders>
      </w:tcPr>
    </w:tblStylePr>
    <w:tblStylePr w:type="lastRow">
      <w:pPr>
        <w:spacing w:before="0" w:after="0" w:line="240" w:lineRule="auto"/>
      </w:pPr>
      <w:rPr>
        <w:b/>
        <w:bCs/>
      </w:rPr>
      <w:tblPr/>
      <w:tcPr>
        <w:tcBorders>
          <w:top w:val="single" w:sz="8" w:space="0" w:color="32A4A0" w:themeColor="accent4"/>
          <w:left w:val="nil"/>
          <w:bottom w:val="single" w:sz="8" w:space="0" w:color="32A4A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EEC" w:themeFill="accent4" w:themeFillTint="3F"/>
      </w:tcPr>
    </w:tblStylePr>
    <w:tblStylePr w:type="band1Horz">
      <w:tblPr/>
      <w:tcPr>
        <w:tcBorders>
          <w:left w:val="nil"/>
          <w:right w:val="nil"/>
          <w:insideH w:val="nil"/>
          <w:insideV w:val="nil"/>
        </w:tcBorders>
        <w:shd w:val="clear" w:color="auto" w:fill="C6EEEC" w:themeFill="accent4" w:themeFillTint="3F"/>
      </w:tcPr>
    </w:tblStylePr>
  </w:style>
  <w:style w:type="table" w:styleId="LightShading-Accent5">
    <w:name w:val="Light Shading Accent 5"/>
    <w:basedOn w:val="TableNormal"/>
    <w:uiPriority w:val="99"/>
    <w:semiHidden/>
    <w:unhideWhenUsed/>
    <w:rsid w:val="00AA6C16"/>
    <w:rPr>
      <w:color w:val="972B70" w:themeColor="accent5" w:themeShade="BF"/>
      <w:sz w:val="22"/>
      <w:szCs w:val="22"/>
      <w:lang w:eastAsia="en-US"/>
    </w:rPr>
    <w:tblPr>
      <w:tblStyleRowBandSize w:val="1"/>
      <w:tblStyleColBandSize w:val="1"/>
      <w:tblBorders>
        <w:top w:val="single" w:sz="8" w:space="0" w:color="C83C96" w:themeColor="accent5"/>
        <w:bottom w:val="single" w:sz="8" w:space="0" w:color="C83C96" w:themeColor="accent5"/>
      </w:tblBorders>
    </w:tblPr>
    <w:tblStylePr w:type="firstRow">
      <w:pPr>
        <w:spacing w:before="0" w:after="0" w:line="240" w:lineRule="auto"/>
      </w:pPr>
      <w:rPr>
        <w:b/>
        <w:bCs/>
      </w:rPr>
      <w:tblPr/>
      <w:tcPr>
        <w:tcBorders>
          <w:top w:val="single" w:sz="8" w:space="0" w:color="C83C96" w:themeColor="accent5"/>
          <w:left w:val="nil"/>
          <w:bottom w:val="single" w:sz="8" w:space="0" w:color="C83C96" w:themeColor="accent5"/>
          <w:right w:val="nil"/>
          <w:insideH w:val="nil"/>
          <w:insideV w:val="nil"/>
        </w:tcBorders>
      </w:tcPr>
    </w:tblStylePr>
    <w:tblStylePr w:type="lastRow">
      <w:pPr>
        <w:spacing w:before="0" w:after="0" w:line="240" w:lineRule="auto"/>
      </w:pPr>
      <w:rPr>
        <w:b/>
        <w:bCs/>
      </w:rPr>
      <w:tblPr/>
      <w:tcPr>
        <w:tcBorders>
          <w:top w:val="single" w:sz="8" w:space="0" w:color="C83C96" w:themeColor="accent5"/>
          <w:left w:val="nil"/>
          <w:bottom w:val="single" w:sz="8" w:space="0" w:color="C83C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EE4" w:themeFill="accent5" w:themeFillTint="3F"/>
      </w:tcPr>
    </w:tblStylePr>
    <w:tblStylePr w:type="band1Horz">
      <w:tblPr/>
      <w:tcPr>
        <w:tcBorders>
          <w:left w:val="nil"/>
          <w:right w:val="nil"/>
          <w:insideH w:val="nil"/>
          <w:insideV w:val="nil"/>
        </w:tcBorders>
        <w:shd w:val="clear" w:color="auto" w:fill="F1CEE4" w:themeFill="accent5" w:themeFillTint="3F"/>
      </w:tcPr>
    </w:tblStylePr>
  </w:style>
  <w:style w:type="table" w:styleId="LightShading-Accent6">
    <w:name w:val="Light Shading Accent 6"/>
    <w:basedOn w:val="TableNormal"/>
    <w:uiPriority w:val="99"/>
    <w:semiHidden/>
    <w:unhideWhenUsed/>
    <w:rsid w:val="00AA6C16"/>
    <w:rPr>
      <w:color w:val="387734" w:themeColor="accent6" w:themeShade="BF"/>
      <w:sz w:val="22"/>
      <w:szCs w:val="22"/>
      <w:lang w:eastAsia="en-US"/>
    </w:rPr>
    <w:tblPr>
      <w:tblStyleRowBandSize w:val="1"/>
      <w:tblStyleColBandSize w:val="1"/>
      <w:tblBorders>
        <w:top w:val="single" w:sz="8" w:space="0" w:color="4BA046" w:themeColor="accent6"/>
        <w:bottom w:val="single" w:sz="8" w:space="0" w:color="4BA046" w:themeColor="accent6"/>
      </w:tblBorders>
    </w:tblPr>
    <w:tblStylePr w:type="firstRow">
      <w:pPr>
        <w:spacing w:before="0" w:after="0" w:line="240" w:lineRule="auto"/>
      </w:pPr>
      <w:rPr>
        <w:b/>
        <w:bCs/>
      </w:rPr>
      <w:tblPr/>
      <w:tcPr>
        <w:tcBorders>
          <w:top w:val="single" w:sz="8" w:space="0" w:color="4BA046" w:themeColor="accent6"/>
          <w:left w:val="nil"/>
          <w:bottom w:val="single" w:sz="8" w:space="0" w:color="4BA046" w:themeColor="accent6"/>
          <w:right w:val="nil"/>
          <w:insideH w:val="nil"/>
          <w:insideV w:val="nil"/>
        </w:tcBorders>
      </w:tcPr>
    </w:tblStylePr>
    <w:tblStylePr w:type="lastRow">
      <w:pPr>
        <w:spacing w:before="0" w:after="0" w:line="240" w:lineRule="auto"/>
      </w:pPr>
      <w:rPr>
        <w:b/>
        <w:bCs/>
      </w:rPr>
      <w:tblPr/>
      <w:tcPr>
        <w:tcBorders>
          <w:top w:val="single" w:sz="8" w:space="0" w:color="4BA046" w:themeColor="accent6"/>
          <w:left w:val="nil"/>
          <w:bottom w:val="single" w:sz="8" w:space="0" w:color="4BA0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ACE" w:themeFill="accent6" w:themeFillTint="3F"/>
      </w:tcPr>
    </w:tblStylePr>
    <w:tblStylePr w:type="band1Horz">
      <w:tblPr/>
      <w:tcPr>
        <w:tcBorders>
          <w:left w:val="nil"/>
          <w:right w:val="nil"/>
          <w:insideH w:val="nil"/>
          <w:insideV w:val="nil"/>
        </w:tcBorders>
        <w:shd w:val="clear" w:color="auto" w:fill="D0EACE" w:themeFill="accent6" w:themeFillTint="3F"/>
      </w:tcPr>
    </w:tblStylePr>
  </w:style>
  <w:style w:type="character" w:styleId="LineNumber">
    <w:name w:val="line number"/>
    <w:basedOn w:val="DefaultParagraphFont"/>
    <w:uiPriority w:val="99"/>
    <w:semiHidden/>
    <w:rsid w:val="00AA6C16"/>
    <w:rPr>
      <w:lang w:val="en-GB"/>
    </w:rPr>
  </w:style>
  <w:style w:type="paragraph" w:styleId="List">
    <w:name w:val="List"/>
    <w:basedOn w:val="Normal"/>
    <w:uiPriority w:val="99"/>
    <w:semiHidden/>
    <w:rsid w:val="00AA6C16"/>
    <w:pPr>
      <w:ind w:left="283" w:hanging="283"/>
      <w:contextualSpacing/>
    </w:pPr>
  </w:style>
  <w:style w:type="paragraph" w:styleId="List2">
    <w:name w:val="List 2"/>
    <w:basedOn w:val="Normal"/>
    <w:uiPriority w:val="99"/>
    <w:semiHidden/>
    <w:rsid w:val="00AA6C16"/>
    <w:pPr>
      <w:ind w:left="566" w:hanging="283"/>
      <w:contextualSpacing/>
    </w:pPr>
  </w:style>
  <w:style w:type="paragraph" w:styleId="List3">
    <w:name w:val="List 3"/>
    <w:basedOn w:val="Normal"/>
    <w:uiPriority w:val="99"/>
    <w:semiHidden/>
    <w:rsid w:val="00AA6C16"/>
    <w:pPr>
      <w:ind w:left="849" w:hanging="283"/>
      <w:contextualSpacing/>
    </w:pPr>
  </w:style>
  <w:style w:type="paragraph" w:styleId="List4">
    <w:name w:val="List 4"/>
    <w:basedOn w:val="Normal"/>
    <w:uiPriority w:val="99"/>
    <w:semiHidden/>
    <w:rsid w:val="00AA6C16"/>
    <w:pPr>
      <w:ind w:left="1132" w:hanging="283"/>
      <w:contextualSpacing/>
    </w:pPr>
  </w:style>
  <w:style w:type="paragraph" w:styleId="List5">
    <w:name w:val="List 5"/>
    <w:basedOn w:val="Normal"/>
    <w:uiPriority w:val="99"/>
    <w:semiHidden/>
    <w:rsid w:val="00AA6C16"/>
    <w:pPr>
      <w:ind w:left="1415" w:hanging="283"/>
      <w:contextualSpacing/>
    </w:pPr>
  </w:style>
  <w:style w:type="paragraph" w:customStyle="1" w:styleId="ListAlphabet">
    <w:name w:val="List Alphabet"/>
    <w:basedOn w:val="Normal"/>
    <w:uiPriority w:val="3"/>
    <w:semiHidden/>
    <w:rsid w:val="00AA6C16"/>
    <w:pPr>
      <w:numPr>
        <w:numId w:val="15"/>
      </w:numPr>
    </w:pPr>
    <w:rPr>
      <w:szCs w:val="24"/>
    </w:rPr>
  </w:style>
  <w:style w:type="paragraph" w:customStyle="1" w:styleId="ListAlphabet2">
    <w:name w:val="List Alphabet 2"/>
    <w:basedOn w:val="Normal"/>
    <w:uiPriority w:val="3"/>
    <w:semiHidden/>
    <w:rsid w:val="00AA6C16"/>
    <w:pPr>
      <w:numPr>
        <w:ilvl w:val="1"/>
        <w:numId w:val="15"/>
      </w:numPr>
    </w:pPr>
    <w:rPr>
      <w:szCs w:val="24"/>
    </w:rPr>
  </w:style>
  <w:style w:type="paragraph" w:customStyle="1" w:styleId="ListAlphabet3">
    <w:name w:val="List Alphabet 3"/>
    <w:basedOn w:val="Normal"/>
    <w:uiPriority w:val="3"/>
    <w:semiHidden/>
    <w:rsid w:val="00AA6C16"/>
    <w:pPr>
      <w:numPr>
        <w:ilvl w:val="2"/>
        <w:numId w:val="15"/>
      </w:numPr>
    </w:pPr>
    <w:rPr>
      <w:szCs w:val="24"/>
    </w:rPr>
  </w:style>
  <w:style w:type="paragraph" w:styleId="ListBullet">
    <w:name w:val="List Bullet"/>
    <w:basedOn w:val="Normal"/>
    <w:uiPriority w:val="3"/>
    <w:qFormat/>
    <w:rsid w:val="00AA6C16"/>
    <w:pPr>
      <w:numPr>
        <w:numId w:val="16"/>
      </w:numPr>
    </w:pPr>
    <w:rPr>
      <w:szCs w:val="24"/>
    </w:rPr>
  </w:style>
  <w:style w:type="paragraph" w:styleId="ListBullet2">
    <w:name w:val="List Bullet 2"/>
    <w:basedOn w:val="Normal"/>
    <w:uiPriority w:val="3"/>
    <w:rsid w:val="00AA6C16"/>
    <w:pPr>
      <w:numPr>
        <w:ilvl w:val="1"/>
        <w:numId w:val="16"/>
      </w:numPr>
    </w:pPr>
    <w:rPr>
      <w:szCs w:val="24"/>
    </w:rPr>
  </w:style>
  <w:style w:type="paragraph" w:styleId="ListBullet3">
    <w:name w:val="List Bullet 3"/>
    <w:basedOn w:val="Normal"/>
    <w:uiPriority w:val="3"/>
    <w:rsid w:val="00AA6C16"/>
    <w:pPr>
      <w:numPr>
        <w:ilvl w:val="2"/>
        <w:numId w:val="16"/>
      </w:numPr>
    </w:pPr>
    <w:rPr>
      <w:szCs w:val="24"/>
    </w:rPr>
  </w:style>
  <w:style w:type="paragraph" w:styleId="ListBullet4">
    <w:name w:val="List Bullet 4"/>
    <w:basedOn w:val="Normal"/>
    <w:uiPriority w:val="3"/>
    <w:semiHidden/>
    <w:rsid w:val="00AA6C16"/>
    <w:pPr>
      <w:numPr>
        <w:numId w:val="17"/>
      </w:numPr>
      <w:contextualSpacing/>
    </w:pPr>
  </w:style>
  <w:style w:type="paragraph" w:styleId="ListBullet5">
    <w:name w:val="List Bullet 5"/>
    <w:basedOn w:val="Normal"/>
    <w:uiPriority w:val="3"/>
    <w:semiHidden/>
    <w:rsid w:val="00AA6C16"/>
    <w:pPr>
      <w:numPr>
        <w:numId w:val="18"/>
      </w:numPr>
      <w:contextualSpacing/>
    </w:pPr>
  </w:style>
  <w:style w:type="paragraph" w:customStyle="1" w:styleId="ListBulletNoSpacing">
    <w:name w:val="List Bullet No Spacing"/>
    <w:basedOn w:val="ListBullet"/>
    <w:uiPriority w:val="3"/>
    <w:qFormat/>
    <w:rsid w:val="00AA6C16"/>
    <w:pPr>
      <w:numPr>
        <w:numId w:val="19"/>
      </w:numPr>
      <w:spacing w:after="0"/>
    </w:pPr>
  </w:style>
  <w:style w:type="paragraph" w:customStyle="1" w:styleId="ListBulletNoSpacing2">
    <w:name w:val="List Bullet No Spacing 2"/>
    <w:basedOn w:val="ListBullet2"/>
    <w:uiPriority w:val="3"/>
    <w:qFormat/>
    <w:rsid w:val="00AA6C16"/>
    <w:pPr>
      <w:numPr>
        <w:numId w:val="19"/>
      </w:numPr>
      <w:spacing w:after="0"/>
    </w:pPr>
  </w:style>
  <w:style w:type="paragraph" w:customStyle="1" w:styleId="ListBulletNoSpacing3">
    <w:name w:val="List Bullet No Spacing 3"/>
    <w:basedOn w:val="ListBullet3"/>
    <w:uiPriority w:val="3"/>
    <w:qFormat/>
    <w:rsid w:val="00AA6C16"/>
    <w:pPr>
      <w:numPr>
        <w:numId w:val="19"/>
      </w:numPr>
      <w:spacing w:after="0"/>
    </w:pPr>
  </w:style>
  <w:style w:type="paragraph" w:styleId="ListContinue">
    <w:name w:val="List Continue"/>
    <w:basedOn w:val="Normal"/>
    <w:uiPriority w:val="99"/>
    <w:semiHidden/>
    <w:rsid w:val="00AA6C16"/>
    <w:pPr>
      <w:spacing w:after="120"/>
      <w:ind w:left="283"/>
      <w:contextualSpacing/>
    </w:pPr>
  </w:style>
  <w:style w:type="paragraph" w:styleId="ListContinue2">
    <w:name w:val="List Continue 2"/>
    <w:basedOn w:val="Normal"/>
    <w:uiPriority w:val="99"/>
    <w:semiHidden/>
    <w:rsid w:val="00AA6C16"/>
    <w:pPr>
      <w:spacing w:after="120"/>
      <w:ind w:left="566"/>
      <w:contextualSpacing/>
    </w:pPr>
  </w:style>
  <w:style w:type="paragraph" w:styleId="ListContinue3">
    <w:name w:val="List Continue 3"/>
    <w:basedOn w:val="Normal"/>
    <w:uiPriority w:val="99"/>
    <w:semiHidden/>
    <w:rsid w:val="00AA6C16"/>
    <w:pPr>
      <w:spacing w:after="120"/>
      <w:ind w:left="849"/>
      <w:contextualSpacing/>
    </w:pPr>
  </w:style>
  <w:style w:type="paragraph" w:styleId="ListContinue4">
    <w:name w:val="List Continue 4"/>
    <w:basedOn w:val="Normal"/>
    <w:uiPriority w:val="99"/>
    <w:semiHidden/>
    <w:rsid w:val="00AA6C16"/>
    <w:pPr>
      <w:spacing w:after="120"/>
      <w:ind w:left="1132"/>
      <w:contextualSpacing/>
    </w:pPr>
  </w:style>
  <w:style w:type="paragraph" w:styleId="ListContinue5">
    <w:name w:val="List Continue 5"/>
    <w:basedOn w:val="Normal"/>
    <w:uiPriority w:val="99"/>
    <w:semiHidden/>
    <w:rsid w:val="00AA6C16"/>
    <w:pPr>
      <w:spacing w:after="120"/>
      <w:ind w:left="1415"/>
      <w:contextualSpacing/>
    </w:pPr>
  </w:style>
  <w:style w:type="paragraph" w:styleId="ListNumber">
    <w:name w:val="List Number"/>
    <w:basedOn w:val="Normal"/>
    <w:uiPriority w:val="3"/>
    <w:qFormat/>
    <w:rsid w:val="00AA6C16"/>
    <w:pPr>
      <w:numPr>
        <w:numId w:val="20"/>
      </w:numPr>
    </w:pPr>
    <w:rPr>
      <w:szCs w:val="24"/>
    </w:rPr>
  </w:style>
  <w:style w:type="paragraph" w:styleId="ListNumber2">
    <w:name w:val="List Number 2"/>
    <w:basedOn w:val="Normal"/>
    <w:uiPriority w:val="3"/>
    <w:rsid w:val="00AA6C16"/>
    <w:pPr>
      <w:numPr>
        <w:ilvl w:val="1"/>
        <w:numId w:val="20"/>
      </w:numPr>
    </w:pPr>
    <w:rPr>
      <w:szCs w:val="24"/>
    </w:rPr>
  </w:style>
  <w:style w:type="paragraph" w:styleId="ListNumber3">
    <w:name w:val="List Number 3"/>
    <w:basedOn w:val="Normal"/>
    <w:uiPriority w:val="3"/>
    <w:rsid w:val="00AA6C16"/>
    <w:pPr>
      <w:numPr>
        <w:ilvl w:val="2"/>
        <w:numId w:val="20"/>
      </w:numPr>
    </w:pPr>
    <w:rPr>
      <w:szCs w:val="24"/>
    </w:rPr>
  </w:style>
  <w:style w:type="paragraph" w:styleId="ListNumber4">
    <w:name w:val="List Number 4"/>
    <w:basedOn w:val="Normal"/>
    <w:uiPriority w:val="3"/>
    <w:semiHidden/>
    <w:rsid w:val="00AA6C16"/>
    <w:pPr>
      <w:numPr>
        <w:numId w:val="21"/>
      </w:numPr>
      <w:contextualSpacing/>
    </w:pPr>
  </w:style>
  <w:style w:type="paragraph" w:styleId="ListNumber5">
    <w:name w:val="List Number 5"/>
    <w:basedOn w:val="Normal"/>
    <w:uiPriority w:val="3"/>
    <w:semiHidden/>
    <w:rsid w:val="00AA6C16"/>
    <w:pPr>
      <w:numPr>
        <w:numId w:val="22"/>
      </w:numPr>
      <w:contextualSpacing/>
    </w:pPr>
  </w:style>
  <w:style w:type="paragraph" w:customStyle="1" w:styleId="ListNumberNoSpacing">
    <w:name w:val="List Number No Spacing"/>
    <w:basedOn w:val="ListNumber"/>
    <w:uiPriority w:val="4"/>
    <w:qFormat/>
    <w:rsid w:val="00AA6C16"/>
    <w:pPr>
      <w:numPr>
        <w:numId w:val="23"/>
      </w:numPr>
      <w:spacing w:after="0"/>
    </w:pPr>
  </w:style>
  <w:style w:type="paragraph" w:customStyle="1" w:styleId="ListNumberNoSpacing2">
    <w:name w:val="List Number No Spacing 2"/>
    <w:basedOn w:val="ListNumber2"/>
    <w:uiPriority w:val="4"/>
    <w:qFormat/>
    <w:rsid w:val="00B704B9"/>
    <w:pPr>
      <w:numPr>
        <w:numId w:val="23"/>
      </w:numPr>
      <w:spacing w:before="120" w:after="120"/>
    </w:pPr>
  </w:style>
  <w:style w:type="paragraph" w:customStyle="1" w:styleId="ListNumberNoSpacing3">
    <w:name w:val="List Number No Spacing 3"/>
    <w:basedOn w:val="ListNumber3"/>
    <w:uiPriority w:val="4"/>
    <w:qFormat/>
    <w:rsid w:val="00AA6C16"/>
    <w:pPr>
      <w:numPr>
        <w:ilvl w:val="0"/>
        <w:numId w:val="0"/>
      </w:numPr>
      <w:spacing w:after="0"/>
    </w:pPr>
  </w:style>
  <w:style w:type="table" w:styleId="ListTable1Light">
    <w:name w:val="List Table 1 Light"/>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B483C9" w:themeColor="accent2" w:themeTint="99"/>
        </w:tcBorders>
      </w:tcPr>
    </w:tblStylePr>
    <w:tblStylePr w:type="lastRow">
      <w:rPr>
        <w:b/>
        <w:bCs/>
      </w:rPr>
      <w:tblPr/>
      <w:tcPr>
        <w:tcBorders>
          <w:top w:val="single" w:sz="4" w:space="0" w:color="B483C9" w:themeColor="accent2" w:themeTint="99"/>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1Light-Accent3">
    <w:name w:val="List Table 1 Light Accent 3"/>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339FFF" w:themeColor="accent3" w:themeTint="99"/>
        </w:tcBorders>
      </w:tcPr>
    </w:tblStylePr>
    <w:tblStylePr w:type="lastRow">
      <w:rPr>
        <w:b/>
        <w:bCs/>
      </w:rPr>
      <w:tblPr/>
      <w:tcPr>
        <w:tcBorders>
          <w:top w:val="single" w:sz="4" w:space="0" w:color="339FFF" w:themeColor="accent3" w:themeTint="99"/>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1Light-Accent4">
    <w:name w:val="List Table 1 Light Accent 4"/>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76D5D2" w:themeColor="accent4" w:themeTint="99"/>
        </w:tcBorders>
      </w:tcPr>
    </w:tblStylePr>
    <w:tblStylePr w:type="lastRow">
      <w:rPr>
        <w:b/>
        <w:bCs/>
      </w:rPr>
      <w:tblPr/>
      <w:tcPr>
        <w:tcBorders>
          <w:top w:val="single" w:sz="4" w:space="0" w:color="76D5D2" w:themeColor="accent4" w:themeTint="99"/>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1Light-Accent5">
    <w:name w:val="List Table 1 Light Accent 5"/>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DE8ABF" w:themeColor="accent5" w:themeTint="99"/>
        </w:tcBorders>
      </w:tcPr>
    </w:tblStylePr>
    <w:tblStylePr w:type="lastRow">
      <w:rPr>
        <w:b/>
        <w:bCs/>
      </w:rPr>
      <w:tblPr/>
      <w:tcPr>
        <w:tcBorders>
          <w:top w:val="single" w:sz="4" w:space="0" w:color="DE8ABF" w:themeColor="accent5" w:themeTint="99"/>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1Light-Accent6">
    <w:name w:val="List Table 1 Light Accent 6"/>
    <w:basedOn w:val="TableNormal"/>
    <w:uiPriority w:val="99"/>
    <w:rsid w:val="00AA6C16"/>
    <w:rPr>
      <w:sz w:val="22"/>
      <w:szCs w:val="22"/>
      <w:lang w:eastAsia="en-US"/>
    </w:rPr>
    <w:tblPr>
      <w:tblStyleRowBandSize w:val="1"/>
      <w:tblStyleColBandSize w:val="1"/>
    </w:tblPr>
    <w:tblStylePr w:type="firstRow">
      <w:rPr>
        <w:b/>
        <w:bCs/>
      </w:rPr>
      <w:tblPr/>
      <w:tcPr>
        <w:tcBorders>
          <w:bottom w:val="single" w:sz="4" w:space="0" w:color="8DCB8A" w:themeColor="accent6" w:themeTint="99"/>
        </w:tcBorders>
      </w:tcPr>
    </w:tblStylePr>
    <w:tblStylePr w:type="lastRow">
      <w:rPr>
        <w:b/>
        <w:bCs/>
      </w:rPr>
      <w:tblPr/>
      <w:tcPr>
        <w:tcBorders>
          <w:top w:val="single" w:sz="4" w:space="0" w:color="8DCB8A" w:themeColor="accent6" w:themeTint="99"/>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2">
    <w:name w:val="List Table 2"/>
    <w:basedOn w:val="TableNormal"/>
    <w:uiPriority w:val="99"/>
    <w:rsid w:val="00AA6C16"/>
    <w:rPr>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rsid w:val="00AA6C16"/>
    <w:rPr>
      <w:sz w:val="22"/>
      <w:szCs w:val="22"/>
      <w:lang w:eastAsia="en-US"/>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99"/>
    <w:rsid w:val="00AA6C16"/>
    <w:rPr>
      <w:sz w:val="22"/>
      <w:szCs w:val="22"/>
      <w:lang w:eastAsia="en-US"/>
    </w:rPr>
    <w:tblPr>
      <w:tblStyleRowBandSize w:val="1"/>
      <w:tblStyleColBandSize w:val="1"/>
      <w:tblBorders>
        <w:top w:val="single" w:sz="4" w:space="0" w:color="B483C9" w:themeColor="accent2" w:themeTint="99"/>
        <w:bottom w:val="single" w:sz="4" w:space="0" w:color="B483C9" w:themeColor="accent2" w:themeTint="99"/>
        <w:insideH w:val="single" w:sz="4" w:space="0" w:color="B483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2-Accent3">
    <w:name w:val="List Table 2 Accent 3"/>
    <w:basedOn w:val="TableNormal"/>
    <w:uiPriority w:val="99"/>
    <w:rsid w:val="00AA6C16"/>
    <w:rPr>
      <w:sz w:val="22"/>
      <w:szCs w:val="22"/>
      <w:lang w:eastAsia="en-US"/>
    </w:rPr>
    <w:tblPr>
      <w:tblStyleRowBandSize w:val="1"/>
      <w:tblStyleColBandSize w:val="1"/>
      <w:tblBorders>
        <w:top w:val="single" w:sz="4" w:space="0" w:color="339FFF" w:themeColor="accent3" w:themeTint="99"/>
        <w:bottom w:val="single" w:sz="4" w:space="0" w:color="339FFF" w:themeColor="accent3" w:themeTint="99"/>
        <w:insideH w:val="single" w:sz="4" w:space="0" w:color="339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2-Accent4">
    <w:name w:val="List Table 2 Accent 4"/>
    <w:basedOn w:val="TableNormal"/>
    <w:uiPriority w:val="99"/>
    <w:rsid w:val="00AA6C16"/>
    <w:rPr>
      <w:sz w:val="22"/>
      <w:szCs w:val="22"/>
      <w:lang w:eastAsia="en-US"/>
    </w:rPr>
    <w:tblPr>
      <w:tblStyleRowBandSize w:val="1"/>
      <w:tblStyleColBandSize w:val="1"/>
      <w:tblBorders>
        <w:top w:val="single" w:sz="4" w:space="0" w:color="76D5D2" w:themeColor="accent4" w:themeTint="99"/>
        <w:bottom w:val="single" w:sz="4" w:space="0" w:color="76D5D2" w:themeColor="accent4" w:themeTint="99"/>
        <w:insideH w:val="single" w:sz="4" w:space="0" w:color="76D5D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2-Accent5">
    <w:name w:val="List Table 2 Accent 5"/>
    <w:basedOn w:val="TableNormal"/>
    <w:uiPriority w:val="99"/>
    <w:rsid w:val="00AA6C16"/>
    <w:rPr>
      <w:sz w:val="22"/>
      <w:szCs w:val="22"/>
      <w:lang w:eastAsia="en-US"/>
    </w:rPr>
    <w:tblPr>
      <w:tblStyleRowBandSize w:val="1"/>
      <w:tblStyleColBandSize w:val="1"/>
      <w:tblBorders>
        <w:top w:val="single" w:sz="4" w:space="0" w:color="DE8ABF" w:themeColor="accent5" w:themeTint="99"/>
        <w:bottom w:val="single" w:sz="4" w:space="0" w:color="DE8ABF" w:themeColor="accent5" w:themeTint="99"/>
        <w:insideH w:val="single" w:sz="4" w:space="0" w:color="DE8AB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2-Accent6">
    <w:name w:val="List Table 2 Accent 6"/>
    <w:basedOn w:val="TableNormal"/>
    <w:uiPriority w:val="99"/>
    <w:rsid w:val="00AA6C16"/>
    <w:rPr>
      <w:sz w:val="22"/>
      <w:szCs w:val="22"/>
      <w:lang w:eastAsia="en-US"/>
    </w:rPr>
    <w:tblPr>
      <w:tblStyleRowBandSize w:val="1"/>
      <w:tblStyleColBandSize w:val="1"/>
      <w:tblBorders>
        <w:top w:val="single" w:sz="4" w:space="0" w:color="8DCB8A" w:themeColor="accent6" w:themeTint="99"/>
        <w:bottom w:val="single" w:sz="4" w:space="0" w:color="8DCB8A" w:themeColor="accent6" w:themeTint="99"/>
        <w:insideH w:val="single" w:sz="4" w:space="0" w:color="8DCB8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3">
    <w:name w:val="List Table 3"/>
    <w:basedOn w:val="TableNormal"/>
    <w:uiPriority w:val="99"/>
    <w:rsid w:val="00AA6C16"/>
    <w:rPr>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rsid w:val="00AA6C16"/>
    <w:rPr>
      <w:sz w:val="22"/>
      <w:szCs w:val="22"/>
      <w:lang w:eastAsia="en-US"/>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99"/>
    <w:rsid w:val="00AA6C16"/>
    <w:rPr>
      <w:sz w:val="22"/>
      <w:szCs w:val="22"/>
      <w:lang w:eastAsia="en-US"/>
    </w:rPr>
    <w:tblPr>
      <w:tblStyleRowBandSize w:val="1"/>
      <w:tblStyleColBandSize w:val="1"/>
      <w:tblBorders>
        <w:top w:val="single" w:sz="4" w:space="0" w:color="7D4196" w:themeColor="accent2"/>
        <w:left w:val="single" w:sz="4" w:space="0" w:color="7D4196" w:themeColor="accent2"/>
        <w:bottom w:val="single" w:sz="4" w:space="0" w:color="7D4196" w:themeColor="accent2"/>
        <w:right w:val="single" w:sz="4" w:space="0" w:color="7D4196" w:themeColor="accent2"/>
      </w:tblBorders>
    </w:tblPr>
    <w:tblStylePr w:type="firstRow">
      <w:rPr>
        <w:b/>
        <w:bCs/>
        <w:color w:val="FFFFFF" w:themeColor="background1"/>
      </w:rPr>
      <w:tblPr/>
      <w:tcPr>
        <w:shd w:val="clear" w:color="auto" w:fill="7D4196" w:themeFill="accent2"/>
      </w:tcPr>
    </w:tblStylePr>
    <w:tblStylePr w:type="lastRow">
      <w:rPr>
        <w:b/>
        <w:bCs/>
      </w:rPr>
      <w:tblPr/>
      <w:tcPr>
        <w:tcBorders>
          <w:top w:val="double" w:sz="4" w:space="0" w:color="7D419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4196" w:themeColor="accent2"/>
          <w:right w:val="single" w:sz="4" w:space="0" w:color="7D4196" w:themeColor="accent2"/>
        </w:tcBorders>
      </w:tcPr>
    </w:tblStylePr>
    <w:tblStylePr w:type="band1Horz">
      <w:tblPr/>
      <w:tcPr>
        <w:tcBorders>
          <w:top w:val="single" w:sz="4" w:space="0" w:color="7D4196" w:themeColor="accent2"/>
          <w:bottom w:val="single" w:sz="4" w:space="0" w:color="7D419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4196" w:themeColor="accent2"/>
          <w:left w:val="nil"/>
        </w:tcBorders>
      </w:tcPr>
    </w:tblStylePr>
    <w:tblStylePr w:type="swCell">
      <w:tblPr/>
      <w:tcPr>
        <w:tcBorders>
          <w:top w:val="double" w:sz="4" w:space="0" w:color="7D4196" w:themeColor="accent2"/>
          <w:right w:val="nil"/>
        </w:tcBorders>
      </w:tcPr>
    </w:tblStylePr>
  </w:style>
  <w:style w:type="table" w:styleId="ListTable3-Accent3">
    <w:name w:val="List Table 3 Accent 3"/>
    <w:basedOn w:val="TableNormal"/>
    <w:uiPriority w:val="99"/>
    <w:rsid w:val="00AA6C16"/>
    <w:rPr>
      <w:sz w:val="22"/>
      <w:szCs w:val="22"/>
      <w:lang w:eastAsia="en-US"/>
    </w:rPr>
    <w:tblPr>
      <w:tblStyleRowBandSize w:val="1"/>
      <w:tblStyleColBandSize w:val="1"/>
      <w:tblBorders>
        <w:top w:val="single" w:sz="4" w:space="0" w:color="005AAA" w:themeColor="accent3"/>
        <w:left w:val="single" w:sz="4" w:space="0" w:color="005AAA" w:themeColor="accent3"/>
        <w:bottom w:val="single" w:sz="4" w:space="0" w:color="005AAA" w:themeColor="accent3"/>
        <w:right w:val="single" w:sz="4" w:space="0" w:color="005AAA" w:themeColor="accent3"/>
      </w:tblBorders>
    </w:tblPr>
    <w:tblStylePr w:type="firstRow">
      <w:rPr>
        <w:b/>
        <w:bCs/>
        <w:color w:val="FFFFFF" w:themeColor="background1"/>
      </w:rPr>
      <w:tblPr/>
      <w:tcPr>
        <w:shd w:val="clear" w:color="auto" w:fill="005AAA" w:themeFill="accent3"/>
      </w:tcPr>
    </w:tblStylePr>
    <w:tblStylePr w:type="lastRow">
      <w:rPr>
        <w:b/>
        <w:bCs/>
      </w:rPr>
      <w:tblPr/>
      <w:tcPr>
        <w:tcBorders>
          <w:top w:val="double" w:sz="4" w:space="0" w:color="005AA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AA" w:themeColor="accent3"/>
          <w:right w:val="single" w:sz="4" w:space="0" w:color="005AAA" w:themeColor="accent3"/>
        </w:tcBorders>
      </w:tcPr>
    </w:tblStylePr>
    <w:tblStylePr w:type="band1Horz">
      <w:tblPr/>
      <w:tcPr>
        <w:tcBorders>
          <w:top w:val="single" w:sz="4" w:space="0" w:color="005AAA" w:themeColor="accent3"/>
          <w:bottom w:val="single" w:sz="4" w:space="0" w:color="005AA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AA" w:themeColor="accent3"/>
          <w:left w:val="nil"/>
        </w:tcBorders>
      </w:tcPr>
    </w:tblStylePr>
    <w:tblStylePr w:type="swCell">
      <w:tblPr/>
      <w:tcPr>
        <w:tcBorders>
          <w:top w:val="double" w:sz="4" w:space="0" w:color="005AAA" w:themeColor="accent3"/>
          <w:right w:val="nil"/>
        </w:tcBorders>
      </w:tcPr>
    </w:tblStylePr>
  </w:style>
  <w:style w:type="table" w:styleId="ListTable3-Accent4">
    <w:name w:val="List Table 3 Accent 4"/>
    <w:basedOn w:val="TableNormal"/>
    <w:uiPriority w:val="99"/>
    <w:rsid w:val="00AA6C16"/>
    <w:rPr>
      <w:sz w:val="22"/>
      <w:szCs w:val="22"/>
      <w:lang w:eastAsia="en-US"/>
    </w:rPr>
    <w:tblPr>
      <w:tblStyleRowBandSize w:val="1"/>
      <w:tblStyleColBandSize w:val="1"/>
      <w:tblBorders>
        <w:top w:val="single" w:sz="4" w:space="0" w:color="32A4A0" w:themeColor="accent4"/>
        <w:left w:val="single" w:sz="4" w:space="0" w:color="32A4A0" w:themeColor="accent4"/>
        <w:bottom w:val="single" w:sz="4" w:space="0" w:color="32A4A0" w:themeColor="accent4"/>
        <w:right w:val="single" w:sz="4" w:space="0" w:color="32A4A0" w:themeColor="accent4"/>
      </w:tblBorders>
    </w:tblPr>
    <w:tblStylePr w:type="firstRow">
      <w:rPr>
        <w:b/>
        <w:bCs/>
        <w:color w:val="FFFFFF" w:themeColor="background1"/>
      </w:rPr>
      <w:tblPr/>
      <w:tcPr>
        <w:shd w:val="clear" w:color="auto" w:fill="32A4A0" w:themeFill="accent4"/>
      </w:tcPr>
    </w:tblStylePr>
    <w:tblStylePr w:type="lastRow">
      <w:rPr>
        <w:b/>
        <w:bCs/>
      </w:rPr>
      <w:tblPr/>
      <w:tcPr>
        <w:tcBorders>
          <w:top w:val="double" w:sz="4" w:space="0" w:color="32A4A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A4A0" w:themeColor="accent4"/>
          <w:right w:val="single" w:sz="4" w:space="0" w:color="32A4A0" w:themeColor="accent4"/>
        </w:tcBorders>
      </w:tcPr>
    </w:tblStylePr>
    <w:tblStylePr w:type="band1Horz">
      <w:tblPr/>
      <w:tcPr>
        <w:tcBorders>
          <w:top w:val="single" w:sz="4" w:space="0" w:color="32A4A0" w:themeColor="accent4"/>
          <w:bottom w:val="single" w:sz="4" w:space="0" w:color="32A4A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A4A0" w:themeColor="accent4"/>
          <w:left w:val="nil"/>
        </w:tcBorders>
      </w:tcPr>
    </w:tblStylePr>
    <w:tblStylePr w:type="swCell">
      <w:tblPr/>
      <w:tcPr>
        <w:tcBorders>
          <w:top w:val="double" w:sz="4" w:space="0" w:color="32A4A0" w:themeColor="accent4"/>
          <w:right w:val="nil"/>
        </w:tcBorders>
      </w:tcPr>
    </w:tblStylePr>
  </w:style>
  <w:style w:type="table" w:styleId="ListTable3-Accent5">
    <w:name w:val="List Table 3 Accent 5"/>
    <w:basedOn w:val="TableNormal"/>
    <w:uiPriority w:val="99"/>
    <w:rsid w:val="00AA6C16"/>
    <w:rPr>
      <w:sz w:val="22"/>
      <w:szCs w:val="22"/>
      <w:lang w:eastAsia="en-US"/>
    </w:rPr>
    <w:tblPr>
      <w:tblStyleRowBandSize w:val="1"/>
      <w:tblStyleColBandSize w:val="1"/>
      <w:tblBorders>
        <w:top w:val="single" w:sz="4" w:space="0" w:color="C83C96" w:themeColor="accent5"/>
        <w:left w:val="single" w:sz="4" w:space="0" w:color="C83C96" w:themeColor="accent5"/>
        <w:bottom w:val="single" w:sz="4" w:space="0" w:color="C83C96" w:themeColor="accent5"/>
        <w:right w:val="single" w:sz="4" w:space="0" w:color="C83C96" w:themeColor="accent5"/>
      </w:tblBorders>
    </w:tblPr>
    <w:tblStylePr w:type="firstRow">
      <w:rPr>
        <w:b/>
        <w:bCs/>
        <w:color w:val="FFFFFF" w:themeColor="background1"/>
      </w:rPr>
      <w:tblPr/>
      <w:tcPr>
        <w:shd w:val="clear" w:color="auto" w:fill="C83C96" w:themeFill="accent5"/>
      </w:tcPr>
    </w:tblStylePr>
    <w:tblStylePr w:type="lastRow">
      <w:rPr>
        <w:b/>
        <w:bCs/>
      </w:rPr>
      <w:tblPr/>
      <w:tcPr>
        <w:tcBorders>
          <w:top w:val="double" w:sz="4" w:space="0" w:color="C83C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3C96" w:themeColor="accent5"/>
          <w:right w:val="single" w:sz="4" w:space="0" w:color="C83C96" w:themeColor="accent5"/>
        </w:tcBorders>
      </w:tcPr>
    </w:tblStylePr>
    <w:tblStylePr w:type="band1Horz">
      <w:tblPr/>
      <w:tcPr>
        <w:tcBorders>
          <w:top w:val="single" w:sz="4" w:space="0" w:color="C83C96" w:themeColor="accent5"/>
          <w:bottom w:val="single" w:sz="4" w:space="0" w:color="C83C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C96" w:themeColor="accent5"/>
          <w:left w:val="nil"/>
        </w:tcBorders>
      </w:tcPr>
    </w:tblStylePr>
    <w:tblStylePr w:type="swCell">
      <w:tblPr/>
      <w:tcPr>
        <w:tcBorders>
          <w:top w:val="double" w:sz="4" w:space="0" w:color="C83C96" w:themeColor="accent5"/>
          <w:right w:val="nil"/>
        </w:tcBorders>
      </w:tcPr>
    </w:tblStylePr>
  </w:style>
  <w:style w:type="table" w:styleId="ListTable3-Accent6">
    <w:name w:val="List Table 3 Accent 6"/>
    <w:basedOn w:val="TableNormal"/>
    <w:uiPriority w:val="99"/>
    <w:rsid w:val="00AA6C16"/>
    <w:rPr>
      <w:sz w:val="22"/>
      <w:szCs w:val="22"/>
      <w:lang w:eastAsia="en-US"/>
    </w:rPr>
    <w:tblPr>
      <w:tblStyleRowBandSize w:val="1"/>
      <w:tblStyleColBandSize w:val="1"/>
      <w:tblBorders>
        <w:top w:val="single" w:sz="4" w:space="0" w:color="4BA046" w:themeColor="accent6"/>
        <w:left w:val="single" w:sz="4" w:space="0" w:color="4BA046" w:themeColor="accent6"/>
        <w:bottom w:val="single" w:sz="4" w:space="0" w:color="4BA046" w:themeColor="accent6"/>
        <w:right w:val="single" w:sz="4" w:space="0" w:color="4BA046" w:themeColor="accent6"/>
      </w:tblBorders>
    </w:tblPr>
    <w:tblStylePr w:type="firstRow">
      <w:rPr>
        <w:b/>
        <w:bCs/>
        <w:color w:val="FFFFFF" w:themeColor="background1"/>
      </w:rPr>
      <w:tblPr/>
      <w:tcPr>
        <w:shd w:val="clear" w:color="auto" w:fill="4BA046" w:themeFill="accent6"/>
      </w:tcPr>
    </w:tblStylePr>
    <w:tblStylePr w:type="lastRow">
      <w:rPr>
        <w:b/>
        <w:bCs/>
      </w:rPr>
      <w:tblPr/>
      <w:tcPr>
        <w:tcBorders>
          <w:top w:val="double" w:sz="4" w:space="0" w:color="4BA0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046" w:themeColor="accent6"/>
          <w:right w:val="single" w:sz="4" w:space="0" w:color="4BA046" w:themeColor="accent6"/>
        </w:tcBorders>
      </w:tcPr>
    </w:tblStylePr>
    <w:tblStylePr w:type="band1Horz">
      <w:tblPr/>
      <w:tcPr>
        <w:tcBorders>
          <w:top w:val="single" w:sz="4" w:space="0" w:color="4BA046" w:themeColor="accent6"/>
          <w:bottom w:val="single" w:sz="4" w:space="0" w:color="4BA0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046" w:themeColor="accent6"/>
          <w:left w:val="nil"/>
        </w:tcBorders>
      </w:tcPr>
    </w:tblStylePr>
    <w:tblStylePr w:type="swCell">
      <w:tblPr/>
      <w:tcPr>
        <w:tcBorders>
          <w:top w:val="double" w:sz="4" w:space="0" w:color="4BA046" w:themeColor="accent6"/>
          <w:right w:val="nil"/>
        </w:tcBorders>
      </w:tcPr>
    </w:tblStylePr>
  </w:style>
  <w:style w:type="table" w:styleId="ListTable4">
    <w:name w:val="List Table 4"/>
    <w:basedOn w:val="TableNormal"/>
    <w:uiPriority w:val="99"/>
    <w:rsid w:val="00AA6C16"/>
    <w:rPr>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rsid w:val="00AA6C16"/>
    <w:rPr>
      <w:sz w:val="22"/>
      <w:szCs w:val="22"/>
      <w:lang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99"/>
    <w:rsid w:val="00AA6C16"/>
    <w:rPr>
      <w:sz w:val="22"/>
      <w:szCs w:val="22"/>
      <w:lang w:eastAsia="en-US"/>
    </w:rPr>
    <w:tblPr>
      <w:tblStyleRowBandSize w:val="1"/>
      <w:tblStyleColBandSize w:val="1"/>
      <w:tblBorders>
        <w:top w:val="single" w:sz="4" w:space="0" w:color="B483C9" w:themeColor="accent2" w:themeTint="99"/>
        <w:left w:val="single" w:sz="4" w:space="0" w:color="B483C9" w:themeColor="accent2" w:themeTint="99"/>
        <w:bottom w:val="single" w:sz="4" w:space="0" w:color="B483C9" w:themeColor="accent2" w:themeTint="99"/>
        <w:right w:val="single" w:sz="4" w:space="0" w:color="B483C9" w:themeColor="accent2" w:themeTint="99"/>
        <w:insideH w:val="single" w:sz="4" w:space="0" w:color="B483C9" w:themeColor="accent2" w:themeTint="99"/>
      </w:tblBorders>
    </w:tblPr>
    <w:tblStylePr w:type="firstRow">
      <w:rPr>
        <w:b/>
        <w:bCs/>
        <w:color w:val="FFFFFF" w:themeColor="background1"/>
      </w:rPr>
      <w:tblPr/>
      <w:tcPr>
        <w:tcBorders>
          <w:top w:val="single" w:sz="4" w:space="0" w:color="7D4196" w:themeColor="accent2"/>
          <w:left w:val="single" w:sz="4" w:space="0" w:color="7D4196" w:themeColor="accent2"/>
          <w:bottom w:val="single" w:sz="4" w:space="0" w:color="7D4196" w:themeColor="accent2"/>
          <w:right w:val="single" w:sz="4" w:space="0" w:color="7D4196" w:themeColor="accent2"/>
          <w:insideH w:val="nil"/>
        </w:tcBorders>
        <w:shd w:val="clear" w:color="auto" w:fill="7D4196" w:themeFill="accent2"/>
      </w:tcPr>
    </w:tblStylePr>
    <w:tblStylePr w:type="lastRow">
      <w:rPr>
        <w:b/>
        <w:bCs/>
      </w:rPr>
      <w:tblPr/>
      <w:tcPr>
        <w:tcBorders>
          <w:top w:val="double" w:sz="4" w:space="0" w:color="B483C9" w:themeColor="accent2" w:themeTint="99"/>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4-Accent3">
    <w:name w:val="List Table 4 Accent 3"/>
    <w:basedOn w:val="TableNormal"/>
    <w:uiPriority w:val="99"/>
    <w:rsid w:val="00AA6C16"/>
    <w:rPr>
      <w:sz w:val="22"/>
      <w:szCs w:val="22"/>
      <w:lang w:eastAsia="en-US"/>
    </w:rPr>
    <w:tblPr>
      <w:tblStyleRowBandSize w:val="1"/>
      <w:tblStyleColBandSize w:val="1"/>
      <w:tblBorders>
        <w:top w:val="single" w:sz="4" w:space="0" w:color="339FFF" w:themeColor="accent3" w:themeTint="99"/>
        <w:left w:val="single" w:sz="4" w:space="0" w:color="339FFF" w:themeColor="accent3" w:themeTint="99"/>
        <w:bottom w:val="single" w:sz="4" w:space="0" w:color="339FFF" w:themeColor="accent3" w:themeTint="99"/>
        <w:right w:val="single" w:sz="4" w:space="0" w:color="339FFF" w:themeColor="accent3" w:themeTint="99"/>
        <w:insideH w:val="single" w:sz="4" w:space="0" w:color="339FFF" w:themeColor="accent3" w:themeTint="99"/>
      </w:tblBorders>
    </w:tblPr>
    <w:tblStylePr w:type="firstRow">
      <w:rPr>
        <w:b/>
        <w:bCs/>
        <w:color w:val="FFFFFF" w:themeColor="background1"/>
      </w:rPr>
      <w:tblPr/>
      <w:tcPr>
        <w:tcBorders>
          <w:top w:val="single" w:sz="4" w:space="0" w:color="005AAA" w:themeColor="accent3"/>
          <w:left w:val="single" w:sz="4" w:space="0" w:color="005AAA" w:themeColor="accent3"/>
          <w:bottom w:val="single" w:sz="4" w:space="0" w:color="005AAA" w:themeColor="accent3"/>
          <w:right w:val="single" w:sz="4" w:space="0" w:color="005AAA" w:themeColor="accent3"/>
          <w:insideH w:val="nil"/>
        </w:tcBorders>
        <w:shd w:val="clear" w:color="auto" w:fill="005AAA" w:themeFill="accent3"/>
      </w:tcPr>
    </w:tblStylePr>
    <w:tblStylePr w:type="lastRow">
      <w:rPr>
        <w:b/>
        <w:bCs/>
      </w:rPr>
      <w:tblPr/>
      <w:tcPr>
        <w:tcBorders>
          <w:top w:val="double" w:sz="4" w:space="0" w:color="339FFF" w:themeColor="accent3" w:themeTint="99"/>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4-Accent4">
    <w:name w:val="List Table 4 Accent 4"/>
    <w:basedOn w:val="TableNormal"/>
    <w:uiPriority w:val="99"/>
    <w:rsid w:val="00AA6C16"/>
    <w:rPr>
      <w:sz w:val="22"/>
      <w:szCs w:val="22"/>
      <w:lang w:eastAsia="en-US"/>
    </w:rPr>
    <w:tblPr>
      <w:tblStyleRowBandSize w:val="1"/>
      <w:tblStyleColBandSize w:val="1"/>
      <w:tblBorders>
        <w:top w:val="single" w:sz="4" w:space="0" w:color="76D5D2" w:themeColor="accent4" w:themeTint="99"/>
        <w:left w:val="single" w:sz="4" w:space="0" w:color="76D5D2" w:themeColor="accent4" w:themeTint="99"/>
        <w:bottom w:val="single" w:sz="4" w:space="0" w:color="76D5D2" w:themeColor="accent4" w:themeTint="99"/>
        <w:right w:val="single" w:sz="4" w:space="0" w:color="76D5D2" w:themeColor="accent4" w:themeTint="99"/>
        <w:insideH w:val="single" w:sz="4" w:space="0" w:color="76D5D2" w:themeColor="accent4" w:themeTint="99"/>
      </w:tblBorders>
    </w:tblPr>
    <w:tblStylePr w:type="firstRow">
      <w:rPr>
        <w:b/>
        <w:bCs/>
        <w:color w:val="FFFFFF" w:themeColor="background1"/>
      </w:rPr>
      <w:tblPr/>
      <w:tcPr>
        <w:tcBorders>
          <w:top w:val="single" w:sz="4" w:space="0" w:color="32A4A0" w:themeColor="accent4"/>
          <w:left w:val="single" w:sz="4" w:space="0" w:color="32A4A0" w:themeColor="accent4"/>
          <w:bottom w:val="single" w:sz="4" w:space="0" w:color="32A4A0" w:themeColor="accent4"/>
          <w:right w:val="single" w:sz="4" w:space="0" w:color="32A4A0" w:themeColor="accent4"/>
          <w:insideH w:val="nil"/>
        </w:tcBorders>
        <w:shd w:val="clear" w:color="auto" w:fill="32A4A0" w:themeFill="accent4"/>
      </w:tcPr>
    </w:tblStylePr>
    <w:tblStylePr w:type="lastRow">
      <w:rPr>
        <w:b/>
        <w:bCs/>
      </w:rPr>
      <w:tblPr/>
      <w:tcPr>
        <w:tcBorders>
          <w:top w:val="double" w:sz="4" w:space="0" w:color="76D5D2" w:themeColor="accent4" w:themeTint="99"/>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4-Accent5">
    <w:name w:val="List Table 4 Accent 5"/>
    <w:basedOn w:val="TableNormal"/>
    <w:uiPriority w:val="99"/>
    <w:rsid w:val="00AA6C16"/>
    <w:rPr>
      <w:sz w:val="22"/>
      <w:szCs w:val="22"/>
      <w:lang w:eastAsia="en-US"/>
    </w:rPr>
    <w:tblPr>
      <w:tblStyleRowBandSize w:val="1"/>
      <w:tblStyleColBandSize w:val="1"/>
      <w:tblBorders>
        <w:top w:val="single" w:sz="4" w:space="0" w:color="DE8ABF" w:themeColor="accent5" w:themeTint="99"/>
        <w:left w:val="single" w:sz="4" w:space="0" w:color="DE8ABF" w:themeColor="accent5" w:themeTint="99"/>
        <w:bottom w:val="single" w:sz="4" w:space="0" w:color="DE8ABF" w:themeColor="accent5" w:themeTint="99"/>
        <w:right w:val="single" w:sz="4" w:space="0" w:color="DE8ABF" w:themeColor="accent5" w:themeTint="99"/>
        <w:insideH w:val="single" w:sz="4" w:space="0" w:color="DE8ABF" w:themeColor="accent5" w:themeTint="99"/>
      </w:tblBorders>
    </w:tblPr>
    <w:tblStylePr w:type="firstRow">
      <w:rPr>
        <w:b/>
        <w:bCs/>
        <w:color w:val="FFFFFF" w:themeColor="background1"/>
      </w:rPr>
      <w:tblPr/>
      <w:tcPr>
        <w:tcBorders>
          <w:top w:val="single" w:sz="4" w:space="0" w:color="C83C96" w:themeColor="accent5"/>
          <w:left w:val="single" w:sz="4" w:space="0" w:color="C83C96" w:themeColor="accent5"/>
          <w:bottom w:val="single" w:sz="4" w:space="0" w:color="C83C96" w:themeColor="accent5"/>
          <w:right w:val="single" w:sz="4" w:space="0" w:color="C83C96" w:themeColor="accent5"/>
          <w:insideH w:val="nil"/>
        </w:tcBorders>
        <w:shd w:val="clear" w:color="auto" w:fill="C83C96" w:themeFill="accent5"/>
      </w:tcPr>
    </w:tblStylePr>
    <w:tblStylePr w:type="lastRow">
      <w:rPr>
        <w:b/>
        <w:bCs/>
      </w:rPr>
      <w:tblPr/>
      <w:tcPr>
        <w:tcBorders>
          <w:top w:val="double" w:sz="4" w:space="0" w:color="DE8ABF" w:themeColor="accent5" w:themeTint="99"/>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4-Accent6">
    <w:name w:val="List Table 4 Accent 6"/>
    <w:basedOn w:val="TableNormal"/>
    <w:uiPriority w:val="99"/>
    <w:rsid w:val="00AA6C16"/>
    <w:rPr>
      <w:sz w:val="22"/>
      <w:szCs w:val="22"/>
      <w:lang w:eastAsia="en-US"/>
    </w:rPr>
    <w:tblPr>
      <w:tblStyleRowBandSize w:val="1"/>
      <w:tblStyleColBandSize w:val="1"/>
      <w:tblBorders>
        <w:top w:val="single" w:sz="4" w:space="0" w:color="8DCB8A" w:themeColor="accent6" w:themeTint="99"/>
        <w:left w:val="single" w:sz="4" w:space="0" w:color="8DCB8A" w:themeColor="accent6" w:themeTint="99"/>
        <w:bottom w:val="single" w:sz="4" w:space="0" w:color="8DCB8A" w:themeColor="accent6" w:themeTint="99"/>
        <w:right w:val="single" w:sz="4" w:space="0" w:color="8DCB8A" w:themeColor="accent6" w:themeTint="99"/>
        <w:insideH w:val="single" w:sz="4" w:space="0" w:color="8DCB8A" w:themeColor="accent6" w:themeTint="99"/>
      </w:tblBorders>
    </w:tblPr>
    <w:tblStylePr w:type="firstRow">
      <w:rPr>
        <w:b/>
        <w:bCs/>
        <w:color w:val="FFFFFF" w:themeColor="background1"/>
      </w:rPr>
      <w:tblPr/>
      <w:tcPr>
        <w:tcBorders>
          <w:top w:val="single" w:sz="4" w:space="0" w:color="4BA046" w:themeColor="accent6"/>
          <w:left w:val="single" w:sz="4" w:space="0" w:color="4BA046" w:themeColor="accent6"/>
          <w:bottom w:val="single" w:sz="4" w:space="0" w:color="4BA046" w:themeColor="accent6"/>
          <w:right w:val="single" w:sz="4" w:space="0" w:color="4BA046" w:themeColor="accent6"/>
          <w:insideH w:val="nil"/>
        </w:tcBorders>
        <w:shd w:val="clear" w:color="auto" w:fill="4BA046" w:themeFill="accent6"/>
      </w:tcPr>
    </w:tblStylePr>
    <w:tblStylePr w:type="lastRow">
      <w:rPr>
        <w:b/>
        <w:bCs/>
      </w:rPr>
      <w:tblPr/>
      <w:tcPr>
        <w:tcBorders>
          <w:top w:val="double" w:sz="4" w:space="0" w:color="8DCB8A" w:themeColor="accent6" w:themeTint="99"/>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5Dark">
    <w:name w:val="List Table 5 Dark"/>
    <w:basedOn w:val="TableNormal"/>
    <w:uiPriority w:val="99"/>
    <w:rsid w:val="00AA6C16"/>
    <w:rPr>
      <w:color w:val="FFFFFF" w:themeColor="background1"/>
      <w:sz w:val="22"/>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AA6C16"/>
    <w:rPr>
      <w:color w:val="FFFFFF" w:themeColor="background1"/>
      <w:sz w:val="22"/>
      <w:szCs w:val="22"/>
      <w:lang w:eastAsia="en-US"/>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AA6C16"/>
    <w:rPr>
      <w:color w:val="FFFFFF" w:themeColor="background1"/>
      <w:sz w:val="22"/>
      <w:szCs w:val="22"/>
      <w:lang w:eastAsia="en-US"/>
    </w:rPr>
    <w:tblPr>
      <w:tblStyleRowBandSize w:val="1"/>
      <w:tblStyleColBandSize w:val="1"/>
      <w:tblBorders>
        <w:top w:val="single" w:sz="24" w:space="0" w:color="7D4196" w:themeColor="accent2"/>
        <w:left w:val="single" w:sz="24" w:space="0" w:color="7D4196" w:themeColor="accent2"/>
        <w:bottom w:val="single" w:sz="24" w:space="0" w:color="7D4196" w:themeColor="accent2"/>
        <w:right w:val="single" w:sz="24" w:space="0" w:color="7D4196" w:themeColor="accent2"/>
      </w:tblBorders>
    </w:tblPr>
    <w:tcPr>
      <w:shd w:val="clear" w:color="auto" w:fill="7D419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AA6C16"/>
    <w:rPr>
      <w:color w:val="FFFFFF" w:themeColor="background1"/>
      <w:sz w:val="22"/>
      <w:szCs w:val="22"/>
      <w:lang w:eastAsia="en-US"/>
    </w:rPr>
    <w:tblPr>
      <w:tblStyleRowBandSize w:val="1"/>
      <w:tblStyleColBandSize w:val="1"/>
      <w:tblBorders>
        <w:top w:val="single" w:sz="24" w:space="0" w:color="005AAA" w:themeColor="accent3"/>
        <w:left w:val="single" w:sz="24" w:space="0" w:color="005AAA" w:themeColor="accent3"/>
        <w:bottom w:val="single" w:sz="24" w:space="0" w:color="005AAA" w:themeColor="accent3"/>
        <w:right w:val="single" w:sz="24" w:space="0" w:color="005AAA" w:themeColor="accent3"/>
      </w:tblBorders>
    </w:tblPr>
    <w:tcPr>
      <w:shd w:val="clear" w:color="auto" w:fill="005AA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AA6C16"/>
    <w:rPr>
      <w:color w:val="FFFFFF" w:themeColor="background1"/>
      <w:sz w:val="22"/>
      <w:szCs w:val="22"/>
      <w:lang w:eastAsia="en-US"/>
    </w:rPr>
    <w:tblPr>
      <w:tblStyleRowBandSize w:val="1"/>
      <w:tblStyleColBandSize w:val="1"/>
      <w:tblBorders>
        <w:top w:val="single" w:sz="24" w:space="0" w:color="32A4A0" w:themeColor="accent4"/>
        <w:left w:val="single" w:sz="24" w:space="0" w:color="32A4A0" w:themeColor="accent4"/>
        <w:bottom w:val="single" w:sz="24" w:space="0" w:color="32A4A0" w:themeColor="accent4"/>
        <w:right w:val="single" w:sz="24" w:space="0" w:color="32A4A0" w:themeColor="accent4"/>
      </w:tblBorders>
    </w:tblPr>
    <w:tcPr>
      <w:shd w:val="clear" w:color="auto" w:fill="32A4A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AA6C16"/>
    <w:rPr>
      <w:color w:val="FFFFFF" w:themeColor="background1"/>
      <w:sz w:val="22"/>
      <w:szCs w:val="22"/>
      <w:lang w:eastAsia="en-US"/>
    </w:rPr>
    <w:tblPr>
      <w:tblStyleRowBandSize w:val="1"/>
      <w:tblStyleColBandSize w:val="1"/>
      <w:tblBorders>
        <w:top w:val="single" w:sz="24" w:space="0" w:color="C83C96" w:themeColor="accent5"/>
        <w:left w:val="single" w:sz="24" w:space="0" w:color="C83C96" w:themeColor="accent5"/>
        <w:bottom w:val="single" w:sz="24" w:space="0" w:color="C83C96" w:themeColor="accent5"/>
        <w:right w:val="single" w:sz="24" w:space="0" w:color="C83C96" w:themeColor="accent5"/>
      </w:tblBorders>
    </w:tblPr>
    <w:tcPr>
      <w:shd w:val="clear" w:color="auto" w:fill="C83C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AA6C16"/>
    <w:rPr>
      <w:color w:val="FFFFFF" w:themeColor="background1"/>
      <w:sz w:val="22"/>
      <w:szCs w:val="22"/>
      <w:lang w:eastAsia="en-US"/>
    </w:rPr>
    <w:tblPr>
      <w:tblStyleRowBandSize w:val="1"/>
      <w:tblStyleColBandSize w:val="1"/>
      <w:tblBorders>
        <w:top w:val="single" w:sz="24" w:space="0" w:color="4BA046" w:themeColor="accent6"/>
        <w:left w:val="single" w:sz="24" w:space="0" w:color="4BA046" w:themeColor="accent6"/>
        <w:bottom w:val="single" w:sz="24" w:space="0" w:color="4BA046" w:themeColor="accent6"/>
        <w:right w:val="single" w:sz="24" w:space="0" w:color="4BA046" w:themeColor="accent6"/>
      </w:tblBorders>
    </w:tblPr>
    <w:tcPr>
      <w:shd w:val="clear" w:color="auto" w:fill="4BA0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AA6C16"/>
    <w:rPr>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rsid w:val="00AA6C16"/>
    <w:rPr>
      <w:color w:val="000000" w:themeColor="accent1" w:themeShade="BF"/>
      <w:sz w:val="22"/>
      <w:szCs w:val="22"/>
      <w:lang w:eastAsia="en-US"/>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99"/>
    <w:rsid w:val="00AA6C16"/>
    <w:rPr>
      <w:color w:val="5D3070" w:themeColor="accent2" w:themeShade="BF"/>
      <w:sz w:val="22"/>
      <w:szCs w:val="22"/>
      <w:lang w:eastAsia="en-US"/>
    </w:rPr>
    <w:tblPr>
      <w:tblStyleRowBandSize w:val="1"/>
      <w:tblStyleColBandSize w:val="1"/>
      <w:tblBorders>
        <w:top w:val="single" w:sz="4" w:space="0" w:color="7D4196" w:themeColor="accent2"/>
        <w:bottom w:val="single" w:sz="4" w:space="0" w:color="7D4196" w:themeColor="accent2"/>
      </w:tblBorders>
    </w:tblPr>
    <w:tblStylePr w:type="firstRow">
      <w:rPr>
        <w:b/>
        <w:bCs/>
      </w:rPr>
      <w:tblPr/>
      <w:tcPr>
        <w:tcBorders>
          <w:bottom w:val="single" w:sz="4" w:space="0" w:color="7D4196" w:themeColor="accent2"/>
        </w:tcBorders>
      </w:tcPr>
    </w:tblStylePr>
    <w:tblStylePr w:type="lastRow">
      <w:rPr>
        <w:b/>
        <w:bCs/>
      </w:rPr>
      <w:tblPr/>
      <w:tcPr>
        <w:tcBorders>
          <w:top w:val="double" w:sz="4" w:space="0" w:color="7D4196" w:themeColor="accent2"/>
        </w:tcBorders>
      </w:tcPr>
    </w:tblStylePr>
    <w:tblStylePr w:type="firstCol">
      <w:rPr>
        <w:b/>
        <w:bCs/>
      </w:rPr>
    </w:tblStylePr>
    <w:tblStylePr w:type="lastCol">
      <w:rPr>
        <w:b/>
        <w:bCs/>
      </w:rPr>
    </w:tblStylePr>
    <w:tblStylePr w:type="band1Vert">
      <w:tblPr/>
      <w:tcPr>
        <w:shd w:val="clear" w:color="auto" w:fill="E6D5ED" w:themeFill="accent2" w:themeFillTint="33"/>
      </w:tcPr>
    </w:tblStylePr>
    <w:tblStylePr w:type="band1Horz">
      <w:tblPr/>
      <w:tcPr>
        <w:shd w:val="clear" w:color="auto" w:fill="E6D5ED" w:themeFill="accent2" w:themeFillTint="33"/>
      </w:tcPr>
    </w:tblStylePr>
  </w:style>
  <w:style w:type="table" w:styleId="ListTable6Colorful-Accent3">
    <w:name w:val="List Table 6 Colorful Accent 3"/>
    <w:basedOn w:val="TableNormal"/>
    <w:uiPriority w:val="99"/>
    <w:rsid w:val="00AA6C16"/>
    <w:rPr>
      <w:color w:val="00437F" w:themeColor="accent3" w:themeShade="BF"/>
      <w:sz w:val="22"/>
      <w:szCs w:val="22"/>
      <w:lang w:eastAsia="en-US"/>
    </w:rPr>
    <w:tblPr>
      <w:tblStyleRowBandSize w:val="1"/>
      <w:tblStyleColBandSize w:val="1"/>
      <w:tblBorders>
        <w:top w:val="single" w:sz="4" w:space="0" w:color="005AAA" w:themeColor="accent3"/>
        <w:bottom w:val="single" w:sz="4" w:space="0" w:color="005AAA" w:themeColor="accent3"/>
      </w:tblBorders>
    </w:tblPr>
    <w:tblStylePr w:type="firstRow">
      <w:rPr>
        <w:b/>
        <w:bCs/>
      </w:rPr>
      <w:tblPr/>
      <w:tcPr>
        <w:tcBorders>
          <w:bottom w:val="single" w:sz="4" w:space="0" w:color="005AAA" w:themeColor="accent3"/>
        </w:tcBorders>
      </w:tcPr>
    </w:tblStylePr>
    <w:tblStylePr w:type="lastRow">
      <w:rPr>
        <w:b/>
        <w:bCs/>
      </w:rPr>
      <w:tblPr/>
      <w:tcPr>
        <w:tcBorders>
          <w:top w:val="double" w:sz="4" w:space="0" w:color="005AAA" w:themeColor="accent3"/>
        </w:tcBorders>
      </w:tcPr>
    </w:tblStylePr>
    <w:tblStylePr w:type="firstCol">
      <w:rPr>
        <w:b/>
        <w:bCs/>
      </w:rPr>
    </w:tblStylePr>
    <w:tblStylePr w:type="lastCol">
      <w:rPr>
        <w:b/>
        <w:bCs/>
      </w:rPr>
    </w:tblStylePr>
    <w:tblStylePr w:type="band1Vert">
      <w:tblPr/>
      <w:tcPr>
        <w:shd w:val="clear" w:color="auto" w:fill="BBDFFF" w:themeFill="accent3" w:themeFillTint="33"/>
      </w:tcPr>
    </w:tblStylePr>
    <w:tblStylePr w:type="band1Horz">
      <w:tblPr/>
      <w:tcPr>
        <w:shd w:val="clear" w:color="auto" w:fill="BBDFFF" w:themeFill="accent3" w:themeFillTint="33"/>
      </w:tcPr>
    </w:tblStylePr>
  </w:style>
  <w:style w:type="table" w:styleId="ListTable6Colorful-Accent4">
    <w:name w:val="List Table 6 Colorful Accent 4"/>
    <w:basedOn w:val="TableNormal"/>
    <w:uiPriority w:val="99"/>
    <w:rsid w:val="00AA6C16"/>
    <w:rPr>
      <w:color w:val="257A77" w:themeColor="accent4" w:themeShade="BF"/>
      <w:sz w:val="22"/>
      <w:szCs w:val="22"/>
      <w:lang w:eastAsia="en-US"/>
    </w:rPr>
    <w:tblPr>
      <w:tblStyleRowBandSize w:val="1"/>
      <w:tblStyleColBandSize w:val="1"/>
      <w:tblBorders>
        <w:top w:val="single" w:sz="4" w:space="0" w:color="32A4A0" w:themeColor="accent4"/>
        <w:bottom w:val="single" w:sz="4" w:space="0" w:color="32A4A0" w:themeColor="accent4"/>
      </w:tblBorders>
    </w:tblPr>
    <w:tblStylePr w:type="firstRow">
      <w:rPr>
        <w:b/>
        <w:bCs/>
      </w:rPr>
      <w:tblPr/>
      <w:tcPr>
        <w:tcBorders>
          <w:bottom w:val="single" w:sz="4" w:space="0" w:color="32A4A0" w:themeColor="accent4"/>
        </w:tcBorders>
      </w:tcPr>
    </w:tblStylePr>
    <w:tblStylePr w:type="lastRow">
      <w:rPr>
        <w:b/>
        <w:bCs/>
      </w:rPr>
      <w:tblPr/>
      <w:tcPr>
        <w:tcBorders>
          <w:top w:val="double" w:sz="4" w:space="0" w:color="32A4A0" w:themeColor="accent4"/>
        </w:tcBorders>
      </w:tcPr>
    </w:tblStylePr>
    <w:tblStylePr w:type="firstCol">
      <w:rPr>
        <w:b/>
        <w:bCs/>
      </w:rPr>
    </w:tblStylePr>
    <w:tblStylePr w:type="lastCol">
      <w:rPr>
        <w:b/>
        <w:bCs/>
      </w:rPr>
    </w:tblStylePr>
    <w:tblStylePr w:type="band1Vert">
      <w:tblPr/>
      <w:tcPr>
        <w:shd w:val="clear" w:color="auto" w:fill="D1F1F0" w:themeFill="accent4" w:themeFillTint="33"/>
      </w:tcPr>
    </w:tblStylePr>
    <w:tblStylePr w:type="band1Horz">
      <w:tblPr/>
      <w:tcPr>
        <w:shd w:val="clear" w:color="auto" w:fill="D1F1F0" w:themeFill="accent4" w:themeFillTint="33"/>
      </w:tcPr>
    </w:tblStylePr>
  </w:style>
  <w:style w:type="table" w:styleId="ListTable6Colorful-Accent5">
    <w:name w:val="List Table 6 Colorful Accent 5"/>
    <w:basedOn w:val="TableNormal"/>
    <w:uiPriority w:val="99"/>
    <w:rsid w:val="00AA6C16"/>
    <w:rPr>
      <w:color w:val="972B70" w:themeColor="accent5" w:themeShade="BF"/>
      <w:sz w:val="22"/>
      <w:szCs w:val="22"/>
      <w:lang w:eastAsia="en-US"/>
    </w:rPr>
    <w:tblPr>
      <w:tblStyleRowBandSize w:val="1"/>
      <w:tblStyleColBandSize w:val="1"/>
      <w:tblBorders>
        <w:top w:val="single" w:sz="4" w:space="0" w:color="C83C96" w:themeColor="accent5"/>
        <w:bottom w:val="single" w:sz="4" w:space="0" w:color="C83C96" w:themeColor="accent5"/>
      </w:tblBorders>
    </w:tblPr>
    <w:tblStylePr w:type="firstRow">
      <w:rPr>
        <w:b/>
        <w:bCs/>
      </w:rPr>
      <w:tblPr/>
      <w:tcPr>
        <w:tcBorders>
          <w:bottom w:val="single" w:sz="4" w:space="0" w:color="C83C96" w:themeColor="accent5"/>
        </w:tcBorders>
      </w:tcPr>
    </w:tblStylePr>
    <w:tblStylePr w:type="lastRow">
      <w:rPr>
        <w:b/>
        <w:bCs/>
      </w:rPr>
      <w:tblPr/>
      <w:tcPr>
        <w:tcBorders>
          <w:top w:val="double" w:sz="4" w:space="0" w:color="C83C96" w:themeColor="accent5"/>
        </w:tcBorders>
      </w:tcPr>
    </w:tblStylePr>
    <w:tblStylePr w:type="firstCol">
      <w:rPr>
        <w:b/>
        <w:bCs/>
      </w:rPr>
    </w:tblStylePr>
    <w:tblStylePr w:type="lastCol">
      <w:rPr>
        <w:b/>
        <w:bCs/>
      </w:rPr>
    </w:tblStylePr>
    <w:tblStylePr w:type="band1Vert">
      <w:tblPr/>
      <w:tcPr>
        <w:shd w:val="clear" w:color="auto" w:fill="F4D8E9" w:themeFill="accent5" w:themeFillTint="33"/>
      </w:tcPr>
    </w:tblStylePr>
    <w:tblStylePr w:type="band1Horz">
      <w:tblPr/>
      <w:tcPr>
        <w:shd w:val="clear" w:color="auto" w:fill="F4D8E9" w:themeFill="accent5" w:themeFillTint="33"/>
      </w:tcPr>
    </w:tblStylePr>
  </w:style>
  <w:style w:type="table" w:styleId="ListTable6Colorful-Accent6">
    <w:name w:val="List Table 6 Colorful Accent 6"/>
    <w:basedOn w:val="TableNormal"/>
    <w:uiPriority w:val="99"/>
    <w:rsid w:val="00AA6C16"/>
    <w:rPr>
      <w:color w:val="387734" w:themeColor="accent6" w:themeShade="BF"/>
      <w:sz w:val="22"/>
      <w:szCs w:val="22"/>
      <w:lang w:eastAsia="en-US"/>
    </w:rPr>
    <w:tblPr>
      <w:tblStyleRowBandSize w:val="1"/>
      <w:tblStyleColBandSize w:val="1"/>
      <w:tblBorders>
        <w:top w:val="single" w:sz="4" w:space="0" w:color="4BA046" w:themeColor="accent6"/>
        <w:bottom w:val="single" w:sz="4" w:space="0" w:color="4BA046" w:themeColor="accent6"/>
      </w:tblBorders>
    </w:tblPr>
    <w:tblStylePr w:type="firstRow">
      <w:rPr>
        <w:b/>
        <w:bCs/>
      </w:rPr>
      <w:tblPr/>
      <w:tcPr>
        <w:tcBorders>
          <w:bottom w:val="single" w:sz="4" w:space="0" w:color="4BA046" w:themeColor="accent6"/>
        </w:tcBorders>
      </w:tcPr>
    </w:tblStylePr>
    <w:tblStylePr w:type="lastRow">
      <w:rPr>
        <w:b/>
        <w:bCs/>
      </w:rPr>
      <w:tblPr/>
      <w:tcPr>
        <w:tcBorders>
          <w:top w:val="double" w:sz="4" w:space="0" w:color="4BA046" w:themeColor="accent6"/>
        </w:tcBorders>
      </w:tcPr>
    </w:tblStylePr>
    <w:tblStylePr w:type="firstCol">
      <w:rPr>
        <w:b/>
        <w:bCs/>
      </w:rPr>
    </w:tblStylePr>
    <w:tblStylePr w:type="lastCol">
      <w:rPr>
        <w:b/>
        <w:bCs/>
      </w:rPr>
    </w:tblStylePr>
    <w:tblStylePr w:type="band1Vert">
      <w:tblPr/>
      <w:tcPr>
        <w:shd w:val="clear" w:color="auto" w:fill="D9EED8" w:themeFill="accent6" w:themeFillTint="33"/>
      </w:tcPr>
    </w:tblStylePr>
    <w:tblStylePr w:type="band1Horz">
      <w:tblPr/>
      <w:tcPr>
        <w:shd w:val="clear" w:color="auto" w:fill="D9EED8" w:themeFill="accent6" w:themeFillTint="33"/>
      </w:tcPr>
    </w:tblStylePr>
  </w:style>
  <w:style w:type="table" w:styleId="ListTable7Colorful">
    <w:name w:val="List Table 7 Colorful"/>
    <w:basedOn w:val="TableNormal"/>
    <w:uiPriority w:val="99"/>
    <w:rsid w:val="00AA6C16"/>
    <w:rPr>
      <w:color w:val="000000" w:themeColor="text1"/>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AA6C16"/>
    <w:rPr>
      <w:color w:val="000000" w:themeColor="accent1"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AA6C16"/>
    <w:rPr>
      <w:color w:val="5D3070" w:themeColor="accent2"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419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419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419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4196" w:themeColor="accent2"/>
        </w:tcBorders>
        <w:shd w:val="clear" w:color="auto" w:fill="FFFFFF" w:themeFill="background1"/>
      </w:tcPr>
    </w:tblStylePr>
    <w:tblStylePr w:type="band1Vert">
      <w:tblPr/>
      <w:tcPr>
        <w:shd w:val="clear" w:color="auto" w:fill="E6D5ED" w:themeFill="accent2" w:themeFillTint="33"/>
      </w:tcPr>
    </w:tblStylePr>
    <w:tblStylePr w:type="band1Horz">
      <w:tblPr/>
      <w:tcPr>
        <w:shd w:val="clear" w:color="auto" w:fill="E6D5E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AA6C16"/>
    <w:rPr>
      <w:color w:val="00437F" w:themeColor="accent3"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A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A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A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AA" w:themeColor="accent3"/>
        </w:tcBorders>
        <w:shd w:val="clear" w:color="auto" w:fill="FFFFFF" w:themeFill="background1"/>
      </w:tcPr>
    </w:tblStylePr>
    <w:tblStylePr w:type="band1Vert">
      <w:tblPr/>
      <w:tcPr>
        <w:shd w:val="clear" w:color="auto" w:fill="BBDFFF" w:themeFill="accent3" w:themeFillTint="33"/>
      </w:tcPr>
    </w:tblStylePr>
    <w:tblStylePr w:type="band1Horz">
      <w:tblPr/>
      <w:tcPr>
        <w:shd w:val="clear" w:color="auto" w:fill="BBD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AA6C16"/>
    <w:rPr>
      <w:color w:val="257A77" w:themeColor="accent4"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A4A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A4A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A4A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A4A0" w:themeColor="accent4"/>
        </w:tcBorders>
        <w:shd w:val="clear" w:color="auto" w:fill="FFFFFF" w:themeFill="background1"/>
      </w:tcPr>
    </w:tblStylePr>
    <w:tblStylePr w:type="band1Vert">
      <w:tblPr/>
      <w:tcPr>
        <w:shd w:val="clear" w:color="auto" w:fill="D1F1F0" w:themeFill="accent4" w:themeFillTint="33"/>
      </w:tcPr>
    </w:tblStylePr>
    <w:tblStylePr w:type="band1Horz">
      <w:tblPr/>
      <w:tcPr>
        <w:shd w:val="clear" w:color="auto" w:fill="D1F1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AA6C16"/>
    <w:rPr>
      <w:color w:val="972B70" w:themeColor="accent5"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3C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3C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3C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3C96" w:themeColor="accent5"/>
        </w:tcBorders>
        <w:shd w:val="clear" w:color="auto" w:fill="FFFFFF" w:themeFill="background1"/>
      </w:tcPr>
    </w:tblStylePr>
    <w:tblStylePr w:type="band1Vert">
      <w:tblPr/>
      <w:tcPr>
        <w:shd w:val="clear" w:color="auto" w:fill="F4D8E9" w:themeFill="accent5" w:themeFillTint="33"/>
      </w:tcPr>
    </w:tblStylePr>
    <w:tblStylePr w:type="band1Horz">
      <w:tblPr/>
      <w:tcPr>
        <w:shd w:val="clear" w:color="auto" w:fill="F4D8E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AA6C16"/>
    <w:rPr>
      <w:color w:val="387734"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0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0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0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046" w:themeColor="accent6"/>
        </w:tcBorders>
        <w:shd w:val="clear" w:color="auto" w:fill="FFFFFF" w:themeFill="background1"/>
      </w:tcPr>
    </w:tblStylePr>
    <w:tblStylePr w:type="band1Vert">
      <w:tblPr/>
      <w:tcPr>
        <w:shd w:val="clear" w:color="auto" w:fill="D9EED8" w:themeFill="accent6" w:themeFillTint="33"/>
      </w:tcPr>
    </w:tblStylePr>
    <w:tblStylePr w:type="band1Horz">
      <w:tblPr/>
      <w:tcPr>
        <w:shd w:val="clear" w:color="auto" w:fill="D9EE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AA6C16"/>
    <w:pPr>
      <w:tabs>
        <w:tab w:val="left" w:pos="480"/>
        <w:tab w:val="left" w:pos="960"/>
        <w:tab w:val="left" w:pos="1440"/>
        <w:tab w:val="left" w:pos="1920"/>
        <w:tab w:val="left" w:pos="2400"/>
        <w:tab w:val="left" w:pos="2880"/>
        <w:tab w:val="left" w:pos="3360"/>
        <w:tab w:val="left" w:pos="3840"/>
        <w:tab w:val="left" w:pos="4320"/>
      </w:tabs>
    </w:pPr>
    <w:rPr>
      <w:sz w:val="22"/>
      <w:szCs w:val="22"/>
    </w:rPr>
  </w:style>
  <w:style w:type="character" w:customStyle="1" w:styleId="MacroTextChar">
    <w:name w:val="Macro Text Char"/>
    <w:basedOn w:val="DefaultParagraphFont"/>
    <w:link w:val="MacroText"/>
    <w:uiPriority w:val="99"/>
    <w:semiHidden/>
    <w:rsid w:val="00AA6C16"/>
    <w:rPr>
      <w:sz w:val="22"/>
      <w:szCs w:val="22"/>
      <w:lang w:val="en-GB"/>
    </w:rPr>
  </w:style>
  <w:style w:type="table" w:styleId="MediumGrid1">
    <w:name w:val="Medium Grid 1"/>
    <w:basedOn w:val="TableNormal"/>
    <w:uiPriority w:val="99"/>
    <w:semiHidden/>
    <w:unhideWhenUsed/>
    <w:rsid w:val="00AA6C16"/>
    <w:rPr>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AA6C16"/>
    <w:rPr>
      <w:sz w:val="22"/>
      <w:szCs w:val="22"/>
      <w:lang w:eastAsia="en-US"/>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99"/>
    <w:semiHidden/>
    <w:unhideWhenUsed/>
    <w:rsid w:val="00AA6C16"/>
    <w:rPr>
      <w:sz w:val="22"/>
      <w:szCs w:val="22"/>
      <w:lang w:eastAsia="en-US"/>
    </w:rPr>
    <w:tblPr>
      <w:tblStyleRowBandSize w:val="1"/>
      <w:tblStyleColBandSize w:val="1"/>
      <w:tblBorders>
        <w:top w:val="single" w:sz="8"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single" w:sz="8" w:space="0" w:color="A264BC" w:themeColor="accent2" w:themeTint="BF"/>
        <w:insideV w:val="single" w:sz="8" w:space="0" w:color="A264BC" w:themeColor="accent2" w:themeTint="BF"/>
      </w:tblBorders>
    </w:tblPr>
    <w:tcPr>
      <w:shd w:val="clear" w:color="auto" w:fill="E0CCE9" w:themeFill="accent2" w:themeFillTint="3F"/>
    </w:tcPr>
    <w:tblStylePr w:type="firstRow">
      <w:rPr>
        <w:b/>
        <w:bCs/>
      </w:rPr>
    </w:tblStylePr>
    <w:tblStylePr w:type="lastRow">
      <w:rPr>
        <w:b/>
        <w:bCs/>
      </w:rPr>
      <w:tblPr/>
      <w:tcPr>
        <w:tcBorders>
          <w:top w:val="single" w:sz="18" w:space="0" w:color="A264BC" w:themeColor="accent2" w:themeTint="BF"/>
        </w:tcBorders>
      </w:tcPr>
    </w:tblStylePr>
    <w:tblStylePr w:type="firstCol">
      <w:rPr>
        <w:b/>
        <w:bCs/>
      </w:rPr>
    </w:tblStylePr>
    <w:tblStylePr w:type="lastCol">
      <w:rPr>
        <w:b/>
        <w:bCs/>
      </w:rPr>
    </w:tblStylePr>
    <w:tblStylePr w:type="band1Vert">
      <w:tblPr/>
      <w:tcPr>
        <w:shd w:val="clear" w:color="auto" w:fill="C198D2" w:themeFill="accent2" w:themeFillTint="7F"/>
      </w:tcPr>
    </w:tblStylePr>
    <w:tblStylePr w:type="band1Horz">
      <w:tblPr/>
      <w:tcPr>
        <w:shd w:val="clear" w:color="auto" w:fill="C198D2" w:themeFill="accent2" w:themeFillTint="7F"/>
      </w:tcPr>
    </w:tblStylePr>
  </w:style>
  <w:style w:type="table" w:styleId="MediumGrid1-Accent3">
    <w:name w:val="Medium Grid 1 Accent 3"/>
    <w:basedOn w:val="TableNormal"/>
    <w:uiPriority w:val="99"/>
    <w:semiHidden/>
    <w:unhideWhenUsed/>
    <w:rsid w:val="00AA6C16"/>
    <w:rPr>
      <w:sz w:val="22"/>
      <w:szCs w:val="22"/>
      <w:lang w:eastAsia="en-US"/>
    </w:rPr>
    <w:tblPr>
      <w:tblStyleRowBandSize w:val="1"/>
      <w:tblStyleColBandSize w:val="1"/>
      <w:tblBorders>
        <w:top w:val="single" w:sz="8"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single" w:sz="8" w:space="0" w:color="0087FF" w:themeColor="accent3" w:themeTint="BF"/>
        <w:insideV w:val="single" w:sz="8" w:space="0" w:color="0087FF" w:themeColor="accent3" w:themeTint="BF"/>
      </w:tblBorders>
    </w:tblPr>
    <w:tcPr>
      <w:shd w:val="clear" w:color="auto" w:fill="ABD7FF" w:themeFill="accent3" w:themeFillTint="3F"/>
    </w:tcPr>
    <w:tblStylePr w:type="firstRow">
      <w:rPr>
        <w:b/>
        <w:bCs/>
      </w:rPr>
    </w:tblStylePr>
    <w:tblStylePr w:type="lastRow">
      <w:rPr>
        <w:b/>
        <w:bCs/>
      </w:rPr>
      <w:tblPr/>
      <w:tcPr>
        <w:tcBorders>
          <w:top w:val="single" w:sz="18" w:space="0" w:color="0087FF" w:themeColor="accent3" w:themeTint="BF"/>
        </w:tcBorders>
      </w:tcPr>
    </w:tblStylePr>
    <w:tblStylePr w:type="firstCol">
      <w:rPr>
        <w:b/>
        <w:bCs/>
      </w:rPr>
    </w:tblStylePr>
    <w:tblStylePr w:type="lastCol">
      <w:rPr>
        <w:b/>
        <w:bCs/>
      </w:rPr>
    </w:tblStylePr>
    <w:tblStylePr w:type="band1Vert">
      <w:tblPr/>
      <w:tcPr>
        <w:shd w:val="clear" w:color="auto" w:fill="55AFFF" w:themeFill="accent3" w:themeFillTint="7F"/>
      </w:tcPr>
    </w:tblStylePr>
    <w:tblStylePr w:type="band1Horz">
      <w:tblPr/>
      <w:tcPr>
        <w:shd w:val="clear" w:color="auto" w:fill="55AFFF" w:themeFill="accent3" w:themeFillTint="7F"/>
      </w:tcPr>
    </w:tblStylePr>
  </w:style>
  <w:style w:type="table" w:styleId="MediumGrid1-Accent4">
    <w:name w:val="Medium Grid 1 Accent 4"/>
    <w:basedOn w:val="TableNormal"/>
    <w:uiPriority w:val="99"/>
    <w:semiHidden/>
    <w:unhideWhenUsed/>
    <w:rsid w:val="00AA6C16"/>
    <w:rPr>
      <w:sz w:val="22"/>
      <w:szCs w:val="22"/>
      <w:lang w:eastAsia="en-US"/>
    </w:rPr>
    <w:tblPr>
      <w:tblStyleRowBandSize w:val="1"/>
      <w:tblStyleColBandSize w:val="1"/>
      <w:tblBorders>
        <w:top w:val="single" w:sz="8"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single" w:sz="8" w:space="0" w:color="54CBC6" w:themeColor="accent4" w:themeTint="BF"/>
        <w:insideV w:val="single" w:sz="8" w:space="0" w:color="54CBC6" w:themeColor="accent4" w:themeTint="BF"/>
      </w:tblBorders>
    </w:tblPr>
    <w:tcPr>
      <w:shd w:val="clear" w:color="auto" w:fill="C6EEEC" w:themeFill="accent4" w:themeFillTint="3F"/>
    </w:tcPr>
    <w:tblStylePr w:type="firstRow">
      <w:rPr>
        <w:b/>
        <w:bCs/>
      </w:rPr>
    </w:tblStylePr>
    <w:tblStylePr w:type="lastRow">
      <w:rPr>
        <w:b/>
        <w:bCs/>
      </w:rPr>
      <w:tblPr/>
      <w:tcPr>
        <w:tcBorders>
          <w:top w:val="single" w:sz="18" w:space="0" w:color="54CBC6" w:themeColor="accent4" w:themeTint="BF"/>
        </w:tcBorders>
      </w:tcPr>
    </w:tblStylePr>
    <w:tblStylePr w:type="firstCol">
      <w:rPr>
        <w:b/>
        <w:bCs/>
      </w:rPr>
    </w:tblStylePr>
    <w:tblStylePr w:type="lastCol">
      <w:rPr>
        <w:b/>
        <w:bCs/>
      </w:rPr>
    </w:tblStylePr>
    <w:tblStylePr w:type="band1Vert">
      <w:tblPr/>
      <w:tcPr>
        <w:shd w:val="clear" w:color="auto" w:fill="8DDCD9" w:themeFill="accent4" w:themeFillTint="7F"/>
      </w:tcPr>
    </w:tblStylePr>
    <w:tblStylePr w:type="band1Horz">
      <w:tblPr/>
      <w:tcPr>
        <w:shd w:val="clear" w:color="auto" w:fill="8DDCD9" w:themeFill="accent4" w:themeFillTint="7F"/>
      </w:tcPr>
    </w:tblStylePr>
  </w:style>
  <w:style w:type="table" w:styleId="MediumGrid1-Accent5">
    <w:name w:val="Medium Grid 1 Accent 5"/>
    <w:basedOn w:val="TableNormal"/>
    <w:uiPriority w:val="99"/>
    <w:semiHidden/>
    <w:unhideWhenUsed/>
    <w:rsid w:val="00AA6C16"/>
    <w:rPr>
      <w:sz w:val="22"/>
      <w:szCs w:val="22"/>
      <w:lang w:eastAsia="en-US"/>
    </w:rPr>
    <w:tblPr>
      <w:tblStyleRowBandSize w:val="1"/>
      <w:tblStyleColBandSize w:val="1"/>
      <w:tblBorders>
        <w:top w:val="single" w:sz="8"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single" w:sz="8" w:space="0" w:color="D56CAF" w:themeColor="accent5" w:themeTint="BF"/>
        <w:insideV w:val="single" w:sz="8" w:space="0" w:color="D56CAF" w:themeColor="accent5" w:themeTint="BF"/>
      </w:tblBorders>
    </w:tblPr>
    <w:tcPr>
      <w:shd w:val="clear" w:color="auto" w:fill="F1CEE4" w:themeFill="accent5" w:themeFillTint="3F"/>
    </w:tcPr>
    <w:tblStylePr w:type="firstRow">
      <w:rPr>
        <w:b/>
        <w:bCs/>
      </w:rPr>
    </w:tblStylePr>
    <w:tblStylePr w:type="lastRow">
      <w:rPr>
        <w:b/>
        <w:bCs/>
      </w:rPr>
      <w:tblPr/>
      <w:tcPr>
        <w:tcBorders>
          <w:top w:val="single" w:sz="18" w:space="0" w:color="D56CAF" w:themeColor="accent5" w:themeTint="BF"/>
        </w:tcBorders>
      </w:tcPr>
    </w:tblStylePr>
    <w:tblStylePr w:type="firstCol">
      <w:rPr>
        <w:b/>
        <w:bCs/>
      </w:rPr>
    </w:tblStylePr>
    <w:tblStylePr w:type="lastCol">
      <w:rPr>
        <w:b/>
        <w:bCs/>
      </w:rPr>
    </w:tblStylePr>
    <w:tblStylePr w:type="band1Vert">
      <w:tblPr/>
      <w:tcPr>
        <w:shd w:val="clear" w:color="auto" w:fill="E39DCA" w:themeFill="accent5" w:themeFillTint="7F"/>
      </w:tcPr>
    </w:tblStylePr>
    <w:tblStylePr w:type="band1Horz">
      <w:tblPr/>
      <w:tcPr>
        <w:shd w:val="clear" w:color="auto" w:fill="E39DCA" w:themeFill="accent5" w:themeFillTint="7F"/>
      </w:tcPr>
    </w:tblStylePr>
  </w:style>
  <w:style w:type="table" w:styleId="MediumGrid1-Accent6">
    <w:name w:val="Medium Grid 1 Accent 6"/>
    <w:basedOn w:val="TableNormal"/>
    <w:uiPriority w:val="99"/>
    <w:semiHidden/>
    <w:unhideWhenUsed/>
    <w:rsid w:val="00AA6C16"/>
    <w:rPr>
      <w:sz w:val="22"/>
      <w:szCs w:val="22"/>
      <w:lang w:eastAsia="en-US"/>
    </w:rPr>
    <w:tblPr>
      <w:tblStyleRowBandSize w:val="1"/>
      <w:tblStyleColBandSize w:val="1"/>
      <w:tblBorders>
        <w:top w:val="single" w:sz="8"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single" w:sz="8" w:space="0" w:color="71BF6C" w:themeColor="accent6" w:themeTint="BF"/>
        <w:insideV w:val="single" w:sz="8" w:space="0" w:color="71BF6C" w:themeColor="accent6" w:themeTint="BF"/>
      </w:tblBorders>
    </w:tblPr>
    <w:tcPr>
      <w:shd w:val="clear" w:color="auto" w:fill="D0EACE" w:themeFill="accent6" w:themeFillTint="3F"/>
    </w:tcPr>
    <w:tblStylePr w:type="firstRow">
      <w:rPr>
        <w:b/>
        <w:bCs/>
      </w:rPr>
    </w:tblStylePr>
    <w:tblStylePr w:type="lastRow">
      <w:rPr>
        <w:b/>
        <w:bCs/>
      </w:rPr>
      <w:tblPr/>
      <w:tcPr>
        <w:tcBorders>
          <w:top w:val="single" w:sz="18" w:space="0" w:color="71BF6C" w:themeColor="accent6" w:themeTint="BF"/>
        </w:tcBorders>
      </w:tcPr>
    </w:tblStylePr>
    <w:tblStylePr w:type="firstCol">
      <w:rPr>
        <w:b/>
        <w:bCs/>
      </w:rPr>
    </w:tblStylePr>
    <w:tblStylePr w:type="lastCol">
      <w:rPr>
        <w:b/>
        <w:bCs/>
      </w:rPr>
    </w:tblStylePr>
    <w:tblStylePr w:type="band1Vert">
      <w:tblPr/>
      <w:tcPr>
        <w:shd w:val="clear" w:color="auto" w:fill="A0D49D" w:themeFill="accent6" w:themeFillTint="7F"/>
      </w:tcPr>
    </w:tblStylePr>
    <w:tblStylePr w:type="band1Horz">
      <w:tblPr/>
      <w:tcPr>
        <w:shd w:val="clear" w:color="auto" w:fill="A0D49D" w:themeFill="accent6" w:themeFillTint="7F"/>
      </w:tcPr>
    </w:tblStylePr>
  </w:style>
  <w:style w:type="table" w:styleId="MediumGrid2">
    <w:name w:val="Medium Grid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insideH w:val="single" w:sz="8" w:space="0" w:color="7D4196" w:themeColor="accent2"/>
        <w:insideV w:val="single" w:sz="8" w:space="0" w:color="7D4196" w:themeColor="accent2"/>
      </w:tblBorders>
    </w:tblPr>
    <w:tcPr>
      <w:shd w:val="clear" w:color="auto" w:fill="E0CCE9" w:themeFill="accent2" w:themeFillTint="3F"/>
    </w:tcPr>
    <w:tblStylePr w:type="firstRow">
      <w:rPr>
        <w:b/>
        <w:bCs/>
        <w:color w:val="000000" w:themeColor="text1"/>
      </w:rPr>
      <w:tblPr/>
      <w:tcPr>
        <w:shd w:val="clear" w:color="auto" w:fill="F2EA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D5ED" w:themeFill="accent2" w:themeFillTint="33"/>
      </w:tcPr>
    </w:tblStylePr>
    <w:tblStylePr w:type="band1Vert">
      <w:tblPr/>
      <w:tcPr>
        <w:shd w:val="clear" w:color="auto" w:fill="C198D2" w:themeFill="accent2" w:themeFillTint="7F"/>
      </w:tcPr>
    </w:tblStylePr>
    <w:tblStylePr w:type="band1Horz">
      <w:tblPr/>
      <w:tcPr>
        <w:tcBorders>
          <w:insideH w:val="single" w:sz="6" w:space="0" w:color="7D4196" w:themeColor="accent2"/>
          <w:insideV w:val="single" w:sz="6" w:space="0" w:color="7D4196" w:themeColor="accent2"/>
        </w:tcBorders>
        <w:shd w:val="clear" w:color="auto" w:fill="C198D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insideH w:val="single" w:sz="8" w:space="0" w:color="005AAA" w:themeColor="accent3"/>
        <w:insideV w:val="single" w:sz="8" w:space="0" w:color="005AAA" w:themeColor="accent3"/>
      </w:tblBorders>
    </w:tblPr>
    <w:tcPr>
      <w:shd w:val="clear" w:color="auto" w:fill="ABD7FF" w:themeFill="accent3" w:themeFillTint="3F"/>
    </w:tcPr>
    <w:tblStylePr w:type="firstRow">
      <w:rPr>
        <w:b/>
        <w:bCs/>
        <w:color w:val="000000" w:themeColor="text1"/>
      </w:rPr>
      <w:tblPr/>
      <w:tcPr>
        <w:shd w:val="clear" w:color="auto" w:fill="DDEF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FFF" w:themeFill="accent3" w:themeFillTint="33"/>
      </w:tcPr>
    </w:tblStylePr>
    <w:tblStylePr w:type="band1Vert">
      <w:tblPr/>
      <w:tcPr>
        <w:shd w:val="clear" w:color="auto" w:fill="55AFFF" w:themeFill="accent3" w:themeFillTint="7F"/>
      </w:tcPr>
    </w:tblStylePr>
    <w:tblStylePr w:type="band1Horz">
      <w:tblPr/>
      <w:tcPr>
        <w:tcBorders>
          <w:insideH w:val="single" w:sz="6" w:space="0" w:color="005AAA" w:themeColor="accent3"/>
          <w:insideV w:val="single" w:sz="6" w:space="0" w:color="005AAA" w:themeColor="accent3"/>
        </w:tcBorders>
        <w:shd w:val="clear" w:color="auto" w:fill="55AF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insideH w:val="single" w:sz="8" w:space="0" w:color="32A4A0" w:themeColor="accent4"/>
        <w:insideV w:val="single" w:sz="8" w:space="0" w:color="32A4A0" w:themeColor="accent4"/>
      </w:tblBorders>
    </w:tblPr>
    <w:tcPr>
      <w:shd w:val="clear" w:color="auto" w:fill="C6EEEC" w:themeFill="accent4" w:themeFillTint="3F"/>
    </w:tcPr>
    <w:tblStylePr w:type="firstRow">
      <w:rPr>
        <w:b/>
        <w:bCs/>
        <w:color w:val="000000" w:themeColor="text1"/>
      </w:rPr>
      <w:tblPr/>
      <w:tcPr>
        <w:shd w:val="clear" w:color="auto" w:fill="E8F8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F1F0" w:themeFill="accent4" w:themeFillTint="33"/>
      </w:tcPr>
    </w:tblStylePr>
    <w:tblStylePr w:type="band1Vert">
      <w:tblPr/>
      <w:tcPr>
        <w:shd w:val="clear" w:color="auto" w:fill="8DDCD9" w:themeFill="accent4" w:themeFillTint="7F"/>
      </w:tcPr>
    </w:tblStylePr>
    <w:tblStylePr w:type="band1Horz">
      <w:tblPr/>
      <w:tcPr>
        <w:tcBorders>
          <w:insideH w:val="single" w:sz="6" w:space="0" w:color="32A4A0" w:themeColor="accent4"/>
          <w:insideV w:val="single" w:sz="6" w:space="0" w:color="32A4A0" w:themeColor="accent4"/>
        </w:tcBorders>
        <w:shd w:val="clear" w:color="auto" w:fill="8DDC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insideH w:val="single" w:sz="8" w:space="0" w:color="C83C96" w:themeColor="accent5"/>
        <w:insideV w:val="single" w:sz="8" w:space="0" w:color="C83C96" w:themeColor="accent5"/>
      </w:tblBorders>
    </w:tblPr>
    <w:tcPr>
      <w:shd w:val="clear" w:color="auto" w:fill="F1CEE4" w:themeFill="accent5" w:themeFillTint="3F"/>
    </w:tcPr>
    <w:tblStylePr w:type="firstRow">
      <w:rPr>
        <w:b/>
        <w:bCs/>
        <w:color w:val="000000" w:themeColor="text1"/>
      </w:rPr>
      <w:tblPr/>
      <w:tcPr>
        <w:shd w:val="clear" w:color="auto" w:fill="F9EB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8E9" w:themeFill="accent5" w:themeFillTint="33"/>
      </w:tcPr>
    </w:tblStylePr>
    <w:tblStylePr w:type="band1Vert">
      <w:tblPr/>
      <w:tcPr>
        <w:shd w:val="clear" w:color="auto" w:fill="E39DCA" w:themeFill="accent5" w:themeFillTint="7F"/>
      </w:tcPr>
    </w:tblStylePr>
    <w:tblStylePr w:type="band1Horz">
      <w:tblPr/>
      <w:tcPr>
        <w:tcBorders>
          <w:insideH w:val="single" w:sz="6" w:space="0" w:color="C83C96" w:themeColor="accent5"/>
          <w:insideV w:val="single" w:sz="6" w:space="0" w:color="C83C96" w:themeColor="accent5"/>
        </w:tcBorders>
        <w:shd w:val="clear" w:color="auto" w:fill="E39D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insideH w:val="single" w:sz="8" w:space="0" w:color="4BA046" w:themeColor="accent6"/>
        <w:insideV w:val="single" w:sz="8" w:space="0" w:color="4BA046" w:themeColor="accent6"/>
      </w:tblBorders>
    </w:tblPr>
    <w:tcPr>
      <w:shd w:val="clear" w:color="auto" w:fill="D0EACE" w:themeFill="accent6" w:themeFillTint="3F"/>
    </w:tcPr>
    <w:tblStylePr w:type="firstRow">
      <w:rPr>
        <w:b/>
        <w:bCs/>
        <w:color w:val="000000" w:themeColor="text1"/>
      </w:rPr>
      <w:tblPr/>
      <w:tcPr>
        <w:shd w:val="clear" w:color="auto" w:fill="ECF6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ED8" w:themeFill="accent6" w:themeFillTint="33"/>
      </w:tcPr>
    </w:tblStylePr>
    <w:tblStylePr w:type="band1Vert">
      <w:tblPr/>
      <w:tcPr>
        <w:shd w:val="clear" w:color="auto" w:fill="A0D49D" w:themeFill="accent6" w:themeFillTint="7F"/>
      </w:tcPr>
    </w:tblStylePr>
    <w:tblStylePr w:type="band1Horz">
      <w:tblPr/>
      <w:tcPr>
        <w:tcBorders>
          <w:insideH w:val="single" w:sz="6" w:space="0" w:color="4BA046" w:themeColor="accent6"/>
          <w:insideV w:val="single" w:sz="6" w:space="0" w:color="4BA046" w:themeColor="accent6"/>
        </w:tcBorders>
        <w:shd w:val="clear" w:color="auto" w:fill="A0D49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C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419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419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419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419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98D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98D2" w:themeFill="accent2" w:themeFillTint="7F"/>
      </w:tcPr>
    </w:tblStylePr>
  </w:style>
  <w:style w:type="table" w:styleId="MediumGrid3-Accent3">
    <w:name w:val="Medium Grid 3 Accent 3"/>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A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A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A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A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A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AFFF" w:themeFill="accent3" w:themeFillTint="7F"/>
      </w:tcPr>
    </w:tblStylePr>
  </w:style>
  <w:style w:type="table" w:styleId="MediumGrid3-Accent4">
    <w:name w:val="Medium Grid 3 Accent 4"/>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E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A4A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A4A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A4A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A4A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C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CD9" w:themeFill="accent4" w:themeFillTint="7F"/>
      </w:tcPr>
    </w:tblStylePr>
  </w:style>
  <w:style w:type="table" w:styleId="MediumGrid3-Accent5">
    <w:name w:val="Medium Grid 3 Accent 5"/>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EE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3C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3C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3C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3C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9D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9DCA" w:themeFill="accent5" w:themeFillTint="7F"/>
      </w:tcPr>
    </w:tblStylePr>
  </w:style>
  <w:style w:type="table" w:styleId="MediumGrid3-Accent6">
    <w:name w:val="Medium Grid 3 Accent 6"/>
    <w:basedOn w:val="TableNormal"/>
    <w:uiPriority w:val="99"/>
    <w:semiHidden/>
    <w:unhideWhenUsed/>
    <w:rsid w:val="00AA6C16"/>
    <w:rPr>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A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0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0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0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0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4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49D" w:themeFill="accent6" w:themeFillTint="7F"/>
      </w:tcPr>
    </w:tblStylePr>
  </w:style>
  <w:style w:type="table" w:styleId="MediumList1">
    <w:name w:val="Medium Lis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000000"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7D4196" w:themeColor="accent2"/>
        <w:bottom w:val="single" w:sz="8" w:space="0" w:color="7D4196" w:themeColor="accent2"/>
      </w:tblBorders>
    </w:tblPr>
    <w:tblStylePr w:type="firstRow">
      <w:rPr>
        <w:rFonts w:asciiTheme="majorHAnsi" w:eastAsiaTheme="majorEastAsia" w:hAnsiTheme="majorHAnsi" w:cstheme="majorBidi"/>
      </w:rPr>
      <w:tblPr/>
      <w:tcPr>
        <w:tcBorders>
          <w:top w:val="nil"/>
          <w:bottom w:val="single" w:sz="8" w:space="0" w:color="7D4196" w:themeColor="accent2"/>
        </w:tcBorders>
      </w:tcPr>
    </w:tblStylePr>
    <w:tblStylePr w:type="lastRow">
      <w:rPr>
        <w:b/>
        <w:bCs/>
        <w:color w:val="000000" w:themeColor="text2"/>
      </w:rPr>
      <w:tblPr/>
      <w:tcPr>
        <w:tcBorders>
          <w:top w:val="single" w:sz="8" w:space="0" w:color="7D4196" w:themeColor="accent2"/>
          <w:bottom w:val="single" w:sz="8" w:space="0" w:color="7D4196" w:themeColor="accent2"/>
        </w:tcBorders>
      </w:tcPr>
    </w:tblStylePr>
    <w:tblStylePr w:type="firstCol">
      <w:rPr>
        <w:b/>
        <w:bCs/>
      </w:rPr>
    </w:tblStylePr>
    <w:tblStylePr w:type="lastCol">
      <w:rPr>
        <w:b/>
        <w:bCs/>
      </w:rPr>
      <w:tblPr/>
      <w:tcPr>
        <w:tcBorders>
          <w:top w:val="single" w:sz="8" w:space="0" w:color="7D4196" w:themeColor="accent2"/>
          <w:bottom w:val="single" w:sz="8" w:space="0" w:color="7D4196" w:themeColor="accent2"/>
        </w:tcBorders>
      </w:tcPr>
    </w:tblStylePr>
    <w:tblStylePr w:type="band1Vert">
      <w:tblPr/>
      <w:tcPr>
        <w:shd w:val="clear" w:color="auto" w:fill="E0CCE9" w:themeFill="accent2" w:themeFillTint="3F"/>
      </w:tcPr>
    </w:tblStylePr>
    <w:tblStylePr w:type="band1Horz">
      <w:tblPr/>
      <w:tcPr>
        <w:shd w:val="clear" w:color="auto" w:fill="E0CCE9" w:themeFill="accent2" w:themeFillTint="3F"/>
      </w:tcPr>
    </w:tblStylePr>
  </w:style>
  <w:style w:type="table" w:styleId="MediumList1-Accent3">
    <w:name w:val="Medium List 1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5AAA" w:themeColor="accent3"/>
        <w:bottom w:val="single" w:sz="8" w:space="0" w:color="005AAA" w:themeColor="accent3"/>
      </w:tblBorders>
    </w:tblPr>
    <w:tblStylePr w:type="firstRow">
      <w:rPr>
        <w:rFonts w:asciiTheme="majorHAnsi" w:eastAsiaTheme="majorEastAsia" w:hAnsiTheme="majorHAnsi" w:cstheme="majorBidi"/>
      </w:rPr>
      <w:tblPr/>
      <w:tcPr>
        <w:tcBorders>
          <w:top w:val="nil"/>
          <w:bottom w:val="single" w:sz="8" w:space="0" w:color="005AAA" w:themeColor="accent3"/>
        </w:tcBorders>
      </w:tcPr>
    </w:tblStylePr>
    <w:tblStylePr w:type="lastRow">
      <w:rPr>
        <w:b/>
        <w:bCs/>
        <w:color w:val="000000" w:themeColor="text2"/>
      </w:rPr>
      <w:tblPr/>
      <w:tcPr>
        <w:tcBorders>
          <w:top w:val="single" w:sz="8" w:space="0" w:color="005AAA" w:themeColor="accent3"/>
          <w:bottom w:val="single" w:sz="8" w:space="0" w:color="005AAA" w:themeColor="accent3"/>
        </w:tcBorders>
      </w:tcPr>
    </w:tblStylePr>
    <w:tblStylePr w:type="firstCol">
      <w:rPr>
        <w:b/>
        <w:bCs/>
      </w:rPr>
    </w:tblStylePr>
    <w:tblStylePr w:type="lastCol">
      <w:rPr>
        <w:b/>
        <w:bCs/>
      </w:rPr>
      <w:tblPr/>
      <w:tcPr>
        <w:tcBorders>
          <w:top w:val="single" w:sz="8" w:space="0" w:color="005AAA" w:themeColor="accent3"/>
          <w:bottom w:val="single" w:sz="8" w:space="0" w:color="005AAA" w:themeColor="accent3"/>
        </w:tcBorders>
      </w:tcPr>
    </w:tblStylePr>
    <w:tblStylePr w:type="band1Vert">
      <w:tblPr/>
      <w:tcPr>
        <w:shd w:val="clear" w:color="auto" w:fill="ABD7FF" w:themeFill="accent3" w:themeFillTint="3F"/>
      </w:tcPr>
    </w:tblStylePr>
    <w:tblStylePr w:type="band1Horz">
      <w:tblPr/>
      <w:tcPr>
        <w:shd w:val="clear" w:color="auto" w:fill="ABD7FF" w:themeFill="accent3" w:themeFillTint="3F"/>
      </w:tcPr>
    </w:tblStylePr>
  </w:style>
  <w:style w:type="table" w:styleId="MediumList1-Accent4">
    <w:name w:val="Medium List 1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32A4A0" w:themeColor="accent4"/>
        <w:bottom w:val="single" w:sz="8" w:space="0" w:color="32A4A0" w:themeColor="accent4"/>
      </w:tblBorders>
    </w:tblPr>
    <w:tblStylePr w:type="firstRow">
      <w:rPr>
        <w:rFonts w:asciiTheme="majorHAnsi" w:eastAsiaTheme="majorEastAsia" w:hAnsiTheme="majorHAnsi" w:cstheme="majorBidi"/>
      </w:rPr>
      <w:tblPr/>
      <w:tcPr>
        <w:tcBorders>
          <w:top w:val="nil"/>
          <w:bottom w:val="single" w:sz="8" w:space="0" w:color="32A4A0" w:themeColor="accent4"/>
        </w:tcBorders>
      </w:tcPr>
    </w:tblStylePr>
    <w:tblStylePr w:type="lastRow">
      <w:rPr>
        <w:b/>
        <w:bCs/>
        <w:color w:val="000000" w:themeColor="text2"/>
      </w:rPr>
      <w:tblPr/>
      <w:tcPr>
        <w:tcBorders>
          <w:top w:val="single" w:sz="8" w:space="0" w:color="32A4A0" w:themeColor="accent4"/>
          <w:bottom w:val="single" w:sz="8" w:space="0" w:color="32A4A0" w:themeColor="accent4"/>
        </w:tcBorders>
      </w:tcPr>
    </w:tblStylePr>
    <w:tblStylePr w:type="firstCol">
      <w:rPr>
        <w:b/>
        <w:bCs/>
      </w:rPr>
    </w:tblStylePr>
    <w:tblStylePr w:type="lastCol">
      <w:rPr>
        <w:b/>
        <w:bCs/>
      </w:rPr>
      <w:tblPr/>
      <w:tcPr>
        <w:tcBorders>
          <w:top w:val="single" w:sz="8" w:space="0" w:color="32A4A0" w:themeColor="accent4"/>
          <w:bottom w:val="single" w:sz="8" w:space="0" w:color="32A4A0" w:themeColor="accent4"/>
        </w:tcBorders>
      </w:tcPr>
    </w:tblStylePr>
    <w:tblStylePr w:type="band1Vert">
      <w:tblPr/>
      <w:tcPr>
        <w:shd w:val="clear" w:color="auto" w:fill="C6EEEC" w:themeFill="accent4" w:themeFillTint="3F"/>
      </w:tcPr>
    </w:tblStylePr>
    <w:tblStylePr w:type="band1Horz">
      <w:tblPr/>
      <w:tcPr>
        <w:shd w:val="clear" w:color="auto" w:fill="C6EEEC" w:themeFill="accent4" w:themeFillTint="3F"/>
      </w:tcPr>
    </w:tblStylePr>
  </w:style>
  <w:style w:type="table" w:styleId="MediumList1-Accent5">
    <w:name w:val="Medium List 1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C83C96" w:themeColor="accent5"/>
        <w:bottom w:val="single" w:sz="8" w:space="0" w:color="C83C96" w:themeColor="accent5"/>
      </w:tblBorders>
    </w:tblPr>
    <w:tblStylePr w:type="firstRow">
      <w:rPr>
        <w:rFonts w:asciiTheme="majorHAnsi" w:eastAsiaTheme="majorEastAsia" w:hAnsiTheme="majorHAnsi" w:cstheme="majorBidi"/>
      </w:rPr>
      <w:tblPr/>
      <w:tcPr>
        <w:tcBorders>
          <w:top w:val="nil"/>
          <w:bottom w:val="single" w:sz="8" w:space="0" w:color="C83C96" w:themeColor="accent5"/>
        </w:tcBorders>
      </w:tcPr>
    </w:tblStylePr>
    <w:tblStylePr w:type="lastRow">
      <w:rPr>
        <w:b/>
        <w:bCs/>
        <w:color w:val="000000" w:themeColor="text2"/>
      </w:rPr>
      <w:tblPr/>
      <w:tcPr>
        <w:tcBorders>
          <w:top w:val="single" w:sz="8" w:space="0" w:color="C83C96" w:themeColor="accent5"/>
          <w:bottom w:val="single" w:sz="8" w:space="0" w:color="C83C96" w:themeColor="accent5"/>
        </w:tcBorders>
      </w:tcPr>
    </w:tblStylePr>
    <w:tblStylePr w:type="firstCol">
      <w:rPr>
        <w:b/>
        <w:bCs/>
      </w:rPr>
    </w:tblStylePr>
    <w:tblStylePr w:type="lastCol">
      <w:rPr>
        <w:b/>
        <w:bCs/>
      </w:rPr>
      <w:tblPr/>
      <w:tcPr>
        <w:tcBorders>
          <w:top w:val="single" w:sz="8" w:space="0" w:color="C83C96" w:themeColor="accent5"/>
          <w:bottom w:val="single" w:sz="8" w:space="0" w:color="C83C96" w:themeColor="accent5"/>
        </w:tcBorders>
      </w:tcPr>
    </w:tblStylePr>
    <w:tblStylePr w:type="band1Vert">
      <w:tblPr/>
      <w:tcPr>
        <w:shd w:val="clear" w:color="auto" w:fill="F1CEE4" w:themeFill="accent5" w:themeFillTint="3F"/>
      </w:tcPr>
    </w:tblStylePr>
    <w:tblStylePr w:type="band1Horz">
      <w:tblPr/>
      <w:tcPr>
        <w:shd w:val="clear" w:color="auto" w:fill="F1CEE4" w:themeFill="accent5" w:themeFillTint="3F"/>
      </w:tcPr>
    </w:tblStylePr>
  </w:style>
  <w:style w:type="table" w:styleId="MediumList1-Accent6">
    <w:name w:val="Medium List 1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4BA046" w:themeColor="accent6"/>
        <w:bottom w:val="single" w:sz="8" w:space="0" w:color="4BA046" w:themeColor="accent6"/>
      </w:tblBorders>
    </w:tblPr>
    <w:tblStylePr w:type="firstRow">
      <w:rPr>
        <w:rFonts w:asciiTheme="majorHAnsi" w:eastAsiaTheme="majorEastAsia" w:hAnsiTheme="majorHAnsi" w:cstheme="majorBidi"/>
      </w:rPr>
      <w:tblPr/>
      <w:tcPr>
        <w:tcBorders>
          <w:top w:val="nil"/>
          <w:bottom w:val="single" w:sz="8" w:space="0" w:color="4BA046" w:themeColor="accent6"/>
        </w:tcBorders>
      </w:tcPr>
    </w:tblStylePr>
    <w:tblStylePr w:type="lastRow">
      <w:rPr>
        <w:b/>
        <w:bCs/>
        <w:color w:val="000000" w:themeColor="text2"/>
      </w:rPr>
      <w:tblPr/>
      <w:tcPr>
        <w:tcBorders>
          <w:top w:val="single" w:sz="8" w:space="0" w:color="4BA046" w:themeColor="accent6"/>
          <w:bottom w:val="single" w:sz="8" w:space="0" w:color="4BA046" w:themeColor="accent6"/>
        </w:tcBorders>
      </w:tcPr>
    </w:tblStylePr>
    <w:tblStylePr w:type="firstCol">
      <w:rPr>
        <w:b/>
        <w:bCs/>
      </w:rPr>
    </w:tblStylePr>
    <w:tblStylePr w:type="lastCol">
      <w:rPr>
        <w:b/>
        <w:bCs/>
      </w:rPr>
      <w:tblPr/>
      <w:tcPr>
        <w:tcBorders>
          <w:top w:val="single" w:sz="8" w:space="0" w:color="4BA046" w:themeColor="accent6"/>
          <w:bottom w:val="single" w:sz="8" w:space="0" w:color="4BA046" w:themeColor="accent6"/>
        </w:tcBorders>
      </w:tcPr>
    </w:tblStylePr>
    <w:tblStylePr w:type="band1Vert">
      <w:tblPr/>
      <w:tcPr>
        <w:shd w:val="clear" w:color="auto" w:fill="D0EACE" w:themeFill="accent6" w:themeFillTint="3F"/>
      </w:tcPr>
    </w:tblStylePr>
    <w:tblStylePr w:type="band1Horz">
      <w:tblPr/>
      <w:tcPr>
        <w:shd w:val="clear" w:color="auto" w:fill="D0EACE" w:themeFill="accent6" w:themeFillTint="3F"/>
      </w:tcPr>
    </w:tblStylePr>
  </w:style>
  <w:style w:type="table" w:styleId="MediumList2">
    <w:name w:val="Medium Lis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7D4196" w:themeColor="accent2"/>
        <w:left w:val="single" w:sz="8" w:space="0" w:color="7D4196" w:themeColor="accent2"/>
        <w:bottom w:val="single" w:sz="8" w:space="0" w:color="7D4196" w:themeColor="accent2"/>
        <w:right w:val="single" w:sz="8" w:space="0" w:color="7D4196" w:themeColor="accent2"/>
      </w:tblBorders>
    </w:tblPr>
    <w:tblStylePr w:type="firstRow">
      <w:rPr>
        <w:sz w:val="24"/>
        <w:szCs w:val="24"/>
      </w:rPr>
      <w:tblPr/>
      <w:tcPr>
        <w:tcBorders>
          <w:top w:val="nil"/>
          <w:left w:val="nil"/>
          <w:bottom w:val="single" w:sz="24" w:space="0" w:color="7D4196" w:themeColor="accent2"/>
          <w:right w:val="nil"/>
          <w:insideH w:val="nil"/>
          <w:insideV w:val="nil"/>
        </w:tcBorders>
        <w:shd w:val="clear" w:color="auto" w:fill="FFFFFF" w:themeFill="background1"/>
      </w:tcPr>
    </w:tblStylePr>
    <w:tblStylePr w:type="lastRow">
      <w:tblPr/>
      <w:tcPr>
        <w:tcBorders>
          <w:top w:val="single" w:sz="8" w:space="0" w:color="7D419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4196" w:themeColor="accent2"/>
          <w:insideH w:val="nil"/>
          <w:insideV w:val="nil"/>
        </w:tcBorders>
        <w:shd w:val="clear" w:color="auto" w:fill="FFFFFF" w:themeFill="background1"/>
      </w:tcPr>
    </w:tblStylePr>
    <w:tblStylePr w:type="lastCol">
      <w:tblPr/>
      <w:tcPr>
        <w:tcBorders>
          <w:top w:val="nil"/>
          <w:left w:val="single" w:sz="8" w:space="0" w:color="7D419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CE9" w:themeFill="accent2" w:themeFillTint="3F"/>
      </w:tcPr>
    </w:tblStylePr>
    <w:tblStylePr w:type="band1Horz">
      <w:tblPr/>
      <w:tcPr>
        <w:tcBorders>
          <w:top w:val="nil"/>
          <w:bottom w:val="nil"/>
          <w:insideH w:val="nil"/>
          <w:insideV w:val="nil"/>
        </w:tcBorders>
        <w:shd w:val="clear" w:color="auto" w:fill="E0CC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005AAA" w:themeColor="accent3"/>
        <w:left w:val="single" w:sz="8" w:space="0" w:color="005AAA" w:themeColor="accent3"/>
        <w:bottom w:val="single" w:sz="8" w:space="0" w:color="005AAA" w:themeColor="accent3"/>
        <w:right w:val="single" w:sz="8" w:space="0" w:color="005AAA" w:themeColor="accent3"/>
      </w:tblBorders>
    </w:tblPr>
    <w:tblStylePr w:type="firstRow">
      <w:rPr>
        <w:sz w:val="24"/>
        <w:szCs w:val="24"/>
      </w:rPr>
      <w:tblPr/>
      <w:tcPr>
        <w:tcBorders>
          <w:top w:val="nil"/>
          <w:left w:val="nil"/>
          <w:bottom w:val="single" w:sz="24" w:space="0" w:color="005AAA" w:themeColor="accent3"/>
          <w:right w:val="nil"/>
          <w:insideH w:val="nil"/>
          <w:insideV w:val="nil"/>
        </w:tcBorders>
        <w:shd w:val="clear" w:color="auto" w:fill="FFFFFF" w:themeFill="background1"/>
      </w:tcPr>
    </w:tblStylePr>
    <w:tblStylePr w:type="lastRow">
      <w:tblPr/>
      <w:tcPr>
        <w:tcBorders>
          <w:top w:val="single" w:sz="8" w:space="0" w:color="005AA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AA" w:themeColor="accent3"/>
          <w:insideH w:val="nil"/>
          <w:insideV w:val="nil"/>
        </w:tcBorders>
        <w:shd w:val="clear" w:color="auto" w:fill="FFFFFF" w:themeFill="background1"/>
      </w:tcPr>
    </w:tblStylePr>
    <w:tblStylePr w:type="lastCol">
      <w:tblPr/>
      <w:tcPr>
        <w:tcBorders>
          <w:top w:val="nil"/>
          <w:left w:val="single" w:sz="8" w:space="0" w:color="005AA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7FF" w:themeFill="accent3" w:themeFillTint="3F"/>
      </w:tcPr>
    </w:tblStylePr>
    <w:tblStylePr w:type="band1Horz">
      <w:tblPr/>
      <w:tcPr>
        <w:tcBorders>
          <w:top w:val="nil"/>
          <w:bottom w:val="nil"/>
          <w:insideH w:val="nil"/>
          <w:insideV w:val="nil"/>
        </w:tcBorders>
        <w:shd w:val="clear" w:color="auto" w:fill="ABD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32A4A0" w:themeColor="accent4"/>
        <w:left w:val="single" w:sz="8" w:space="0" w:color="32A4A0" w:themeColor="accent4"/>
        <w:bottom w:val="single" w:sz="8" w:space="0" w:color="32A4A0" w:themeColor="accent4"/>
        <w:right w:val="single" w:sz="8" w:space="0" w:color="32A4A0" w:themeColor="accent4"/>
      </w:tblBorders>
    </w:tblPr>
    <w:tblStylePr w:type="firstRow">
      <w:rPr>
        <w:sz w:val="24"/>
        <w:szCs w:val="24"/>
      </w:rPr>
      <w:tblPr/>
      <w:tcPr>
        <w:tcBorders>
          <w:top w:val="nil"/>
          <w:left w:val="nil"/>
          <w:bottom w:val="single" w:sz="24" w:space="0" w:color="32A4A0" w:themeColor="accent4"/>
          <w:right w:val="nil"/>
          <w:insideH w:val="nil"/>
          <w:insideV w:val="nil"/>
        </w:tcBorders>
        <w:shd w:val="clear" w:color="auto" w:fill="FFFFFF" w:themeFill="background1"/>
      </w:tcPr>
    </w:tblStylePr>
    <w:tblStylePr w:type="lastRow">
      <w:tblPr/>
      <w:tcPr>
        <w:tcBorders>
          <w:top w:val="single" w:sz="8" w:space="0" w:color="32A4A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A4A0" w:themeColor="accent4"/>
          <w:insideH w:val="nil"/>
          <w:insideV w:val="nil"/>
        </w:tcBorders>
        <w:shd w:val="clear" w:color="auto" w:fill="FFFFFF" w:themeFill="background1"/>
      </w:tcPr>
    </w:tblStylePr>
    <w:tblStylePr w:type="lastCol">
      <w:tblPr/>
      <w:tcPr>
        <w:tcBorders>
          <w:top w:val="nil"/>
          <w:left w:val="single" w:sz="8" w:space="0" w:color="32A4A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EEC" w:themeFill="accent4" w:themeFillTint="3F"/>
      </w:tcPr>
    </w:tblStylePr>
    <w:tblStylePr w:type="band1Horz">
      <w:tblPr/>
      <w:tcPr>
        <w:tcBorders>
          <w:top w:val="nil"/>
          <w:bottom w:val="nil"/>
          <w:insideH w:val="nil"/>
          <w:insideV w:val="nil"/>
        </w:tcBorders>
        <w:shd w:val="clear" w:color="auto" w:fill="C6EE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C83C96" w:themeColor="accent5"/>
        <w:left w:val="single" w:sz="8" w:space="0" w:color="C83C96" w:themeColor="accent5"/>
        <w:bottom w:val="single" w:sz="8" w:space="0" w:color="C83C96" w:themeColor="accent5"/>
        <w:right w:val="single" w:sz="8" w:space="0" w:color="C83C96" w:themeColor="accent5"/>
      </w:tblBorders>
    </w:tblPr>
    <w:tblStylePr w:type="firstRow">
      <w:rPr>
        <w:sz w:val="24"/>
        <w:szCs w:val="24"/>
      </w:rPr>
      <w:tblPr/>
      <w:tcPr>
        <w:tcBorders>
          <w:top w:val="nil"/>
          <w:left w:val="nil"/>
          <w:bottom w:val="single" w:sz="24" w:space="0" w:color="C83C96" w:themeColor="accent5"/>
          <w:right w:val="nil"/>
          <w:insideH w:val="nil"/>
          <w:insideV w:val="nil"/>
        </w:tcBorders>
        <w:shd w:val="clear" w:color="auto" w:fill="FFFFFF" w:themeFill="background1"/>
      </w:tcPr>
    </w:tblStylePr>
    <w:tblStylePr w:type="lastRow">
      <w:tblPr/>
      <w:tcPr>
        <w:tcBorders>
          <w:top w:val="single" w:sz="8" w:space="0" w:color="C83C9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3C96" w:themeColor="accent5"/>
          <w:insideH w:val="nil"/>
          <w:insideV w:val="nil"/>
        </w:tcBorders>
        <w:shd w:val="clear" w:color="auto" w:fill="FFFFFF" w:themeFill="background1"/>
      </w:tcPr>
    </w:tblStylePr>
    <w:tblStylePr w:type="lastCol">
      <w:tblPr/>
      <w:tcPr>
        <w:tcBorders>
          <w:top w:val="nil"/>
          <w:left w:val="single" w:sz="8" w:space="0" w:color="C83C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EE4" w:themeFill="accent5" w:themeFillTint="3F"/>
      </w:tcPr>
    </w:tblStylePr>
    <w:tblStylePr w:type="band1Horz">
      <w:tblPr/>
      <w:tcPr>
        <w:tcBorders>
          <w:top w:val="nil"/>
          <w:bottom w:val="nil"/>
          <w:insideH w:val="nil"/>
          <w:insideV w:val="nil"/>
        </w:tcBorders>
        <w:shd w:val="clear" w:color="auto" w:fill="F1CEE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AA6C16"/>
    <w:rPr>
      <w:color w:val="000000" w:themeColor="text1"/>
      <w:sz w:val="22"/>
      <w:szCs w:val="22"/>
      <w:lang w:eastAsia="en-US"/>
    </w:rPr>
    <w:tblPr>
      <w:tblStyleRowBandSize w:val="1"/>
      <w:tblStyleColBandSize w:val="1"/>
      <w:tblBorders>
        <w:top w:val="single" w:sz="8" w:space="0" w:color="4BA046" w:themeColor="accent6"/>
        <w:left w:val="single" w:sz="8" w:space="0" w:color="4BA046" w:themeColor="accent6"/>
        <w:bottom w:val="single" w:sz="8" w:space="0" w:color="4BA046" w:themeColor="accent6"/>
        <w:right w:val="single" w:sz="8" w:space="0" w:color="4BA046" w:themeColor="accent6"/>
      </w:tblBorders>
    </w:tblPr>
    <w:tblStylePr w:type="firstRow">
      <w:rPr>
        <w:sz w:val="24"/>
        <w:szCs w:val="24"/>
      </w:rPr>
      <w:tblPr/>
      <w:tcPr>
        <w:tcBorders>
          <w:top w:val="nil"/>
          <w:left w:val="nil"/>
          <w:bottom w:val="single" w:sz="24" w:space="0" w:color="4BA046" w:themeColor="accent6"/>
          <w:right w:val="nil"/>
          <w:insideH w:val="nil"/>
          <w:insideV w:val="nil"/>
        </w:tcBorders>
        <w:shd w:val="clear" w:color="auto" w:fill="FFFFFF" w:themeFill="background1"/>
      </w:tcPr>
    </w:tblStylePr>
    <w:tblStylePr w:type="lastRow">
      <w:tblPr/>
      <w:tcPr>
        <w:tcBorders>
          <w:top w:val="single" w:sz="8" w:space="0" w:color="4BA0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046" w:themeColor="accent6"/>
          <w:insideH w:val="nil"/>
          <w:insideV w:val="nil"/>
        </w:tcBorders>
        <w:shd w:val="clear" w:color="auto" w:fill="FFFFFF" w:themeFill="background1"/>
      </w:tcPr>
    </w:tblStylePr>
    <w:tblStylePr w:type="lastCol">
      <w:tblPr/>
      <w:tcPr>
        <w:tcBorders>
          <w:top w:val="nil"/>
          <w:left w:val="single" w:sz="8" w:space="0" w:color="4BA0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ACE" w:themeFill="accent6" w:themeFillTint="3F"/>
      </w:tcPr>
    </w:tblStylePr>
    <w:tblStylePr w:type="band1Horz">
      <w:tblPr/>
      <w:tcPr>
        <w:tcBorders>
          <w:top w:val="nil"/>
          <w:bottom w:val="nil"/>
          <w:insideH w:val="nil"/>
          <w:insideV w:val="nil"/>
        </w:tcBorders>
        <w:shd w:val="clear" w:color="auto" w:fill="D0EA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AA6C16"/>
    <w:rPr>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AA6C16"/>
    <w:rPr>
      <w:sz w:val="22"/>
      <w:szCs w:val="22"/>
      <w:lang w:eastAsia="en-US"/>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AA6C16"/>
    <w:rPr>
      <w:sz w:val="22"/>
      <w:szCs w:val="22"/>
      <w:lang w:eastAsia="en-US"/>
    </w:rPr>
    <w:tblPr>
      <w:tblStyleRowBandSize w:val="1"/>
      <w:tblStyleColBandSize w:val="1"/>
      <w:tblBorders>
        <w:top w:val="single" w:sz="8"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single" w:sz="8" w:space="0" w:color="A264BC" w:themeColor="accent2" w:themeTint="BF"/>
      </w:tblBorders>
    </w:tblPr>
    <w:tblStylePr w:type="firstRow">
      <w:pPr>
        <w:spacing w:before="0" w:after="0" w:line="240" w:lineRule="auto"/>
      </w:pPr>
      <w:rPr>
        <w:b/>
        <w:bCs/>
        <w:color w:val="FFFFFF" w:themeColor="background1"/>
      </w:rPr>
      <w:tblPr/>
      <w:tcPr>
        <w:tcBorders>
          <w:top w:val="single" w:sz="8"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nil"/>
          <w:insideV w:val="nil"/>
        </w:tcBorders>
        <w:shd w:val="clear" w:color="auto" w:fill="7D4196" w:themeFill="accent2"/>
      </w:tcPr>
    </w:tblStylePr>
    <w:tblStylePr w:type="lastRow">
      <w:pPr>
        <w:spacing w:before="0" w:after="0" w:line="240" w:lineRule="auto"/>
      </w:pPr>
      <w:rPr>
        <w:b/>
        <w:bCs/>
      </w:rPr>
      <w:tblPr/>
      <w:tcPr>
        <w:tcBorders>
          <w:top w:val="double" w:sz="6" w:space="0" w:color="A264BC" w:themeColor="accent2" w:themeTint="BF"/>
          <w:left w:val="single" w:sz="8" w:space="0" w:color="A264BC" w:themeColor="accent2" w:themeTint="BF"/>
          <w:bottom w:val="single" w:sz="8" w:space="0" w:color="A264BC" w:themeColor="accent2" w:themeTint="BF"/>
          <w:right w:val="single" w:sz="8" w:space="0" w:color="A264B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CCE9" w:themeFill="accent2" w:themeFillTint="3F"/>
      </w:tcPr>
    </w:tblStylePr>
    <w:tblStylePr w:type="band1Horz">
      <w:tblPr/>
      <w:tcPr>
        <w:tcBorders>
          <w:insideH w:val="nil"/>
          <w:insideV w:val="nil"/>
        </w:tcBorders>
        <w:shd w:val="clear" w:color="auto" w:fill="E0CCE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AA6C16"/>
    <w:rPr>
      <w:sz w:val="22"/>
      <w:szCs w:val="22"/>
      <w:lang w:eastAsia="en-US"/>
    </w:rPr>
    <w:tblPr>
      <w:tblStyleRowBandSize w:val="1"/>
      <w:tblStyleColBandSize w:val="1"/>
      <w:tblBorders>
        <w:top w:val="single" w:sz="8"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single" w:sz="8" w:space="0" w:color="0087FF" w:themeColor="accent3" w:themeTint="BF"/>
      </w:tblBorders>
    </w:tblPr>
    <w:tblStylePr w:type="firstRow">
      <w:pPr>
        <w:spacing w:before="0" w:after="0" w:line="240" w:lineRule="auto"/>
      </w:pPr>
      <w:rPr>
        <w:b/>
        <w:bCs/>
        <w:color w:val="FFFFFF" w:themeColor="background1"/>
      </w:rPr>
      <w:tblPr/>
      <w:tcPr>
        <w:tcBorders>
          <w:top w:val="single" w:sz="8"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nil"/>
          <w:insideV w:val="nil"/>
        </w:tcBorders>
        <w:shd w:val="clear" w:color="auto" w:fill="005AAA" w:themeFill="accent3"/>
      </w:tcPr>
    </w:tblStylePr>
    <w:tblStylePr w:type="lastRow">
      <w:pPr>
        <w:spacing w:before="0" w:after="0" w:line="240" w:lineRule="auto"/>
      </w:pPr>
      <w:rPr>
        <w:b/>
        <w:bCs/>
      </w:rPr>
      <w:tblPr/>
      <w:tcPr>
        <w:tcBorders>
          <w:top w:val="double" w:sz="6" w:space="0" w:color="0087FF" w:themeColor="accent3" w:themeTint="BF"/>
          <w:left w:val="single" w:sz="8" w:space="0" w:color="0087FF" w:themeColor="accent3" w:themeTint="BF"/>
          <w:bottom w:val="single" w:sz="8" w:space="0" w:color="0087FF" w:themeColor="accent3" w:themeTint="BF"/>
          <w:right w:val="single" w:sz="8" w:space="0" w:color="0087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7FF" w:themeFill="accent3" w:themeFillTint="3F"/>
      </w:tcPr>
    </w:tblStylePr>
    <w:tblStylePr w:type="band1Horz">
      <w:tblPr/>
      <w:tcPr>
        <w:tcBorders>
          <w:insideH w:val="nil"/>
          <w:insideV w:val="nil"/>
        </w:tcBorders>
        <w:shd w:val="clear" w:color="auto" w:fill="ABD7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AA6C16"/>
    <w:rPr>
      <w:sz w:val="22"/>
      <w:szCs w:val="22"/>
      <w:lang w:eastAsia="en-US"/>
    </w:rPr>
    <w:tblPr>
      <w:tblStyleRowBandSize w:val="1"/>
      <w:tblStyleColBandSize w:val="1"/>
      <w:tblBorders>
        <w:top w:val="single" w:sz="8"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single" w:sz="8" w:space="0" w:color="54CBC6" w:themeColor="accent4" w:themeTint="BF"/>
      </w:tblBorders>
    </w:tblPr>
    <w:tblStylePr w:type="firstRow">
      <w:pPr>
        <w:spacing w:before="0" w:after="0" w:line="240" w:lineRule="auto"/>
      </w:pPr>
      <w:rPr>
        <w:b/>
        <w:bCs/>
        <w:color w:val="FFFFFF" w:themeColor="background1"/>
      </w:rPr>
      <w:tblPr/>
      <w:tcPr>
        <w:tcBorders>
          <w:top w:val="single" w:sz="8"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nil"/>
          <w:insideV w:val="nil"/>
        </w:tcBorders>
        <w:shd w:val="clear" w:color="auto" w:fill="32A4A0" w:themeFill="accent4"/>
      </w:tcPr>
    </w:tblStylePr>
    <w:tblStylePr w:type="lastRow">
      <w:pPr>
        <w:spacing w:before="0" w:after="0" w:line="240" w:lineRule="auto"/>
      </w:pPr>
      <w:rPr>
        <w:b/>
        <w:bCs/>
      </w:rPr>
      <w:tblPr/>
      <w:tcPr>
        <w:tcBorders>
          <w:top w:val="double" w:sz="6" w:space="0" w:color="54CBC6" w:themeColor="accent4" w:themeTint="BF"/>
          <w:left w:val="single" w:sz="8" w:space="0" w:color="54CBC6" w:themeColor="accent4" w:themeTint="BF"/>
          <w:bottom w:val="single" w:sz="8" w:space="0" w:color="54CBC6" w:themeColor="accent4" w:themeTint="BF"/>
          <w:right w:val="single" w:sz="8" w:space="0" w:color="54CB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EEC" w:themeFill="accent4" w:themeFillTint="3F"/>
      </w:tcPr>
    </w:tblStylePr>
    <w:tblStylePr w:type="band1Horz">
      <w:tblPr/>
      <w:tcPr>
        <w:tcBorders>
          <w:insideH w:val="nil"/>
          <w:insideV w:val="nil"/>
        </w:tcBorders>
        <w:shd w:val="clear" w:color="auto" w:fill="C6EE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AA6C16"/>
    <w:rPr>
      <w:sz w:val="22"/>
      <w:szCs w:val="22"/>
      <w:lang w:eastAsia="en-US"/>
    </w:rPr>
    <w:tblPr>
      <w:tblStyleRowBandSize w:val="1"/>
      <w:tblStyleColBandSize w:val="1"/>
      <w:tblBorders>
        <w:top w:val="single" w:sz="8"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single" w:sz="8" w:space="0" w:color="D56CAF" w:themeColor="accent5" w:themeTint="BF"/>
      </w:tblBorders>
    </w:tblPr>
    <w:tblStylePr w:type="firstRow">
      <w:pPr>
        <w:spacing w:before="0" w:after="0" w:line="240" w:lineRule="auto"/>
      </w:pPr>
      <w:rPr>
        <w:b/>
        <w:bCs/>
        <w:color w:val="FFFFFF" w:themeColor="background1"/>
      </w:rPr>
      <w:tblPr/>
      <w:tcPr>
        <w:tcBorders>
          <w:top w:val="single" w:sz="8"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nil"/>
          <w:insideV w:val="nil"/>
        </w:tcBorders>
        <w:shd w:val="clear" w:color="auto" w:fill="C83C96" w:themeFill="accent5"/>
      </w:tcPr>
    </w:tblStylePr>
    <w:tblStylePr w:type="lastRow">
      <w:pPr>
        <w:spacing w:before="0" w:after="0" w:line="240" w:lineRule="auto"/>
      </w:pPr>
      <w:rPr>
        <w:b/>
        <w:bCs/>
      </w:rPr>
      <w:tblPr/>
      <w:tcPr>
        <w:tcBorders>
          <w:top w:val="double" w:sz="6" w:space="0" w:color="D56CAF" w:themeColor="accent5" w:themeTint="BF"/>
          <w:left w:val="single" w:sz="8" w:space="0" w:color="D56CAF" w:themeColor="accent5" w:themeTint="BF"/>
          <w:bottom w:val="single" w:sz="8" w:space="0" w:color="D56CAF" w:themeColor="accent5" w:themeTint="BF"/>
          <w:right w:val="single" w:sz="8" w:space="0" w:color="D56C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CEE4" w:themeFill="accent5" w:themeFillTint="3F"/>
      </w:tcPr>
    </w:tblStylePr>
    <w:tblStylePr w:type="band1Horz">
      <w:tblPr/>
      <w:tcPr>
        <w:tcBorders>
          <w:insideH w:val="nil"/>
          <w:insideV w:val="nil"/>
        </w:tcBorders>
        <w:shd w:val="clear" w:color="auto" w:fill="F1CEE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AA6C16"/>
    <w:rPr>
      <w:sz w:val="22"/>
      <w:szCs w:val="22"/>
      <w:lang w:eastAsia="en-US"/>
    </w:rPr>
    <w:tblPr>
      <w:tblStyleRowBandSize w:val="1"/>
      <w:tblStyleColBandSize w:val="1"/>
      <w:tblBorders>
        <w:top w:val="single" w:sz="8"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single" w:sz="8" w:space="0" w:color="71BF6C" w:themeColor="accent6" w:themeTint="BF"/>
      </w:tblBorders>
    </w:tblPr>
    <w:tblStylePr w:type="firstRow">
      <w:pPr>
        <w:spacing w:before="0" w:after="0" w:line="240" w:lineRule="auto"/>
      </w:pPr>
      <w:rPr>
        <w:b/>
        <w:bCs/>
        <w:color w:val="FFFFFF" w:themeColor="background1"/>
      </w:rPr>
      <w:tblPr/>
      <w:tcPr>
        <w:tcBorders>
          <w:top w:val="single" w:sz="8"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nil"/>
          <w:insideV w:val="nil"/>
        </w:tcBorders>
        <w:shd w:val="clear" w:color="auto" w:fill="4BA046" w:themeFill="accent6"/>
      </w:tcPr>
    </w:tblStylePr>
    <w:tblStylePr w:type="lastRow">
      <w:pPr>
        <w:spacing w:before="0" w:after="0" w:line="240" w:lineRule="auto"/>
      </w:pPr>
      <w:rPr>
        <w:b/>
        <w:bCs/>
      </w:rPr>
      <w:tblPr/>
      <w:tcPr>
        <w:tcBorders>
          <w:top w:val="double" w:sz="6" w:space="0" w:color="71BF6C" w:themeColor="accent6" w:themeTint="BF"/>
          <w:left w:val="single" w:sz="8" w:space="0" w:color="71BF6C" w:themeColor="accent6" w:themeTint="BF"/>
          <w:bottom w:val="single" w:sz="8" w:space="0" w:color="71BF6C" w:themeColor="accent6" w:themeTint="BF"/>
          <w:right w:val="single" w:sz="8" w:space="0" w:color="71BF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ACE" w:themeFill="accent6" w:themeFillTint="3F"/>
      </w:tcPr>
    </w:tblStylePr>
    <w:tblStylePr w:type="band1Horz">
      <w:tblPr/>
      <w:tcPr>
        <w:tcBorders>
          <w:insideH w:val="nil"/>
          <w:insideV w:val="nil"/>
        </w:tcBorders>
        <w:shd w:val="clear" w:color="auto" w:fill="D0EAC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419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4196" w:themeFill="accent2"/>
      </w:tcPr>
    </w:tblStylePr>
    <w:tblStylePr w:type="lastCol">
      <w:rPr>
        <w:b/>
        <w:bCs/>
        <w:color w:val="FFFFFF" w:themeColor="background1"/>
      </w:rPr>
      <w:tblPr/>
      <w:tcPr>
        <w:tcBorders>
          <w:left w:val="nil"/>
          <w:right w:val="nil"/>
          <w:insideH w:val="nil"/>
          <w:insideV w:val="nil"/>
        </w:tcBorders>
        <w:shd w:val="clear" w:color="auto" w:fill="7D419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A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AA" w:themeFill="accent3"/>
      </w:tcPr>
    </w:tblStylePr>
    <w:tblStylePr w:type="lastCol">
      <w:rPr>
        <w:b/>
        <w:bCs/>
        <w:color w:val="FFFFFF" w:themeColor="background1"/>
      </w:rPr>
      <w:tblPr/>
      <w:tcPr>
        <w:tcBorders>
          <w:left w:val="nil"/>
          <w:right w:val="nil"/>
          <w:insideH w:val="nil"/>
          <w:insideV w:val="nil"/>
        </w:tcBorders>
        <w:shd w:val="clear" w:color="auto" w:fill="005AA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A4A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A4A0" w:themeFill="accent4"/>
      </w:tcPr>
    </w:tblStylePr>
    <w:tblStylePr w:type="lastCol">
      <w:rPr>
        <w:b/>
        <w:bCs/>
        <w:color w:val="FFFFFF" w:themeColor="background1"/>
      </w:rPr>
      <w:tblPr/>
      <w:tcPr>
        <w:tcBorders>
          <w:left w:val="nil"/>
          <w:right w:val="nil"/>
          <w:insideH w:val="nil"/>
          <w:insideV w:val="nil"/>
        </w:tcBorders>
        <w:shd w:val="clear" w:color="auto" w:fill="32A4A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3C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3C96" w:themeFill="accent5"/>
      </w:tcPr>
    </w:tblStylePr>
    <w:tblStylePr w:type="lastCol">
      <w:rPr>
        <w:b/>
        <w:bCs/>
        <w:color w:val="FFFFFF" w:themeColor="background1"/>
      </w:rPr>
      <w:tblPr/>
      <w:tcPr>
        <w:tcBorders>
          <w:left w:val="nil"/>
          <w:right w:val="nil"/>
          <w:insideH w:val="nil"/>
          <w:insideV w:val="nil"/>
        </w:tcBorders>
        <w:shd w:val="clear" w:color="auto" w:fill="C83C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AA6C16"/>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0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046" w:themeFill="accent6"/>
      </w:tcPr>
    </w:tblStylePr>
    <w:tblStylePr w:type="lastCol">
      <w:rPr>
        <w:b/>
        <w:bCs/>
        <w:color w:val="FFFFFF" w:themeColor="background1"/>
      </w:rPr>
      <w:tblPr/>
      <w:tcPr>
        <w:tcBorders>
          <w:left w:val="nil"/>
          <w:right w:val="nil"/>
          <w:insideH w:val="nil"/>
          <w:insideV w:val="nil"/>
        </w:tcBorders>
        <w:shd w:val="clear" w:color="auto" w:fill="4BA0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AA6C16"/>
    <w:rPr>
      <w:color w:val="2B579A"/>
      <w:shd w:val="clear" w:color="auto" w:fill="E1DFDD"/>
      <w:lang w:val="en-GB"/>
    </w:rPr>
  </w:style>
  <w:style w:type="paragraph" w:styleId="MessageHeader">
    <w:name w:val="Message Header"/>
    <w:basedOn w:val="Normal"/>
    <w:link w:val="MessageHeaderChar"/>
    <w:uiPriority w:val="99"/>
    <w:semiHidden/>
    <w:rsid w:val="00AA6C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AA6C16"/>
    <w:rPr>
      <w:rFonts w:asciiTheme="majorHAnsi" w:eastAsiaTheme="majorEastAsia" w:hAnsiTheme="majorHAnsi" w:cstheme="majorBidi"/>
      <w:sz w:val="22"/>
      <w:szCs w:val="22"/>
      <w:shd w:val="pct20" w:color="auto" w:fill="auto"/>
      <w:lang w:val="en-GB"/>
    </w:rPr>
  </w:style>
  <w:style w:type="paragraph" w:customStyle="1" w:styleId="Name-ExecSummary">
    <w:name w:val="Name - Exec Summary"/>
    <w:basedOn w:val="Normal"/>
    <w:uiPriority w:val="16"/>
    <w:semiHidden/>
    <w:qFormat/>
    <w:rsid w:val="00AA6C16"/>
    <w:pPr>
      <w:tabs>
        <w:tab w:val="left" w:pos="181"/>
      </w:tabs>
      <w:spacing w:after="0"/>
    </w:pPr>
    <w:rPr>
      <w:rFonts w:asciiTheme="majorHAnsi" w:eastAsiaTheme="majorEastAsia" w:hAnsiTheme="majorHAnsi" w:cstheme="majorBidi"/>
      <w:b/>
      <w:iCs/>
      <w:color w:val="000000" w:themeColor="accent1"/>
      <w:sz w:val="17"/>
      <w:szCs w:val="18"/>
    </w:rPr>
  </w:style>
  <w:style w:type="paragraph" w:styleId="NoSpacing">
    <w:name w:val="No Spacing"/>
    <w:uiPriority w:val="2"/>
    <w:qFormat/>
    <w:rsid w:val="00AA6C16"/>
    <w:rPr>
      <w:sz w:val="22"/>
      <w:szCs w:val="22"/>
    </w:rPr>
  </w:style>
  <w:style w:type="paragraph" w:styleId="NormalWeb">
    <w:name w:val="Normal (Web)"/>
    <w:basedOn w:val="Normal"/>
    <w:uiPriority w:val="99"/>
    <w:semiHidden/>
    <w:rsid w:val="00AA6C16"/>
    <w:rPr>
      <w:rFonts w:asciiTheme="majorHAnsi" w:eastAsiaTheme="majorEastAsia" w:hAnsiTheme="majorHAnsi" w:cstheme="majorBidi"/>
    </w:rPr>
  </w:style>
  <w:style w:type="paragraph" w:styleId="NormalIndent">
    <w:name w:val="Normal Indent"/>
    <w:basedOn w:val="Normal"/>
    <w:uiPriority w:val="1"/>
    <w:rsid w:val="00AA6C16"/>
    <w:pPr>
      <w:ind w:left="284"/>
    </w:pPr>
  </w:style>
  <w:style w:type="paragraph" w:styleId="NoteHeading">
    <w:name w:val="Note Heading"/>
    <w:basedOn w:val="Normal"/>
    <w:next w:val="Normal"/>
    <w:link w:val="NoteHeadingChar"/>
    <w:uiPriority w:val="99"/>
    <w:semiHidden/>
    <w:rsid w:val="00AA6C16"/>
  </w:style>
  <w:style w:type="character" w:customStyle="1" w:styleId="NoteHeadingChar">
    <w:name w:val="Note Heading Char"/>
    <w:basedOn w:val="DefaultParagraphFont"/>
    <w:link w:val="NoteHeading"/>
    <w:uiPriority w:val="99"/>
    <w:semiHidden/>
    <w:rsid w:val="00AA6C16"/>
    <w:rPr>
      <w:sz w:val="22"/>
      <w:szCs w:val="22"/>
      <w:lang w:val="en-GB"/>
    </w:rPr>
  </w:style>
  <w:style w:type="character" w:styleId="PageNumber">
    <w:name w:val="page number"/>
    <w:basedOn w:val="DefaultParagraphFont"/>
    <w:uiPriority w:val="99"/>
    <w:semiHidden/>
    <w:rsid w:val="00AA6C16"/>
    <w:rPr>
      <w:lang w:val="en-GB"/>
    </w:rPr>
  </w:style>
  <w:style w:type="character" w:styleId="PlaceholderText">
    <w:name w:val="Placeholder Text"/>
    <w:basedOn w:val="DefaultParagraphFont"/>
    <w:uiPriority w:val="99"/>
    <w:semiHidden/>
    <w:rsid w:val="00AA6C16"/>
    <w:rPr>
      <w:rFonts w:asciiTheme="minorHAnsi" w:eastAsiaTheme="minorEastAsia" w:hAnsiTheme="minorHAnsi" w:cstheme="minorBidi"/>
      <w:color w:val="808080"/>
      <w:lang w:val="en-GB"/>
    </w:rPr>
  </w:style>
  <w:style w:type="table" w:styleId="PlainTable1">
    <w:name w:val="Plain Table 1"/>
    <w:basedOn w:val="TableNormal"/>
    <w:uiPriority w:val="99"/>
    <w:rsid w:val="00AA6C16"/>
    <w:rPr>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AA6C16"/>
    <w:rPr>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AA6C16"/>
    <w:rPr>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AA6C16"/>
    <w:rPr>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AA6C16"/>
    <w:rPr>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AA6C16"/>
    <w:rPr>
      <w:rFonts w:asciiTheme="majorHAnsi" w:eastAsiaTheme="majorEastAsia" w:hAnsiTheme="majorHAnsi" w:cstheme="majorBidi"/>
      <w:sz w:val="21"/>
      <w:szCs w:val="21"/>
    </w:rPr>
  </w:style>
  <w:style w:type="character" w:customStyle="1" w:styleId="PlainTextChar">
    <w:name w:val="Plain Text Char"/>
    <w:basedOn w:val="DefaultParagraphFont"/>
    <w:link w:val="PlainText"/>
    <w:uiPriority w:val="99"/>
    <w:semiHidden/>
    <w:rsid w:val="00AA6C16"/>
    <w:rPr>
      <w:rFonts w:asciiTheme="majorHAnsi" w:eastAsiaTheme="majorEastAsia" w:hAnsiTheme="majorHAnsi" w:cstheme="majorBidi"/>
      <w:sz w:val="21"/>
      <w:szCs w:val="21"/>
      <w:lang w:val="en-GB"/>
    </w:rPr>
  </w:style>
  <w:style w:type="character" w:customStyle="1" w:styleId="RedColour">
    <w:name w:val="Red Colour"/>
    <w:uiPriority w:val="9"/>
    <w:qFormat/>
    <w:rsid w:val="00AA6C16"/>
    <w:rPr>
      <w:rFonts w:asciiTheme="minorHAnsi" w:eastAsiaTheme="minorEastAsia" w:hAnsiTheme="minorHAnsi" w:cstheme="minorBidi"/>
      <w:color w:val="000000" w:themeColor="accent1"/>
      <w:lang w:val="en-GB"/>
    </w:rPr>
  </w:style>
  <w:style w:type="paragraph" w:customStyle="1" w:styleId="ReportInsertPicture">
    <w:name w:val="Report Insert Picture"/>
    <w:next w:val="Normal"/>
    <w:uiPriority w:val="7"/>
    <w:rsid w:val="00AA6C16"/>
    <w:pPr>
      <w:keepNext/>
    </w:pPr>
    <w:rPr>
      <w:sz w:val="22"/>
      <w:szCs w:val="22"/>
    </w:rPr>
  </w:style>
  <w:style w:type="paragraph" w:styleId="Salutation">
    <w:name w:val="Salutation"/>
    <w:basedOn w:val="Normal"/>
    <w:next w:val="Normal"/>
    <w:link w:val="SalutationChar"/>
    <w:uiPriority w:val="99"/>
    <w:semiHidden/>
    <w:rsid w:val="00AA6C16"/>
  </w:style>
  <w:style w:type="character" w:customStyle="1" w:styleId="SalutationChar">
    <w:name w:val="Salutation Char"/>
    <w:basedOn w:val="DefaultParagraphFont"/>
    <w:link w:val="Salutation"/>
    <w:uiPriority w:val="99"/>
    <w:semiHidden/>
    <w:rsid w:val="00AA6C16"/>
    <w:rPr>
      <w:sz w:val="22"/>
      <w:szCs w:val="22"/>
      <w:lang w:val="en-GB"/>
    </w:rPr>
  </w:style>
  <w:style w:type="paragraph" w:styleId="Signature">
    <w:name w:val="Signature"/>
    <w:basedOn w:val="Normal"/>
    <w:link w:val="SignatureChar"/>
    <w:uiPriority w:val="99"/>
    <w:semiHidden/>
    <w:rsid w:val="00AA6C16"/>
    <w:pPr>
      <w:ind w:left="4252"/>
    </w:pPr>
  </w:style>
  <w:style w:type="character" w:customStyle="1" w:styleId="SignatureChar">
    <w:name w:val="Signature Char"/>
    <w:basedOn w:val="DefaultParagraphFont"/>
    <w:link w:val="Signature"/>
    <w:uiPriority w:val="99"/>
    <w:semiHidden/>
    <w:rsid w:val="00AA6C16"/>
    <w:rPr>
      <w:sz w:val="22"/>
      <w:szCs w:val="22"/>
      <w:lang w:val="en-GB"/>
    </w:rPr>
  </w:style>
  <w:style w:type="character" w:styleId="SmartHyperlink">
    <w:name w:val="Smart Hyperlink"/>
    <w:basedOn w:val="DefaultParagraphFont"/>
    <w:uiPriority w:val="99"/>
    <w:semiHidden/>
    <w:rsid w:val="00AA6C16"/>
    <w:rPr>
      <w:u w:val="dotted"/>
      <w:lang w:val="en-GB"/>
    </w:rPr>
  </w:style>
  <w:style w:type="character" w:styleId="SmartLink">
    <w:name w:val="Smart Link"/>
    <w:basedOn w:val="DefaultParagraphFont"/>
    <w:uiPriority w:val="99"/>
    <w:semiHidden/>
    <w:rsid w:val="00AA6C16"/>
    <w:rPr>
      <w:color w:val="0000FF"/>
      <w:u w:val="single"/>
      <w:shd w:val="clear" w:color="auto" w:fill="F3F2F1"/>
      <w:lang w:val="en-GB"/>
    </w:rPr>
  </w:style>
  <w:style w:type="character" w:styleId="Strong">
    <w:name w:val="Strong"/>
    <w:basedOn w:val="DefaultParagraphFont"/>
    <w:uiPriority w:val="8"/>
    <w:semiHidden/>
    <w:qFormat/>
    <w:rsid w:val="00AA6C16"/>
    <w:rPr>
      <w:b/>
      <w:bCs/>
      <w:lang w:val="en-GB"/>
    </w:rPr>
  </w:style>
  <w:style w:type="paragraph" w:styleId="Subtitle">
    <w:name w:val="Subtitle"/>
    <w:basedOn w:val="Normal"/>
    <w:next w:val="Normal"/>
    <w:link w:val="SubtitleChar"/>
    <w:uiPriority w:val="99"/>
    <w:semiHidden/>
    <w:qFormat/>
    <w:rsid w:val="00AA6C16"/>
    <w:pPr>
      <w:numPr>
        <w:ilvl w:val="1"/>
      </w:numPr>
    </w:pPr>
    <w:rPr>
      <w:rFonts w:asciiTheme="majorHAnsi" w:eastAsiaTheme="majorEastAsia" w:hAnsiTheme="majorHAnsi" w:cstheme="majorBidi"/>
      <w:color w:val="5A5A5A" w:themeColor="text1" w:themeTint="A5"/>
      <w:spacing w:val="15"/>
    </w:rPr>
  </w:style>
  <w:style w:type="character" w:customStyle="1" w:styleId="SubtitleChar">
    <w:name w:val="Subtitle Char"/>
    <w:basedOn w:val="DefaultParagraphFont"/>
    <w:link w:val="Subtitle"/>
    <w:uiPriority w:val="99"/>
    <w:semiHidden/>
    <w:rsid w:val="00AA6C16"/>
    <w:rPr>
      <w:rFonts w:asciiTheme="majorHAnsi" w:eastAsiaTheme="majorEastAsia" w:hAnsiTheme="majorHAnsi" w:cstheme="majorBidi"/>
      <w:color w:val="5A5A5A" w:themeColor="text1" w:themeTint="A5"/>
      <w:spacing w:val="15"/>
      <w:sz w:val="22"/>
      <w:szCs w:val="22"/>
      <w:lang w:val="en-GB"/>
    </w:rPr>
  </w:style>
  <w:style w:type="character" w:styleId="SubtleEmphasis">
    <w:name w:val="Subtle Emphasis"/>
    <w:basedOn w:val="DefaultParagraphFont"/>
    <w:uiPriority w:val="99"/>
    <w:semiHidden/>
    <w:qFormat/>
    <w:rsid w:val="00AA6C16"/>
    <w:rPr>
      <w:i/>
      <w:iCs/>
      <w:color w:val="404040" w:themeColor="text1" w:themeTint="BF"/>
      <w:lang w:val="en-GB"/>
    </w:rPr>
  </w:style>
  <w:style w:type="character" w:styleId="SubtleReference">
    <w:name w:val="Subtle Reference"/>
    <w:basedOn w:val="DefaultParagraphFont"/>
    <w:uiPriority w:val="99"/>
    <w:semiHidden/>
    <w:qFormat/>
    <w:rsid w:val="00AA6C16"/>
    <w:rPr>
      <w:smallCaps/>
      <w:color w:val="5A5A5A" w:themeColor="text1" w:themeTint="A5"/>
      <w:lang w:val="en-GB"/>
    </w:rPr>
  </w:style>
  <w:style w:type="paragraph" w:customStyle="1" w:styleId="Table">
    <w:name w:val="Table"/>
    <w:uiPriority w:val="5"/>
    <w:semiHidden/>
    <w:rsid w:val="00AA6C16"/>
    <w:pPr>
      <w:spacing w:before="60" w:after="60"/>
      <w:ind w:left="113" w:right="113"/>
    </w:pPr>
    <w:rPr>
      <w:sz w:val="18"/>
      <w:szCs w:val="22"/>
    </w:rPr>
  </w:style>
  <w:style w:type="paragraph" w:customStyle="1" w:styleId="Table-Heading">
    <w:name w:val="Table - Heading"/>
    <w:basedOn w:val="Table"/>
    <w:uiPriority w:val="5"/>
    <w:rsid w:val="00AA6C16"/>
    <w:pPr>
      <w:keepNext/>
      <w:keepLines/>
    </w:pPr>
    <w:rPr>
      <w:rFonts w:asciiTheme="majorHAnsi" w:eastAsiaTheme="majorEastAsia" w:hAnsiTheme="majorHAnsi" w:cstheme="majorBidi"/>
      <w:b/>
      <w:color w:val="000000" w:themeColor="accent1"/>
      <w:sz w:val="17"/>
    </w:rPr>
  </w:style>
  <w:style w:type="paragraph" w:customStyle="1" w:styleId="Table-HeadingRight">
    <w:name w:val="Table - Heading Right"/>
    <w:basedOn w:val="Table-Heading"/>
    <w:uiPriority w:val="5"/>
    <w:semiHidden/>
    <w:rsid w:val="00AA6C16"/>
    <w:pPr>
      <w:jc w:val="right"/>
    </w:pPr>
  </w:style>
  <w:style w:type="paragraph" w:customStyle="1" w:styleId="Table-ListBullet">
    <w:name w:val="Table - List Bullet"/>
    <w:basedOn w:val="Table"/>
    <w:uiPriority w:val="6"/>
    <w:rsid w:val="00AA6C16"/>
    <w:pPr>
      <w:numPr>
        <w:numId w:val="26"/>
      </w:numPr>
    </w:pPr>
  </w:style>
  <w:style w:type="paragraph" w:customStyle="1" w:styleId="Table-ListBullet2">
    <w:name w:val="Table - List Bullet 2"/>
    <w:basedOn w:val="Table-ListBullet"/>
    <w:uiPriority w:val="6"/>
    <w:qFormat/>
    <w:rsid w:val="00AA6C16"/>
    <w:pPr>
      <w:numPr>
        <w:ilvl w:val="1"/>
      </w:numPr>
    </w:pPr>
  </w:style>
  <w:style w:type="paragraph" w:customStyle="1" w:styleId="Table-ListBullet3">
    <w:name w:val="Table - List Bullet 3"/>
    <w:basedOn w:val="Table-ListBullet"/>
    <w:uiPriority w:val="6"/>
    <w:qFormat/>
    <w:rsid w:val="00AA6C16"/>
    <w:pPr>
      <w:numPr>
        <w:ilvl w:val="2"/>
      </w:numPr>
    </w:pPr>
  </w:style>
  <w:style w:type="paragraph" w:customStyle="1" w:styleId="Table-ListNumber">
    <w:name w:val="Table - List Number"/>
    <w:basedOn w:val="Table"/>
    <w:uiPriority w:val="6"/>
    <w:rsid w:val="00AA6C16"/>
    <w:pPr>
      <w:numPr>
        <w:numId w:val="27"/>
      </w:numPr>
    </w:pPr>
  </w:style>
  <w:style w:type="paragraph" w:customStyle="1" w:styleId="Table-ListNumber2">
    <w:name w:val="Table - List Number 2"/>
    <w:basedOn w:val="Table-ListNumber"/>
    <w:uiPriority w:val="6"/>
    <w:qFormat/>
    <w:rsid w:val="00AA6C16"/>
    <w:pPr>
      <w:numPr>
        <w:ilvl w:val="1"/>
      </w:numPr>
    </w:pPr>
  </w:style>
  <w:style w:type="paragraph" w:customStyle="1" w:styleId="Table-ListNumber3">
    <w:name w:val="Table - List Number 3"/>
    <w:basedOn w:val="Table-ListNumber"/>
    <w:uiPriority w:val="6"/>
    <w:qFormat/>
    <w:rsid w:val="00AA6C16"/>
    <w:pPr>
      <w:numPr>
        <w:ilvl w:val="2"/>
      </w:numPr>
    </w:pPr>
  </w:style>
  <w:style w:type="paragraph" w:customStyle="1" w:styleId="Table-Number">
    <w:name w:val="Table - Number"/>
    <w:basedOn w:val="Table"/>
    <w:uiPriority w:val="5"/>
    <w:semiHidden/>
    <w:rsid w:val="00AA6C16"/>
    <w:pPr>
      <w:jc w:val="right"/>
    </w:pPr>
  </w:style>
  <w:style w:type="paragraph" w:customStyle="1" w:styleId="Table-NumberTotal">
    <w:name w:val="Table - Number Total"/>
    <w:basedOn w:val="Table-Number"/>
    <w:uiPriority w:val="5"/>
    <w:semiHidden/>
    <w:rsid w:val="00AA6C16"/>
    <w:pPr>
      <w:jc w:val="left"/>
    </w:pPr>
    <w:rPr>
      <w:b/>
      <w:sz w:val="17"/>
    </w:rPr>
  </w:style>
  <w:style w:type="paragraph" w:customStyle="1" w:styleId="Table-SubHeading">
    <w:name w:val="Table - Sub Heading"/>
    <w:basedOn w:val="Table-Heading"/>
    <w:uiPriority w:val="5"/>
    <w:qFormat/>
    <w:rsid w:val="00AA6C16"/>
    <w:rPr>
      <w:rFonts w:asciiTheme="minorHAnsi" w:eastAsiaTheme="minorEastAsia" w:hAnsiTheme="minorHAnsi" w:cstheme="minorBidi"/>
      <w:color w:val="auto"/>
      <w:sz w:val="18"/>
    </w:rPr>
  </w:style>
  <w:style w:type="paragraph" w:customStyle="1" w:styleId="Table-Text">
    <w:name w:val="Table - Text"/>
    <w:basedOn w:val="Table"/>
    <w:uiPriority w:val="5"/>
    <w:rsid w:val="00AA6C16"/>
  </w:style>
  <w:style w:type="paragraph" w:customStyle="1" w:styleId="Table-TextTotal">
    <w:name w:val="Table - Text Total"/>
    <w:basedOn w:val="Table-Text"/>
    <w:uiPriority w:val="5"/>
    <w:rsid w:val="00AA6C16"/>
    <w:rPr>
      <w:rFonts w:asciiTheme="majorHAnsi" w:eastAsiaTheme="majorEastAsia" w:hAnsiTheme="majorHAnsi" w:cstheme="majorBidi"/>
      <w:b/>
      <w:sz w:val="17"/>
    </w:rPr>
  </w:style>
  <w:style w:type="table" w:styleId="Table3Deffects1">
    <w:name w:val="Table 3D effects 1"/>
    <w:basedOn w:val="TableNormal"/>
    <w:uiPriority w:val="99"/>
    <w:semiHidden/>
    <w:unhideWhenUsed/>
    <w:rsid w:val="00AA6C16"/>
    <w:rPr>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A6C16"/>
    <w:rPr>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A6C16"/>
    <w:rPr>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A6C16"/>
    <w:rPr>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A6C16"/>
    <w:rPr>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A6C16"/>
    <w:rPr>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A6C16"/>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A6C16"/>
    <w:rPr>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A6C16"/>
    <w:rPr>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A6C16"/>
    <w:rPr>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A6C16"/>
    <w:rPr>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A6C16"/>
    <w:rPr>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A6C16"/>
    <w:rPr>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A6C16"/>
    <w:rPr>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A6C16"/>
    <w:rPr>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A6C16"/>
    <w:rPr>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A6C16"/>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AA6C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A6C16"/>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A6C16"/>
    <w:rPr>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A6C16"/>
    <w:rPr>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A6C16"/>
    <w:rPr>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A6C16"/>
    <w:rPr>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A6C16"/>
    <w:rPr>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AA6C16"/>
    <w:rPr>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A6C16"/>
    <w:rPr>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A6C16"/>
    <w:rPr>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A6C16"/>
    <w:rPr>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A6C16"/>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A6C16"/>
    <w:rPr>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A6C16"/>
    <w:rPr>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A6C16"/>
    <w:rPr>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AA6C16"/>
    <w:pPr>
      <w:ind w:left="200" w:hanging="200"/>
    </w:pPr>
  </w:style>
  <w:style w:type="paragraph" w:styleId="TableofFigures">
    <w:name w:val="table of figures"/>
    <w:next w:val="Normal"/>
    <w:uiPriority w:val="40"/>
    <w:semiHidden/>
    <w:rsid w:val="00AA6C16"/>
    <w:pPr>
      <w:tabs>
        <w:tab w:val="right" w:pos="9622"/>
      </w:tabs>
      <w:spacing w:after="80"/>
      <w:ind w:right="567"/>
    </w:pPr>
    <w:rPr>
      <w:sz w:val="22"/>
      <w:szCs w:val="22"/>
    </w:rPr>
  </w:style>
  <w:style w:type="table" w:styleId="TableProfessional">
    <w:name w:val="Table Professional"/>
    <w:basedOn w:val="TableNormal"/>
    <w:uiPriority w:val="99"/>
    <w:semiHidden/>
    <w:unhideWhenUsed/>
    <w:rsid w:val="00AA6C16"/>
    <w:rPr>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A6C16"/>
    <w:rPr>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A6C16"/>
    <w:rPr>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A6C16"/>
    <w:rPr>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A6C16"/>
    <w:rPr>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A6C16"/>
    <w:rPr>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A6C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A6C16"/>
    <w:rPr>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A6C16"/>
    <w:rPr>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A6C16"/>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uiPriority w:val="39"/>
    <w:rsid w:val="00AA6C16"/>
    <w:pPr>
      <w:tabs>
        <w:tab w:val="right" w:pos="9622"/>
      </w:tabs>
      <w:spacing w:before="160" w:after="240"/>
    </w:pPr>
    <w:rPr>
      <w:color w:val="000000" w:themeColor="accent1"/>
    </w:rPr>
  </w:style>
  <w:style w:type="paragraph" w:styleId="TOC2">
    <w:name w:val="toc 2"/>
    <w:basedOn w:val="Normal"/>
    <w:next w:val="Normal"/>
    <w:uiPriority w:val="39"/>
    <w:rsid w:val="00AA6C16"/>
    <w:pPr>
      <w:tabs>
        <w:tab w:val="right" w:pos="9622"/>
      </w:tabs>
      <w:spacing w:after="80"/>
      <w:ind w:left="851" w:hanging="851"/>
    </w:pPr>
    <w:rPr>
      <w:color w:val="000000" w:themeColor="accent1"/>
    </w:rPr>
  </w:style>
  <w:style w:type="paragraph" w:styleId="TOC3">
    <w:name w:val="toc 3"/>
    <w:basedOn w:val="Normal"/>
    <w:next w:val="Normal"/>
    <w:uiPriority w:val="39"/>
    <w:rsid w:val="00AA6C16"/>
    <w:pPr>
      <w:tabs>
        <w:tab w:val="left" w:pos="851"/>
        <w:tab w:val="right" w:pos="9622"/>
      </w:tabs>
      <w:spacing w:after="80"/>
      <w:ind w:left="851" w:right="567" w:hanging="851"/>
    </w:pPr>
  </w:style>
  <w:style w:type="paragraph" w:styleId="TOC4">
    <w:name w:val="toc 4"/>
    <w:basedOn w:val="TOC3"/>
    <w:next w:val="Normal"/>
    <w:uiPriority w:val="39"/>
    <w:semiHidden/>
    <w:rsid w:val="00AA6C16"/>
  </w:style>
  <w:style w:type="paragraph" w:styleId="TOC5">
    <w:name w:val="toc 5"/>
    <w:basedOn w:val="TOC3"/>
    <w:next w:val="Normal"/>
    <w:uiPriority w:val="39"/>
    <w:semiHidden/>
    <w:rsid w:val="00AA6C16"/>
  </w:style>
  <w:style w:type="paragraph" w:styleId="TOC6">
    <w:name w:val="toc 6"/>
    <w:basedOn w:val="TOC1"/>
    <w:next w:val="Normal"/>
    <w:uiPriority w:val="39"/>
    <w:semiHidden/>
    <w:rsid w:val="00AA6C16"/>
    <w:pPr>
      <w:spacing w:after="40"/>
      <w:contextualSpacing/>
    </w:pPr>
  </w:style>
  <w:style w:type="paragraph" w:styleId="TOC7">
    <w:name w:val="toc 7"/>
    <w:basedOn w:val="TOC3"/>
    <w:next w:val="Normal"/>
    <w:uiPriority w:val="39"/>
    <w:semiHidden/>
    <w:rsid w:val="00AA6C16"/>
    <w:pPr>
      <w:spacing w:after="40"/>
      <w:ind w:left="1134" w:hanging="1134"/>
      <w:contextualSpacing/>
    </w:pPr>
    <w:rPr>
      <w:color w:val="000000" w:themeColor="text1"/>
    </w:rPr>
  </w:style>
  <w:style w:type="paragraph" w:styleId="TOC8">
    <w:name w:val="toc 8"/>
    <w:basedOn w:val="TOC4"/>
    <w:next w:val="Normal"/>
    <w:uiPriority w:val="39"/>
    <w:semiHidden/>
    <w:rsid w:val="00AA6C16"/>
    <w:pPr>
      <w:ind w:left="1134" w:hanging="1134"/>
    </w:pPr>
    <w:rPr>
      <w:color w:val="000000" w:themeColor="accent1"/>
    </w:rPr>
  </w:style>
  <w:style w:type="paragraph" w:styleId="TOC9">
    <w:name w:val="toc 9"/>
    <w:basedOn w:val="TOC2"/>
    <w:next w:val="Normal"/>
    <w:uiPriority w:val="99"/>
    <w:semiHidden/>
    <w:rsid w:val="00AA6C16"/>
    <w:pPr>
      <w:spacing w:before="160" w:after="40"/>
      <w:ind w:left="754" w:hanging="754"/>
      <w:contextualSpacing/>
    </w:pPr>
  </w:style>
  <w:style w:type="paragraph" w:styleId="TOCHeading">
    <w:name w:val="TOC Heading"/>
    <w:basedOn w:val="Heading1"/>
    <w:next w:val="Normal"/>
    <w:uiPriority w:val="39"/>
    <w:qFormat/>
    <w:rsid w:val="00AA6C16"/>
    <w:pPr>
      <w:numPr>
        <w:numId w:val="0"/>
      </w:numPr>
      <w:spacing w:after="400"/>
      <w:outlineLvl w:val="9"/>
    </w:pPr>
    <w:rPr>
      <w:rFonts w:asciiTheme="majorHAnsi" w:eastAsiaTheme="majorEastAsia" w:hAnsiTheme="majorHAnsi" w:cstheme="majorBidi"/>
      <w:b/>
    </w:rPr>
  </w:style>
  <w:style w:type="paragraph" w:customStyle="1" w:styleId="TOCSubHeading">
    <w:name w:val="TOC Sub Heading"/>
    <w:uiPriority w:val="39"/>
    <w:semiHidden/>
    <w:rsid w:val="00AA6C16"/>
    <w:pPr>
      <w:keepNext/>
      <w:spacing w:before="240" w:after="120"/>
      <w:outlineLvl w:val="1"/>
    </w:pPr>
    <w:rPr>
      <w:rFonts w:asciiTheme="majorHAnsi" w:eastAsiaTheme="majorEastAsia" w:hAnsiTheme="majorHAnsi" w:cstheme="majorBidi"/>
      <w:b/>
      <w:color w:val="000000" w:themeColor="accent1"/>
      <w:sz w:val="22"/>
      <w:szCs w:val="22"/>
    </w:rPr>
  </w:style>
  <w:style w:type="character" w:customStyle="1" w:styleId="Bold">
    <w:name w:val="Bold"/>
    <w:basedOn w:val="DefaultParagraphFont"/>
    <w:uiPriority w:val="99"/>
    <w:semiHidden/>
    <w:qFormat/>
    <w:rsid w:val="00AA6C16"/>
    <w:rPr>
      <w:b/>
      <w:lang w:val="en-GB"/>
    </w:rPr>
  </w:style>
  <w:style w:type="paragraph" w:styleId="ListParagraph">
    <w:name w:val="List Paragraph"/>
    <w:basedOn w:val="Normal"/>
    <w:uiPriority w:val="99"/>
    <w:semiHidden/>
    <w:qFormat/>
    <w:rsid w:val="00AA6C16"/>
    <w:pPr>
      <w:numPr>
        <w:numId w:val="24"/>
      </w:numPr>
    </w:pPr>
    <w:rPr>
      <w:szCs w:val="24"/>
    </w:rPr>
  </w:style>
  <w:style w:type="paragraph" w:customStyle="1" w:styleId="LogoSpacer">
    <w:name w:val="Logo Spacer"/>
    <w:basedOn w:val="Normal"/>
    <w:next w:val="Normal"/>
    <w:uiPriority w:val="99"/>
    <w:semiHidden/>
    <w:qFormat/>
    <w:rsid w:val="00AA6C16"/>
    <w:pPr>
      <w:spacing w:after="420"/>
      <w:jc w:val="right"/>
    </w:pPr>
  </w:style>
  <w:style w:type="paragraph" w:customStyle="1" w:styleId="NormalSpaceBefore">
    <w:name w:val="Normal Space Before"/>
    <w:basedOn w:val="Normal"/>
    <w:uiPriority w:val="1"/>
    <w:qFormat/>
    <w:rsid w:val="00AA6C16"/>
    <w:pPr>
      <w:spacing w:before="160" w:after="0"/>
    </w:pPr>
  </w:style>
  <w:style w:type="paragraph" w:customStyle="1" w:styleId="SecurityMark">
    <w:name w:val="Security Mark"/>
    <w:uiPriority w:val="99"/>
    <w:semiHidden/>
    <w:qFormat/>
    <w:rsid w:val="00AA6C16"/>
    <w:pPr>
      <w:jc w:val="center"/>
    </w:pPr>
    <w:rPr>
      <w:rFonts w:asciiTheme="majorHAnsi" w:eastAsiaTheme="majorEastAsia" w:hAnsiTheme="majorHAnsi" w:cstheme="majorBidi"/>
      <w:b/>
      <w:color w:val="000000" w:themeColor="accent1"/>
      <w:sz w:val="20"/>
      <w:szCs w:val="22"/>
    </w:rPr>
  </w:style>
  <w:style w:type="numbering" w:customStyle="1" w:styleId="Style1">
    <w:name w:val="Style1"/>
    <w:uiPriority w:val="99"/>
    <w:rsid w:val="00AA6C16"/>
    <w:pPr>
      <w:numPr>
        <w:numId w:val="25"/>
      </w:numPr>
    </w:pPr>
  </w:style>
  <w:style w:type="paragraph" w:customStyle="1" w:styleId="TableNote">
    <w:name w:val="Table Note"/>
    <w:basedOn w:val="Table-Text"/>
    <w:uiPriority w:val="5"/>
    <w:qFormat/>
    <w:rsid w:val="00AA6C16"/>
    <w:rPr>
      <w:sz w:val="16"/>
    </w:rPr>
  </w:style>
  <w:style w:type="paragraph" w:customStyle="1" w:styleId="Appendix1">
    <w:name w:val="Appendix 1"/>
    <w:link w:val="Appendix1Char"/>
    <w:uiPriority w:val="1"/>
    <w:qFormat/>
    <w:rsid w:val="005B344A"/>
    <w:pPr>
      <w:numPr>
        <w:numId w:val="49"/>
      </w:numPr>
      <w:spacing w:before="440" w:after="440"/>
    </w:pPr>
    <w:rPr>
      <w:caps/>
      <w:color w:val="000000" w:themeColor="accent1"/>
      <w:szCs w:val="32"/>
    </w:rPr>
  </w:style>
  <w:style w:type="character" w:customStyle="1" w:styleId="Appendix1Char">
    <w:name w:val="Appendix 1 Char"/>
    <w:basedOn w:val="Heading1Char"/>
    <w:link w:val="Appendix1"/>
    <w:uiPriority w:val="1"/>
    <w:rsid w:val="005B344A"/>
    <w:rPr>
      <w:caps/>
      <w:color w:val="000000" w:themeColor="accent1"/>
      <w:szCs w:val="32"/>
    </w:rPr>
  </w:style>
  <w:style w:type="paragraph" w:customStyle="1" w:styleId="Appendix2">
    <w:name w:val="Appendix 2"/>
    <w:link w:val="Appendix2Char"/>
    <w:uiPriority w:val="1"/>
    <w:qFormat/>
    <w:rsid w:val="005B344A"/>
    <w:pPr>
      <w:numPr>
        <w:ilvl w:val="1"/>
        <w:numId w:val="49"/>
      </w:numPr>
      <w:spacing w:before="320" w:after="80"/>
      <w:ind w:left="1049" w:hanging="1418"/>
    </w:pPr>
    <w:rPr>
      <w:b/>
      <w:color w:val="000000" w:themeColor="accent1"/>
      <w:szCs w:val="32"/>
    </w:rPr>
  </w:style>
  <w:style w:type="character" w:customStyle="1" w:styleId="Appendix2Char">
    <w:name w:val="Appendix 2 Char"/>
    <w:basedOn w:val="DefaultParagraphFont"/>
    <w:link w:val="Appendix2"/>
    <w:uiPriority w:val="1"/>
    <w:rsid w:val="005B344A"/>
    <w:rPr>
      <w:b/>
      <w:color w:val="000000" w:themeColor="accent1"/>
      <w:szCs w:val="32"/>
    </w:rPr>
  </w:style>
  <w:style w:type="paragraph" w:customStyle="1" w:styleId="Appendix3">
    <w:name w:val="Appendix 3"/>
    <w:basedOn w:val="Appendix2"/>
    <w:next w:val="Normal"/>
    <w:link w:val="Appendix3Char"/>
    <w:uiPriority w:val="1"/>
    <w:qFormat/>
    <w:rsid w:val="005B344A"/>
    <w:pPr>
      <w:numPr>
        <w:ilvl w:val="2"/>
      </w:numPr>
      <w:spacing w:after="30"/>
      <w:ind w:hanging="793"/>
    </w:pPr>
    <w:rPr>
      <w:b w:val="0"/>
    </w:rPr>
  </w:style>
  <w:style w:type="character" w:customStyle="1" w:styleId="Appendix3Char">
    <w:name w:val="Appendix 3 Char"/>
    <w:basedOn w:val="Appendix2Char"/>
    <w:link w:val="Appendix3"/>
    <w:uiPriority w:val="1"/>
    <w:rsid w:val="005B344A"/>
    <w:rPr>
      <w:b w:val="0"/>
      <w:color w:val="000000" w:themeColor="accent1"/>
      <w:szCs w:val="32"/>
    </w:rPr>
  </w:style>
  <w:style w:type="paragraph" w:customStyle="1" w:styleId="NormalSpace">
    <w:name w:val="Normal Space"/>
    <w:basedOn w:val="Normal"/>
    <w:uiPriority w:val="1"/>
    <w:qFormat/>
    <w:rsid w:val="008524B6"/>
    <w:pPr>
      <w:spacing w:before="160" w:after="0"/>
    </w:pPr>
    <w:rPr>
      <w:rFonts w:eastAsia="Times New Roman" w:cs="Times New Roman"/>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oleObject" Target="embeddings/oleObject1.bin"/><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c.DatteroSnell\AppData\Local\Temp\Templafy\WordVsto\d4xouvyu.dotx" TargetMode="External"/></Relationships>
</file>

<file path=word/theme/theme1.xml><?xml version="1.0" encoding="utf-8"?>
<a:theme xmlns:a="http://schemas.openxmlformats.org/drawingml/2006/main" name="Beta Global PowerPoint Theme">
  <a:themeElements>
    <a:clrScheme name="Custom 1">
      <a:dk1>
        <a:srgbClr val="000000"/>
      </a:dk1>
      <a:lt1>
        <a:srgbClr val="FFFFFF"/>
      </a:lt1>
      <a:dk2>
        <a:srgbClr val="000000"/>
      </a:dk2>
      <a:lt2>
        <a:srgbClr val="FFFFFF"/>
      </a:lt2>
      <a:accent1>
        <a:srgbClr val="000000"/>
      </a:accent1>
      <a:accent2>
        <a:srgbClr val="7D4196"/>
      </a:accent2>
      <a:accent3>
        <a:srgbClr val="005AAA"/>
      </a:accent3>
      <a:accent4>
        <a:srgbClr val="32A4A0"/>
      </a:accent4>
      <a:accent5>
        <a:srgbClr val="C83C96"/>
      </a:accent5>
      <a:accent6>
        <a:srgbClr val="4BA046"/>
      </a:accent6>
      <a:hlink>
        <a:srgbClr val="606062"/>
      </a:hlink>
      <a:folHlink>
        <a:srgbClr val="C9C9C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eta Global PowerPoint Theme" id="{48507DCA-B01D-4C51-AB34-C26769BB7696}" vid="{4F8A1479-1342-4FD4-AB1D-D4B06900CCB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Select date</PublishDate>
  <Abstract/>
  <CompanyAddress/>
  <CompanyPhone/>
  <CompanyFax/>
  <CompanyEmail/>
</CoverPageProperties>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E4A363CF4EE25A4988CFF07DD486B8D0" ma:contentTypeVersion="12" ma:contentTypeDescription="Create a new document." ma:contentTypeScope="" ma:versionID="fddb86ba2aff2917230cef0d01d670cf">
  <xsd:schema xmlns:xsd="http://www.w3.org/2001/XMLSchema" xmlns:xs="http://www.w3.org/2001/XMLSchema" xmlns:p="http://schemas.microsoft.com/office/2006/metadata/properties" xmlns:ns2="fa7dbfad-34cc-415c-baf6-1c14b95fd1d0" xmlns:ns3="8bc009e8-4fc7-481e-9d07-45c8f0dde832" targetNamespace="http://schemas.microsoft.com/office/2006/metadata/properties" ma:root="true" ma:fieldsID="795dd3e03207117d6ebcdcdb4344e86f" ns2:_="" ns3:_="">
    <xsd:import namespace="fa7dbfad-34cc-415c-baf6-1c14b95fd1d0"/>
    <xsd:import namespace="8bc009e8-4fc7-481e-9d07-45c8f0dd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dbfad-34cc-415c-baf6-1c14b95fd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c009e8-4fc7-481e-9d07-45c8f0dde8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bc009e8-4fc7-481e-9d07-45c8f0dde832">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TemplateConfiguration><![CDATA[{"elementsMetadata":[],"transformationConfigurations":[{"colorTheme":"{{DataSources.ColorThemes[\"Arup\"].ColorTheme}}","disableUpdates":false,"originalColorThemeXml":"<a:clrScheme name=\"Brugerdefineret 5\" xmlns:a=\"http://schemas.openxmlformats.org/drawingml/2006/main\"><a:dk1><a:srgbClr val=\"2C2C2D\" /></a:dk1><a:lt1><a:srgbClr val=\"FFFFFF\" /></a:lt1><a:dk2><a:srgbClr val=\"E61E28\" /></a:dk2><a:lt2><a:srgbClr val=\"FFFFFF\" /></a:lt2><a:accent1><a:srgbClr val=\"E61E28\" /></a:accent1><a:accent2><a:srgbClr val=\"7D4196\" /></a:accent2><a:accent3><a:srgbClr val=\"005AAA\" /></a:accent3><a:accent4><a:srgbClr val=\"32A4A0\" /></a:accent4><a:accent5><a:srgbClr val=\"C83C96\" /></a:accent5><a:accent6><a:srgbClr val=\"4BA046\" /></a:accent6><a:hlink><a:srgbClr val=\"606062\" /></a:hlink><a:folHlink><a:srgbClr val=\"C9C9CA\" /></a:folHlink></a:clrScheme>","type":"colorTheme"},{"language":"{{UserProfile.DocumentLanguage.Language}}","disableUpdates":false,"type":"proofingLanguage"},{"topMargin":"{{UserProfile.PageSetup.TopMargin}}","rightMargin":"{{UserProfile.PageSetup.RightMargin}}","bottomMargin":"{{UserProfile.PageSetup.BottomMargin}}","leftMargin":"{{UserProfile.PageSetup.LeftMargin}}","gutter":"0 cm","gutterPosition":"{{GutterPosition.Left}}","orientation":"{{Orientation.Portrait}}","paperWidth":"{{UserProfile.PageSetup.PageWidth}}","paperHeight":"{{UserProfile.PageSetup.PageHeight}}","headerFromEdge":"1.5 cm","footerFromEdge":"1.5 cm","originalValues":{"topMargin":1701,"rightMargin":1134,"bottomMargin":1418,"leftMargin":1134,"gutter":0,"gutterPosition":"left","orientation":"portrait","paperWidth":11907,"paperHeight":16839,"headerFromEdge":851,"footerFromEdge":851},"disableUpdates":false,"type":"pageSetup"}],"templateName":"Blank","templateDescription":"","enableDocumentContentUpdater":true,"version":"2.0"}]]></TemplafyTemplateConfiguratio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095FF5-0B54-4C42-9345-A94E5482D7B2}">
  <ds:schemaRefs/>
</ds:datastoreItem>
</file>

<file path=customXml/itemProps3.xml><?xml version="1.0" encoding="utf-8"?>
<ds:datastoreItem xmlns:ds="http://schemas.openxmlformats.org/officeDocument/2006/customXml" ds:itemID="{EC0E4F03-70DE-4192-80BD-40B43C0FA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dbfad-34cc-415c-baf6-1c14b95fd1d0"/>
    <ds:schemaRef ds:uri="8bc009e8-4fc7-481e-9d07-45c8f0dd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03729-6A3C-4885-ABFF-59EC9BEAF5E7}">
  <ds:schemaRefs>
    <ds:schemaRef ds:uri="http://schemas.microsoft.com/office/2006/metadata/properties"/>
    <ds:schemaRef ds:uri="http://schemas.microsoft.com/office/infopath/2007/PartnerControls"/>
    <ds:schemaRef ds:uri="8bc009e8-4fc7-481e-9d07-45c8f0dde832"/>
  </ds:schemaRefs>
</ds:datastoreItem>
</file>

<file path=customXml/itemProps5.xml><?xml version="1.0" encoding="utf-8"?>
<ds:datastoreItem xmlns:ds="http://schemas.openxmlformats.org/officeDocument/2006/customXml" ds:itemID="{DCE92734-7868-46BA-A6B8-7CD6088B7E3F}">
  <ds:schemaRefs>
    <ds:schemaRef ds:uri="http://schemas.openxmlformats.org/officeDocument/2006/bibliography"/>
  </ds:schemaRefs>
</ds:datastoreItem>
</file>

<file path=customXml/itemProps6.xml><?xml version="1.0" encoding="utf-8"?>
<ds:datastoreItem xmlns:ds="http://schemas.openxmlformats.org/officeDocument/2006/customXml" ds:itemID="{3AA89657-663A-4AE2-BC04-8F68AC1A86AE}">
  <ds:schemaRefs/>
</ds:datastoreItem>
</file>

<file path=customXml/itemProps7.xml><?xml version="1.0" encoding="utf-8"?>
<ds:datastoreItem xmlns:ds="http://schemas.openxmlformats.org/officeDocument/2006/customXml" ds:itemID="{C6F135AA-8961-40FA-A919-0A0FFC231808}">
  <ds:schemaRefs>
    <ds:schemaRef ds:uri="http://schemas.microsoft.com/sharepoint/v3/contenttype/forms"/>
  </ds:schemaRefs>
</ds:datastoreItem>
</file>

<file path=docMetadata/LabelInfo.xml><?xml version="1.0" encoding="utf-8"?>
<clbl:labelList xmlns:clbl="http://schemas.microsoft.com/office/2020/mipLabelMetadata">
  <clbl:label id="{0c2b02b8-d38a-4df9-8a70-6366be141b0b}"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d4xouvyu</Template>
  <TotalTime>451</TotalTime>
  <Pages>43</Pages>
  <Words>11333</Words>
  <Characters>64600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75782</CharactersWithSpaces>
  <SharedDoc>false</SharedDoc>
  <HLinks>
    <vt:vector size="318" baseType="variant">
      <vt:variant>
        <vt:i4>1114171</vt:i4>
      </vt:variant>
      <vt:variant>
        <vt:i4>314</vt:i4>
      </vt:variant>
      <vt:variant>
        <vt:i4>0</vt:i4>
      </vt:variant>
      <vt:variant>
        <vt:i4>5</vt:i4>
      </vt:variant>
      <vt:variant>
        <vt:lpwstr/>
      </vt:variant>
      <vt:variant>
        <vt:lpwstr>_Toc211505875</vt:lpwstr>
      </vt:variant>
      <vt:variant>
        <vt:i4>1114171</vt:i4>
      </vt:variant>
      <vt:variant>
        <vt:i4>308</vt:i4>
      </vt:variant>
      <vt:variant>
        <vt:i4>0</vt:i4>
      </vt:variant>
      <vt:variant>
        <vt:i4>5</vt:i4>
      </vt:variant>
      <vt:variant>
        <vt:lpwstr/>
      </vt:variant>
      <vt:variant>
        <vt:lpwstr>_Toc211505874</vt:lpwstr>
      </vt:variant>
      <vt:variant>
        <vt:i4>1114171</vt:i4>
      </vt:variant>
      <vt:variant>
        <vt:i4>302</vt:i4>
      </vt:variant>
      <vt:variant>
        <vt:i4>0</vt:i4>
      </vt:variant>
      <vt:variant>
        <vt:i4>5</vt:i4>
      </vt:variant>
      <vt:variant>
        <vt:lpwstr/>
      </vt:variant>
      <vt:variant>
        <vt:lpwstr>_Toc211505873</vt:lpwstr>
      </vt:variant>
      <vt:variant>
        <vt:i4>1114171</vt:i4>
      </vt:variant>
      <vt:variant>
        <vt:i4>296</vt:i4>
      </vt:variant>
      <vt:variant>
        <vt:i4>0</vt:i4>
      </vt:variant>
      <vt:variant>
        <vt:i4>5</vt:i4>
      </vt:variant>
      <vt:variant>
        <vt:lpwstr/>
      </vt:variant>
      <vt:variant>
        <vt:lpwstr>_Toc211505872</vt:lpwstr>
      </vt:variant>
      <vt:variant>
        <vt:i4>1114171</vt:i4>
      </vt:variant>
      <vt:variant>
        <vt:i4>290</vt:i4>
      </vt:variant>
      <vt:variant>
        <vt:i4>0</vt:i4>
      </vt:variant>
      <vt:variant>
        <vt:i4>5</vt:i4>
      </vt:variant>
      <vt:variant>
        <vt:lpwstr/>
      </vt:variant>
      <vt:variant>
        <vt:lpwstr>_Toc211505871</vt:lpwstr>
      </vt:variant>
      <vt:variant>
        <vt:i4>1114171</vt:i4>
      </vt:variant>
      <vt:variant>
        <vt:i4>284</vt:i4>
      </vt:variant>
      <vt:variant>
        <vt:i4>0</vt:i4>
      </vt:variant>
      <vt:variant>
        <vt:i4>5</vt:i4>
      </vt:variant>
      <vt:variant>
        <vt:lpwstr/>
      </vt:variant>
      <vt:variant>
        <vt:lpwstr>_Toc211505870</vt:lpwstr>
      </vt:variant>
      <vt:variant>
        <vt:i4>1048635</vt:i4>
      </vt:variant>
      <vt:variant>
        <vt:i4>278</vt:i4>
      </vt:variant>
      <vt:variant>
        <vt:i4>0</vt:i4>
      </vt:variant>
      <vt:variant>
        <vt:i4>5</vt:i4>
      </vt:variant>
      <vt:variant>
        <vt:lpwstr/>
      </vt:variant>
      <vt:variant>
        <vt:lpwstr>_Toc211505869</vt:lpwstr>
      </vt:variant>
      <vt:variant>
        <vt:i4>1048635</vt:i4>
      </vt:variant>
      <vt:variant>
        <vt:i4>272</vt:i4>
      </vt:variant>
      <vt:variant>
        <vt:i4>0</vt:i4>
      </vt:variant>
      <vt:variant>
        <vt:i4>5</vt:i4>
      </vt:variant>
      <vt:variant>
        <vt:lpwstr/>
      </vt:variant>
      <vt:variant>
        <vt:lpwstr>_Toc211505868</vt:lpwstr>
      </vt:variant>
      <vt:variant>
        <vt:i4>1048635</vt:i4>
      </vt:variant>
      <vt:variant>
        <vt:i4>266</vt:i4>
      </vt:variant>
      <vt:variant>
        <vt:i4>0</vt:i4>
      </vt:variant>
      <vt:variant>
        <vt:i4>5</vt:i4>
      </vt:variant>
      <vt:variant>
        <vt:lpwstr/>
      </vt:variant>
      <vt:variant>
        <vt:lpwstr>_Toc211505867</vt:lpwstr>
      </vt:variant>
      <vt:variant>
        <vt:i4>1048635</vt:i4>
      </vt:variant>
      <vt:variant>
        <vt:i4>260</vt:i4>
      </vt:variant>
      <vt:variant>
        <vt:i4>0</vt:i4>
      </vt:variant>
      <vt:variant>
        <vt:i4>5</vt:i4>
      </vt:variant>
      <vt:variant>
        <vt:lpwstr/>
      </vt:variant>
      <vt:variant>
        <vt:lpwstr>_Toc211505866</vt:lpwstr>
      </vt:variant>
      <vt:variant>
        <vt:i4>1048635</vt:i4>
      </vt:variant>
      <vt:variant>
        <vt:i4>254</vt:i4>
      </vt:variant>
      <vt:variant>
        <vt:i4>0</vt:i4>
      </vt:variant>
      <vt:variant>
        <vt:i4>5</vt:i4>
      </vt:variant>
      <vt:variant>
        <vt:lpwstr/>
      </vt:variant>
      <vt:variant>
        <vt:lpwstr>_Toc211505865</vt:lpwstr>
      </vt:variant>
      <vt:variant>
        <vt:i4>1048635</vt:i4>
      </vt:variant>
      <vt:variant>
        <vt:i4>248</vt:i4>
      </vt:variant>
      <vt:variant>
        <vt:i4>0</vt:i4>
      </vt:variant>
      <vt:variant>
        <vt:i4>5</vt:i4>
      </vt:variant>
      <vt:variant>
        <vt:lpwstr/>
      </vt:variant>
      <vt:variant>
        <vt:lpwstr>_Toc211505864</vt:lpwstr>
      </vt:variant>
      <vt:variant>
        <vt:i4>1048635</vt:i4>
      </vt:variant>
      <vt:variant>
        <vt:i4>242</vt:i4>
      </vt:variant>
      <vt:variant>
        <vt:i4>0</vt:i4>
      </vt:variant>
      <vt:variant>
        <vt:i4>5</vt:i4>
      </vt:variant>
      <vt:variant>
        <vt:lpwstr/>
      </vt:variant>
      <vt:variant>
        <vt:lpwstr>_Toc211505863</vt:lpwstr>
      </vt:variant>
      <vt:variant>
        <vt:i4>1048635</vt:i4>
      </vt:variant>
      <vt:variant>
        <vt:i4>236</vt:i4>
      </vt:variant>
      <vt:variant>
        <vt:i4>0</vt:i4>
      </vt:variant>
      <vt:variant>
        <vt:i4>5</vt:i4>
      </vt:variant>
      <vt:variant>
        <vt:lpwstr/>
      </vt:variant>
      <vt:variant>
        <vt:lpwstr>_Toc211505862</vt:lpwstr>
      </vt:variant>
      <vt:variant>
        <vt:i4>1048635</vt:i4>
      </vt:variant>
      <vt:variant>
        <vt:i4>230</vt:i4>
      </vt:variant>
      <vt:variant>
        <vt:i4>0</vt:i4>
      </vt:variant>
      <vt:variant>
        <vt:i4>5</vt:i4>
      </vt:variant>
      <vt:variant>
        <vt:lpwstr/>
      </vt:variant>
      <vt:variant>
        <vt:lpwstr>_Toc211505861</vt:lpwstr>
      </vt:variant>
      <vt:variant>
        <vt:i4>1048635</vt:i4>
      </vt:variant>
      <vt:variant>
        <vt:i4>224</vt:i4>
      </vt:variant>
      <vt:variant>
        <vt:i4>0</vt:i4>
      </vt:variant>
      <vt:variant>
        <vt:i4>5</vt:i4>
      </vt:variant>
      <vt:variant>
        <vt:lpwstr/>
      </vt:variant>
      <vt:variant>
        <vt:lpwstr>_Toc211505860</vt:lpwstr>
      </vt:variant>
      <vt:variant>
        <vt:i4>1245243</vt:i4>
      </vt:variant>
      <vt:variant>
        <vt:i4>218</vt:i4>
      </vt:variant>
      <vt:variant>
        <vt:i4>0</vt:i4>
      </vt:variant>
      <vt:variant>
        <vt:i4>5</vt:i4>
      </vt:variant>
      <vt:variant>
        <vt:lpwstr/>
      </vt:variant>
      <vt:variant>
        <vt:lpwstr>_Toc211505859</vt:lpwstr>
      </vt:variant>
      <vt:variant>
        <vt:i4>1245243</vt:i4>
      </vt:variant>
      <vt:variant>
        <vt:i4>212</vt:i4>
      </vt:variant>
      <vt:variant>
        <vt:i4>0</vt:i4>
      </vt:variant>
      <vt:variant>
        <vt:i4>5</vt:i4>
      </vt:variant>
      <vt:variant>
        <vt:lpwstr/>
      </vt:variant>
      <vt:variant>
        <vt:lpwstr>_Toc211505858</vt:lpwstr>
      </vt:variant>
      <vt:variant>
        <vt:i4>1245243</vt:i4>
      </vt:variant>
      <vt:variant>
        <vt:i4>206</vt:i4>
      </vt:variant>
      <vt:variant>
        <vt:i4>0</vt:i4>
      </vt:variant>
      <vt:variant>
        <vt:i4>5</vt:i4>
      </vt:variant>
      <vt:variant>
        <vt:lpwstr/>
      </vt:variant>
      <vt:variant>
        <vt:lpwstr>_Toc211505857</vt:lpwstr>
      </vt:variant>
      <vt:variant>
        <vt:i4>1245243</vt:i4>
      </vt:variant>
      <vt:variant>
        <vt:i4>200</vt:i4>
      </vt:variant>
      <vt:variant>
        <vt:i4>0</vt:i4>
      </vt:variant>
      <vt:variant>
        <vt:i4>5</vt:i4>
      </vt:variant>
      <vt:variant>
        <vt:lpwstr/>
      </vt:variant>
      <vt:variant>
        <vt:lpwstr>_Toc211505856</vt:lpwstr>
      </vt:variant>
      <vt:variant>
        <vt:i4>1245243</vt:i4>
      </vt:variant>
      <vt:variant>
        <vt:i4>194</vt:i4>
      </vt:variant>
      <vt:variant>
        <vt:i4>0</vt:i4>
      </vt:variant>
      <vt:variant>
        <vt:i4>5</vt:i4>
      </vt:variant>
      <vt:variant>
        <vt:lpwstr/>
      </vt:variant>
      <vt:variant>
        <vt:lpwstr>_Toc211505855</vt:lpwstr>
      </vt:variant>
      <vt:variant>
        <vt:i4>1245243</vt:i4>
      </vt:variant>
      <vt:variant>
        <vt:i4>188</vt:i4>
      </vt:variant>
      <vt:variant>
        <vt:i4>0</vt:i4>
      </vt:variant>
      <vt:variant>
        <vt:i4>5</vt:i4>
      </vt:variant>
      <vt:variant>
        <vt:lpwstr/>
      </vt:variant>
      <vt:variant>
        <vt:lpwstr>_Toc211505854</vt:lpwstr>
      </vt:variant>
      <vt:variant>
        <vt:i4>1245243</vt:i4>
      </vt:variant>
      <vt:variant>
        <vt:i4>182</vt:i4>
      </vt:variant>
      <vt:variant>
        <vt:i4>0</vt:i4>
      </vt:variant>
      <vt:variant>
        <vt:i4>5</vt:i4>
      </vt:variant>
      <vt:variant>
        <vt:lpwstr/>
      </vt:variant>
      <vt:variant>
        <vt:lpwstr>_Toc211505853</vt:lpwstr>
      </vt:variant>
      <vt:variant>
        <vt:i4>1245243</vt:i4>
      </vt:variant>
      <vt:variant>
        <vt:i4>176</vt:i4>
      </vt:variant>
      <vt:variant>
        <vt:i4>0</vt:i4>
      </vt:variant>
      <vt:variant>
        <vt:i4>5</vt:i4>
      </vt:variant>
      <vt:variant>
        <vt:lpwstr/>
      </vt:variant>
      <vt:variant>
        <vt:lpwstr>_Toc211505852</vt:lpwstr>
      </vt:variant>
      <vt:variant>
        <vt:i4>1245243</vt:i4>
      </vt:variant>
      <vt:variant>
        <vt:i4>170</vt:i4>
      </vt:variant>
      <vt:variant>
        <vt:i4>0</vt:i4>
      </vt:variant>
      <vt:variant>
        <vt:i4>5</vt:i4>
      </vt:variant>
      <vt:variant>
        <vt:lpwstr/>
      </vt:variant>
      <vt:variant>
        <vt:lpwstr>_Toc211505851</vt:lpwstr>
      </vt:variant>
      <vt:variant>
        <vt:i4>1245243</vt:i4>
      </vt:variant>
      <vt:variant>
        <vt:i4>164</vt:i4>
      </vt:variant>
      <vt:variant>
        <vt:i4>0</vt:i4>
      </vt:variant>
      <vt:variant>
        <vt:i4>5</vt:i4>
      </vt:variant>
      <vt:variant>
        <vt:lpwstr/>
      </vt:variant>
      <vt:variant>
        <vt:lpwstr>_Toc211505850</vt:lpwstr>
      </vt:variant>
      <vt:variant>
        <vt:i4>1179707</vt:i4>
      </vt:variant>
      <vt:variant>
        <vt:i4>158</vt:i4>
      </vt:variant>
      <vt:variant>
        <vt:i4>0</vt:i4>
      </vt:variant>
      <vt:variant>
        <vt:i4>5</vt:i4>
      </vt:variant>
      <vt:variant>
        <vt:lpwstr/>
      </vt:variant>
      <vt:variant>
        <vt:lpwstr>_Toc211505849</vt:lpwstr>
      </vt:variant>
      <vt:variant>
        <vt:i4>1179707</vt:i4>
      </vt:variant>
      <vt:variant>
        <vt:i4>152</vt:i4>
      </vt:variant>
      <vt:variant>
        <vt:i4>0</vt:i4>
      </vt:variant>
      <vt:variant>
        <vt:i4>5</vt:i4>
      </vt:variant>
      <vt:variant>
        <vt:lpwstr/>
      </vt:variant>
      <vt:variant>
        <vt:lpwstr>_Toc211505848</vt:lpwstr>
      </vt:variant>
      <vt:variant>
        <vt:i4>1179707</vt:i4>
      </vt:variant>
      <vt:variant>
        <vt:i4>146</vt:i4>
      </vt:variant>
      <vt:variant>
        <vt:i4>0</vt:i4>
      </vt:variant>
      <vt:variant>
        <vt:i4>5</vt:i4>
      </vt:variant>
      <vt:variant>
        <vt:lpwstr/>
      </vt:variant>
      <vt:variant>
        <vt:lpwstr>_Toc211505847</vt:lpwstr>
      </vt:variant>
      <vt:variant>
        <vt:i4>1179707</vt:i4>
      </vt:variant>
      <vt:variant>
        <vt:i4>140</vt:i4>
      </vt:variant>
      <vt:variant>
        <vt:i4>0</vt:i4>
      </vt:variant>
      <vt:variant>
        <vt:i4>5</vt:i4>
      </vt:variant>
      <vt:variant>
        <vt:lpwstr/>
      </vt:variant>
      <vt:variant>
        <vt:lpwstr>_Toc211505846</vt:lpwstr>
      </vt:variant>
      <vt:variant>
        <vt:i4>1179707</vt:i4>
      </vt:variant>
      <vt:variant>
        <vt:i4>134</vt:i4>
      </vt:variant>
      <vt:variant>
        <vt:i4>0</vt:i4>
      </vt:variant>
      <vt:variant>
        <vt:i4>5</vt:i4>
      </vt:variant>
      <vt:variant>
        <vt:lpwstr/>
      </vt:variant>
      <vt:variant>
        <vt:lpwstr>_Toc211505845</vt:lpwstr>
      </vt:variant>
      <vt:variant>
        <vt:i4>1179707</vt:i4>
      </vt:variant>
      <vt:variant>
        <vt:i4>128</vt:i4>
      </vt:variant>
      <vt:variant>
        <vt:i4>0</vt:i4>
      </vt:variant>
      <vt:variant>
        <vt:i4>5</vt:i4>
      </vt:variant>
      <vt:variant>
        <vt:lpwstr/>
      </vt:variant>
      <vt:variant>
        <vt:lpwstr>_Toc211505844</vt:lpwstr>
      </vt:variant>
      <vt:variant>
        <vt:i4>1179707</vt:i4>
      </vt:variant>
      <vt:variant>
        <vt:i4>122</vt:i4>
      </vt:variant>
      <vt:variant>
        <vt:i4>0</vt:i4>
      </vt:variant>
      <vt:variant>
        <vt:i4>5</vt:i4>
      </vt:variant>
      <vt:variant>
        <vt:lpwstr/>
      </vt:variant>
      <vt:variant>
        <vt:lpwstr>_Toc211505843</vt:lpwstr>
      </vt:variant>
      <vt:variant>
        <vt:i4>1179707</vt:i4>
      </vt:variant>
      <vt:variant>
        <vt:i4>116</vt:i4>
      </vt:variant>
      <vt:variant>
        <vt:i4>0</vt:i4>
      </vt:variant>
      <vt:variant>
        <vt:i4>5</vt:i4>
      </vt:variant>
      <vt:variant>
        <vt:lpwstr/>
      </vt:variant>
      <vt:variant>
        <vt:lpwstr>_Toc211505842</vt:lpwstr>
      </vt:variant>
      <vt:variant>
        <vt:i4>1179707</vt:i4>
      </vt:variant>
      <vt:variant>
        <vt:i4>110</vt:i4>
      </vt:variant>
      <vt:variant>
        <vt:i4>0</vt:i4>
      </vt:variant>
      <vt:variant>
        <vt:i4>5</vt:i4>
      </vt:variant>
      <vt:variant>
        <vt:lpwstr/>
      </vt:variant>
      <vt:variant>
        <vt:lpwstr>_Toc211505841</vt:lpwstr>
      </vt:variant>
      <vt:variant>
        <vt:i4>1179707</vt:i4>
      </vt:variant>
      <vt:variant>
        <vt:i4>104</vt:i4>
      </vt:variant>
      <vt:variant>
        <vt:i4>0</vt:i4>
      </vt:variant>
      <vt:variant>
        <vt:i4>5</vt:i4>
      </vt:variant>
      <vt:variant>
        <vt:lpwstr/>
      </vt:variant>
      <vt:variant>
        <vt:lpwstr>_Toc211505840</vt:lpwstr>
      </vt:variant>
      <vt:variant>
        <vt:i4>1376315</vt:i4>
      </vt:variant>
      <vt:variant>
        <vt:i4>98</vt:i4>
      </vt:variant>
      <vt:variant>
        <vt:i4>0</vt:i4>
      </vt:variant>
      <vt:variant>
        <vt:i4>5</vt:i4>
      </vt:variant>
      <vt:variant>
        <vt:lpwstr/>
      </vt:variant>
      <vt:variant>
        <vt:lpwstr>_Toc211505839</vt:lpwstr>
      </vt:variant>
      <vt:variant>
        <vt:i4>1376315</vt:i4>
      </vt:variant>
      <vt:variant>
        <vt:i4>92</vt:i4>
      </vt:variant>
      <vt:variant>
        <vt:i4>0</vt:i4>
      </vt:variant>
      <vt:variant>
        <vt:i4>5</vt:i4>
      </vt:variant>
      <vt:variant>
        <vt:lpwstr/>
      </vt:variant>
      <vt:variant>
        <vt:lpwstr>_Toc211505838</vt:lpwstr>
      </vt:variant>
      <vt:variant>
        <vt:i4>1376315</vt:i4>
      </vt:variant>
      <vt:variant>
        <vt:i4>86</vt:i4>
      </vt:variant>
      <vt:variant>
        <vt:i4>0</vt:i4>
      </vt:variant>
      <vt:variant>
        <vt:i4>5</vt:i4>
      </vt:variant>
      <vt:variant>
        <vt:lpwstr/>
      </vt:variant>
      <vt:variant>
        <vt:lpwstr>_Toc211505837</vt:lpwstr>
      </vt:variant>
      <vt:variant>
        <vt:i4>1376315</vt:i4>
      </vt:variant>
      <vt:variant>
        <vt:i4>80</vt:i4>
      </vt:variant>
      <vt:variant>
        <vt:i4>0</vt:i4>
      </vt:variant>
      <vt:variant>
        <vt:i4>5</vt:i4>
      </vt:variant>
      <vt:variant>
        <vt:lpwstr/>
      </vt:variant>
      <vt:variant>
        <vt:lpwstr>_Toc211505836</vt:lpwstr>
      </vt:variant>
      <vt:variant>
        <vt:i4>1376315</vt:i4>
      </vt:variant>
      <vt:variant>
        <vt:i4>74</vt:i4>
      </vt:variant>
      <vt:variant>
        <vt:i4>0</vt:i4>
      </vt:variant>
      <vt:variant>
        <vt:i4>5</vt:i4>
      </vt:variant>
      <vt:variant>
        <vt:lpwstr/>
      </vt:variant>
      <vt:variant>
        <vt:lpwstr>_Toc211505835</vt:lpwstr>
      </vt:variant>
      <vt:variant>
        <vt:i4>1376315</vt:i4>
      </vt:variant>
      <vt:variant>
        <vt:i4>68</vt:i4>
      </vt:variant>
      <vt:variant>
        <vt:i4>0</vt:i4>
      </vt:variant>
      <vt:variant>
        <vt:i4>5</vt:i4>
      </vt:variant>
      <vt:variant>
        <vt:lpwstr/>
      </vt:variant>
      <vt:variant>
        <vt:lpwstr>_Toc211505834</vt:lpwstr>
      </vt:variant>
      <vt:variant>
        <vt:i4>1376315</vt:i4>
      </vt:variant>
      <vt:variant>
        <vt:i4>62</vt:i4>
      </vt:variant>
      <vt:variant>
        <vt:i4>0</vt:i4>
      </vt:variant>
      <vt:variant>
        <vt:i4>5</vt:i4>
      </vt:variant>
      <vt:variant>
        <vt:lpwstr/>
      </vt:variant>
      <vt:variant>
        <vt:lpwstr>_Toc211505833</vt:lpwstr>
      </vt:variant>
      <vt:variant>
        <vt:i4>1376315</vt:i4>
      </vt:variant>
      <vt:variant>
        <vt:i4>56</vt:i4>
      </vt:variant>
      <vt:variant>
        <vt:i4>0</vt:i4>
      </vt:variant>
      <vt:variant>
        <vt:i4>5</vt:i4>
      </vt:variant>
      <vt:variant>
        <vt:lpwstr/>
      </vt:variant>
      <vt:variant>
        <vt:lpwstr>_Toc211505832</vt:lpwstr>
      </vt:variant>
      <vt:variant>
        <vt:i4>1376315</vt:i4>
      </vt:variant>
      <vt:variant>
        <vt:i4>50</vt:i4>
      </vt:variant>
      <vt:variant>
        <vt:i4>0</vt:i4>
      </vt:variant>
      <vt:variant>
        <vt:i4>5</vt:i4>
      </vt:variant>
      <vt:variant>
        <vt:lpwstr/>
      </vt:variant>
      <vt:variant>
        <vt:lpwstr>_Toc211505831</vt:lpwstr>
      </vt:variant>
      <vt:variant>
        <vt:i4>1376315</vt:i4>
      </vt:variant>
      <vt:variant>
        <vt:i4>44</vt:i4>
      </vt:variant>
      <vt:variant>
        <vt:i4>0</vt:i4>
      </vt:variant>
      <vt:variant>
        <vt:i4>5</vt:i4>
      </vt:variant>
      <vt:variant>
        <vt:lpwstr/>
      </vt:variant>
      <vt:variant>
        <vt:lpwstr>_Toc211505830</vt:lpwstr>
      </vt:variant>
      <vt:variant>
        <vt:i4>1310779</vt:i4>
      </vt:variant>
      <vt:variant>
        <vt:i4>38</vt:i4>
      </vt:variant>
      <vt:variant>
        <vt:i4>0</vt:i4>
      </vt:variant>
      <vt:variant>
        <vt:i4>5</vt:i4>
      </vt:variant>
      <vt:variant>
        <vt:lpwstr/>
      </vt:variant>
      <vt:variant>
        <vt:lpwstr>_Toc211505829</vt:lpwstr>
      </vt:variant>
      <vt:variant>
        <vt:i4>1310779</vt:i4>
      </vt:variant>
      <vt:variant>
        <vt:i4>32</vt:i4>
      </vt:variant>
      <vt:variant>
        <vt:i4>0</vt:i4>
      </vt:variant>
      <vt:variant>
        <vt:i4>5</vt:i4>
      </vt:variant>
      <vt:variant>
        <vt:lpwstr/>
      </vt:variant>
      <vt:variant>
        <vt:lpwstr>_Toc211505828</vt:lpwstr>
      </vt:variant>
      <vt:variant>
        <vt:i4>1310779</vt:i4>
      </vt:variant>
      <vt:variant>
        <vt:i4>26</vt:i4>
      </vt:variant>
      <vt:variant>
        <vt:i4>0</vt:i4>
      </vt:variant>
      <vt:variant>
        <vt:i4>5</vt:i4>
      </vt:variant>
      <vt:variant>
        <vt:lpwstr/>
      </vt:variant>
      <vt:variant>
        <vt:lpwstr>_Toc211505827</vt:lpwstr>
      </vt:variant>
      <vt:variant>
        <vt:i4>1310779</vt:i4>
      </vt:variant>
      <vt:variant>
        <vt:i4>20</vt:i4>
      </vt:variant>
      <vt:variant>
        <vt:i4>0</vt:i4>
      </vt:variant>
      <vt:variant>
        <vt:i4>5</vt:i4>
      </vt:variant>
      <vt:variant>
        <vt:lpwstr/>
      </vt:variant>
      <vt:variant>
        <vt:lpwstr>_Toc211505826</vt:lpwstr>
      </vt:variant>
      <vt:variant>
        <vt:i4>1310779</vt:i4>
      </vt:variant>
      <vt:variant>
        <vt:i4>14</vt:i4>
      </vt:variant>
      <vt:variant>
        <vt:i4>0</vt:i4>
      </vt:variant>
      <vt:variant>
        <vt:i4>5</vt:i4>
      </vt:variant>
      <vt:variant>
        <vt:lpwstr/>
      </vt:variant>
      <vt:variant>
        <vt:lpwstr>_Toc211505825</vt:lpwstr>
      </vt:variant>
      <vt:variant>
        <vt:i4>1310779</vt:i4>
      </vt:variant>
      <vt:variant>
        <vt:i4>8</vt:i4>
      </vt:variant>
      <vt:variant>
        <vt:i4>0</vt:i4>
      </vt:variant>
      <vt:variant>
        <vt:i4>5</vt:i4>
      </vt:variant>
      <vt:variant>
        <vt:lpwstr/>
      </vt:variant>
      <vt:variant>
        <vt:lpwstr>_Toc211505824</vt:lpwstr>
      </vt:variant>
      <vt:variant>
        <vt:i4>1310779</vt:i4>
      </vt:variant>
      <vt:variant>
        <vt:i4>2</vt:i4>
      </vt:variant>
      <vt:variant>
        <vt:i4>0</vt:i4>
      </vt:variant>
      <vt:variant>
        <vt:i4>5</vt:i4>
      </vt:variant>
      <vt:variant>
        <vt:lpwstr/>
      </vt:variant>
      <vt:variant>
        <vt:lpwstr>_Toc211505823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Dattero Snell</dc:creator>
  <cp:keywords/>
  <dc:description/>
  <cp:lastModifiedBy>Dylan Llewelyn Jones</cp:lastModifiedBy>
  <cp:revision>221</cp:revision>
  <dcterms:created xsi:type="dcterms:W3CDTF">2025-08-06T20:42:00Z</dcterms:created>
  <dcterms:modified xsi:type="dcterms:W3CDTF">2025-10-24T13:04:00Z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TemplateType">
    <vt:lpwstr>ArupBlank</vt:lpwstr>
  </property>
  <property fmtid="{D5CDD505-2E9C-101B-9397-08002B2CF9AE}" pid="3" name="TemplafyTenantId">
    <vt:lpwstr>arup</vt:lpwstr>
  </property>
  <property fmtid="{D5CDD505-2E9C-101B-9397-08002B2CF9AE}" pid="4" name="TemplafyTemplateId">
    <vt:lpwstr>1085366625474969636</vt:lpwstr>
  </property>
  <property fmtid="{D5CDD505-2E9C-101B-9397-08002B2CF9AE}" pid="5" name="TemplafyUserProfileId">
    <vt:lpwstr>637979759766148390</vt:lpwstr>
  </property>
  <property fmtid="{D5CDD505-2E9C-101B-9397-08002B2CF9AE}" pid="6" name="TemplafyLanguageCode">
    <vt:lpwstr>en-GB</vt:lpwstr>
  </property>
  <property fmtid="{D5CDD505-2E9C-101B-9397-08002B2CF9AE}" pid="7" name="TemplafyFromBlank">
    <vt:bool>true</vt:bool>
  </property>
</Properties>
</file>