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596FB" w14:textId="35541ACB" w:rsidR="008B3C1D" w:rsidRDefault="00D44EE8">
      <w:r>
        <w:rPr>
          <w:noProof/>
        </w:rPr>
        <w:drawing>
          <wp:anchor distT="0" distB="0" distL="114300" distR="114300" simplePos="0" relativeHeight="251658240" behindDoc="0" locked="0" layoutInCell="1" allowOverlap="1" wp14:anchorId="489E6C43" wp14:editId="3794DB95">
            <wp:simplePos x="0" y="0"/>
            <wp:positionH relativeFrom="margin">
              <wp:align>left</wp:align>
            </wp:positionH>
            <wp:positionV relativeFrom="paragraph">
              <wp:posOffset>-591037</wp:posOffset>
            </wp:positionV>
            <wp:extent cx="3275330" cy="1165225"/>
            <wp:effectExtent l="0" t="0" r="1270" b="0"/>
            <wp:wrapNone/>
            <wp:docPr id="330999289" name="Picture 330999289"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 name="Picture 197" descr="A picture containing 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275330" cy="1165225"/>
                    </a:xfrm>
                    <a:prstGeom prst="rect">
                      <a:avLst/>
                    </a:prstGeom>
                  </pic:spPr>
                </pic:pic>
              </a:graphicData>
            </a:graphic>
            <wp14:sizeRelH relativeFrom="page">
              <wp14:pctWidth>0</wp14:pctWidth>
            </wp14:sizeRelH>
            <wp14:sizeRelV relativeFrom="page">
              <wp14:pctHeight>0</wp14:pctHeight>
            </wp14:sizeRelV>
          </wp:anchor>
        </w:drawing>
      </w:r>
    </w:p>
    <w:p w14:paraId="02613637" w14:textId="77777777" w:rsidR="00530856" w:rsidRPr="00530856" w:rsidRDefault="00530856" w:rsidP="00530856"/>
    <w:p w14:paraId="584D8DBC" w14:textId="77777777" w:rsidR="00530856" w:rsidRPr="00530856" w:rsidRDefault="00530856" w:rsidP="00530856"/>
    <w:p w14:paraId="5C18B979" w14:textId="358781EE" w:rsidR="00530856" w:rsidRPr="00530856" w:rsidRDefault="00530856" w:rsidP="00530856"/>
    <w:p w14:paraId="29E5A328" w14:textId="2A906486" w:rsidR="00530856" w:rsidRPr="00530856" w:rsidRDefault="00AE1207" w:rsidP="00530856">
      <w:r>
        <w:rPr>
          <w:rFonts w:ascii="Aptos Display" w:hAnsi="Aptos Display" w:cs="LilyUPC"/>
          <w:b/>
          <w:bCs/>
          <w:noProof/>
          <w:color w:val="4472C4" w:themeColor="accent1"/>
          <w:sz w:val="54"/>
          <w:szCs w:val="54"/>
        </w:rPr>
        <mc:AlternateContent>
          <mc:Choice Requires="wps">
            <w:drawing>
              <wp:anchor distT="0" distB="0" distL="114300" distR="114300" simplePos="0" relativeHeight="251658241" behindDoc="0" locked="0" layoutInCell="1" allowOverlap="1" wp14:anchorId="48EC4069" wp14:editId="2D9AF080">
                <wp:simplePos x="0" y="0"/>
                <wp:positionH relativeFrom="margin">
                  <wp:posOffset>-425450</wp:posOffset>
                </wp:positionH>
                <wp:positionV relativeFrom="paragraph">
                  <wp:posOffset>185486</wp:posOffset>
                </wp:positionV>
                <wp:extent cx="5322570" cy="3830955"/>
                <wp:effectExtent l="0" t="0" r="0" b="0"/>
                <wp:wrapNone/>
                <wp:docPr id="971966599" name="Text Box 971966599"/>
                <wp:cNvGraphicFramePr/>
                <a:graphic xmlns:a="http://schemas.openxmlformats.org/drawingml/2006/main">
                  <a:graphicData uri="http://schemas.microsoft.com/office/word/2010/wordprocessingShape">
                    <wps:wsp>
                      <wps:cNvSpPr txBox="1"/>
                      <wps:spPr>
                        <a:xfrm>
                          <a:off x="0" y="0"/>
                          <a:ext cx="5322570" cy="3830955"/>
                        </a:xfrm>
                        <a:prstGeom prst="rect">
                          <a:avLst/>
                        </a:prstGeom>
                        <a:noFill/>
                        <a:ln w="6350">
                          <a:noFill/>
                        </a:ln>
                      </wps:spPr>
                      <wps:txbx>
                        <w:txbxContent>
                          <w:p w14:paraId="39E81177" w14:textId="18CFFBE6" w:rsidR="00530856" w:rsidRPr="00530856" w:rsidRDefault="00530856" w:rsidP="00530856">
                            <w:pPr>
                              <w:rPr>
                                <w:rFonts w:ascii="Montserrat" w:hAnsi="Montserrat" w:cs="LilyUPC"/>
                                <w:b/>
                                <w:bCs/>
                                <w:sz w:val="54"/>
                                <w:szCs w:val="54"/>
                                <w:shd w:val="clear" w:color="auto" w:fill="FFFFFF"/>
                              </w:rPr>
                            </w:pPr>
                            <w:r w:rsidRPr="001D21F4">
                              <w:rPr>
                                <w:rFonts w:ascii="Montserrat" w:hAnsi="Montserrat" w:cs="LilyUPC"/>
                                <w:b/>
                                <w:bCs/>
                                <w:sz w:val="54"/>
                                <w:szCs w:val="54"/>
                                <w:shd w:val="clear" w:color="auto" w:fill="FFFFFF"/>
                              </w:rPr>
                              <w:t xml:space="preserve">Invitation </w:t>
                            </w:r>
                            <w:r>
                              <w:rPr>
                                <w:rFonts w:ascii="Montserrat" w:hAnsi="Montserrat" w:cs="LilyUPC"/>
                                <w:b/>
                                <w:bCs/>
                                <w:sz w:val="54"/>
                                <w:szCs w:val="54"/>
                                <w:shd w:val="clear" w:color="auto" w:fill="FFFFFF"/>
                              </w:rPr>
                              <w:t>T</w:t>
                            </w:r>
                            <w:r w:rsidRPr="001D21F4">
                              <w:rPr>
                                <w:rFonts w:ascii="Montserrat" w:hAnsi="Montserrat" w:cs="LilyUPC"/>
                                <w:b/>
                                <w:bCs/>
                                <w:sz w:val="54"/>
                                <w:szCs w:val="54"/>
                                <w:shd w:val="clear" w:color="auto" w:fill="FFFFFF"/>
                              </w:rPr>
                              <w:t xml:space="preserve">o </w:t>
                            </w:r>
                            <w:r>
                              <w:rPr>
                                <w:rFonts w:ascii="Montserrat" w:hAnsi="Montserrat" w:cs="LilyUPC"/>
                                <w:b/>
                                <w:bCs/>
                                <w:sz w:val="54"/>
                                <w:szCs w:val="54"/>
                                <w:shd w:val="clear" w:color="auto" w:fill="FFFFFF"/>
                              </w:rPr>
                              <w:t>T</w:t>
                            </w:r>
                            <w:r w:rsidRPr="001D21F4">
                              <w:rPr>
                                <w:rFonts w:ascii="Montserrat" w:hAnsi="Montserrat" w:cs="LilyUPC"/>
                                <w:b/>
                                <w:bCs/>
                                <w:sz w:val="54"/>
                                <w:szCs w:val="54"/>
                                <w:shd w:val="clear" w:color="auto" w:fill="FFFFFF"/>
                              </w:rPr>
                              <w:t>ender</w:t>
                            </w:r>
                          </w:p>
                          <w:p w14:paraId="2023EFA2" w14:textId="30B99B1A" w:rsidR="003E66C4" w:rsidRDefault="007B1463" w:rsidP="003E66C4">
                            <w:pPr>
                              <w:rPr>
                                <w:rFonts w:ascii="Montserrat" w:hAnsi="Montserrat" w:cs="LilyUPC"/>
                                <w:b/>
                                <w:bCs/>
                                <w:caps/>
                                <w:sz w:val="54"/>
                                <w:szCs w:val="54"/>
                                <w:shd w:val="clear" w:color="auto" w:fill="FFFFFF"/>
                              </w:rPr>
                            </w:pPr>
                            <w:r>
                              <w:rPr>
                                <w:rFonts w:ascii="Montserrat" w:hAnsi="Montserrat" w:cs="LilyUPC"/>
                                <w:b/>
                                <w:bCs/>
                                <w:caps/>
                                <w:sz w:val="54"/>
                                <w:szCs w:val="54"/>
                                <w:shd w:val="clear" w:color="auto" w:fill="FFFFFF"/>
                              </w:rPr>
                              <w:t xml:space="preserve">MVH25026 - </w:t>
                            </w:r>
                            <w:r w:rsidR="003E66C4" w:rsidRPr="004A226B">
                              <w:rPr>
                                <w:rFonts w:ascii="Montserrat" w:hAnsi="Montserrat" w:cs="LilyUPC"/>
                                <w:b/>
                                <w:bCs/>
                                <w:caps/>
                                <w:sz w:val="54"/>
                                <w:szCs w:val="54"/>
                                <w:shd w:val="clear" w:color="auto" w:fill="FFFFFF"/>
                              </w:rPr>
                              <w:t>Demolition</w:t>
                            </w:r>
                            <w:r w:rsidR="003E66C4">
                              <w:rPr>
                                <w:rFonts w:ascii="Montserrat" w:hAnsi="Montserrat" w:cs="LilyUPC"/>
                                <w:b/>
                                <w:bCs/>
                                <w:caps/>
                                <w:sz w:val="54"/>
                                <w:szCs w:val="54"/>
                                <w:shd w:val="clear" w:color="auto" w:fill="FFFFFF"/>
                              </w:rPr>
                              <w:t xml:space="preserve"> </w:t>
                            </w:r>
                            <w:r w:rsidR="003E66C4" w:rsidRPr="004A226B">
                              <w:rPr>
                                <w:rFonts w:ascii="Montserrat" w:hAnsi="Montserrat" w:cs="LilyUPC"/>
                                <w:b/>
                                <w:bCs/>
                                <w:caps/>
                                <w:sz w:val="54"/>
                                <w:szCs w:val="54"/>
                                <w:shd w:val="clear" w:color="auto" w:fill="FFFFFF"/>
                              </w:rPr>
                              <w:t>at Yew Close</w:t>
                            </w:r>
                            <w:r w:rsidR="003E66C4">
                              <w:rPr>
                                <w:rFonts w:ascii="Montserrat" w:hAnsi="Montserrat" w:cs="LilyUPC"/>
                                <w:b/>
                                <w:bCs/>
                                <w:caps/>
                                <w:sz w:val="54"/>
                                <w:szCs w:val="54"/>
                                <w:shd w:val="clear" w:color="auto" w:fill="FFFFFF"/>
                              </w:rPr>
                              <w:t xml:space="preserve"> GARAGES</w:t>
                            </w:r>
                            <w:r w:rsidR="003E66C4" w:rsidRPr="004A226B">
                              <w:rPr>
                                <w:rFonts w:ascii="Montserrat" w:hAnsi="Montserrat" w:cs="LilyUPC"/>
                                <w:b/>
                                <w:bCs/>
                                <w:caps/>
                                <w:sz w:val="54"/>
                                <w:szCs w:val="54"/>
                                <w:shd w:val="clear" w:color="auto" w:fill="FFFFFF"/>
                              </w:rPr>
                              <w:t>, Gurnos Estate</w:t>
                            </w:r>
                          </w:p>
                          <w:p w14:paraId="7F46C174" w14:textId="77777777" w:rsidR="00530856" w:rsidRDefault="00530856" w:rsidP="00530856">
                            <w:pPr>
                              <w:rPr>
                                <w:rFonts w:ascii="Aptos" w:hAnsi="Aptos"/>
                                <w:b/>
                                <w:bCs/>
                                <w:sz w:val="36"/>
                                <w:szCs w:val="36"/>
                              </w:rPr>
                            </w:pPr>
                            <w:r w:rsidRPr="00D0776C">
                              <w:rPr>
                                <w:rFonts w:ascii="Aptos" w:hAnsi="Aptos"/>
                                <w:b/>
                                <w:bCs/>
                                <w:sz w:val="36"/>
                                <w:szCs w:val="36"/>
                              </w:rPr>
                              <w:t>Return Deadline</w:t>
                            </w:r>
                            <w:r>
                              <w:rPr>
                                <w:rFonts w:ascii="Aptos" w:hAnsi="Aptos"/>
                                <w:b/>
                                <w:bCs/>
                                <w:sz w:val="36"/>
                                <w:szCs w:val="36"/>
                              </w:rPr>
                              <w:t xml:space="preserve">: </w:t>
                            </w:r>
                          </w:p>
                          <w:p w14:paraId="58787C6B" w14:textId="64F45DF5" w:rsidR="00530856" w:rsidRPr="00D0776C" w:rsidRDefault="00D951C3" w:rsidP="00D951C3">
                            <w:pPr>
                              <w:rPr>
                                <w:rFonts w:ascii="Aptos" w:hAnsi="Aptos"/>
                                <w:sz w:val="36"/>
                                <w:szCs w:val="36"/>
                              </w:rPr>
                            </w:pPr>
                            <w:r w:rsidRPr="00D951C3">
                              <w:rPr>
                                <w:rFonts w:ascii="Aptos" w:hAnsi="Aptos"/>
                                <w:sz w:val="36"/>
                                <w:szCs w:val="36"/>
                              </w:rPr>
                              <w:t>27th November – 12.00 (noon)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8EC4069" id="_x0000_t202" coordsize="21600,21600" o:spt="202" path="m,l,21600r21600,l21600,xe">
                <v:stroke joinstyle="miter"/>
                <v:path gradientshapeok="t" o:connecttype="rect"/>
              </v:shapetype>
              <v:shape id="Text Box 971966599" o:spid="_x0000_s1026" type="#_x0000_t202" style="position:absolute;margin-left:-33.5pt;margin-top:14.6pt;width:419.1pt;height:301.65pt;z-index:251658241;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" filled="f" stroked="f" strokeweight=".5pt">
                <v:textbox>
                  <w:txbxContent>
                    <w:p w14:paraId="39E81177" w14:textId="18CFFBE6" w:rsidR="00530856" w:rsidRPr="00530856" w:rsidRDefault="00530856" w:rsidP="00530856">
                      <w:pPr>
                        <w:rPr>
                          <w:rFonts w:ascii="Montserrat" w:hAnsi="Montserrat" w:cs="LilyUPC"/>
                          <w:b/>
                          <w:bCs/>
                          <w:sz w:val="54"/>
                          <w:szCs w:val="54"/>
                          <w:shd w:val="clear" w:color="auto" w:fill="FFFFFF"/>
                        </w:rPr>
                      </w:pPr>
                      <w:r w:rsidRPr="001D21F4">
                        <w:rPr>
                          <w:rFonts w:ascii="Montserrat" w:hAnsi="Montserrat" w:cs="LilyUPC"/>
                          <w:b/>
                          <w:bCs/>
                          <w:sz w:val="54"/>
                          <w:szCs w:val="54"/>
                          <w:shd w:val="clear" w:color="auto" w:fill="FFFFFF"/>
                        </w:rPr>
                        <w:t xml:space="preserve">Invitation </w:t>
                      </w:r>
                      <w:r>
                        <w:rPr>
                          <w:rFonts w:ascii="Montserrat" w:hAnsi="Montserrat" w:cs="LilyUPC"/>
                          <w:b/>
                          <w:bCs/>
                          <w:sz w:val="54"/>
                          <w:szCs w:val="54"/>
                          <w:shd w:val="clear" w:color="auto" w:fill="FFFFFF"/>
                        </w:rPr>
                        <w:t>T</w:t>
                      </w:r>
                      <w:r w:rsidRPr="001D21F4">
                        <w:rPr>
                          <w:rFonts w:ascii="Montserrat" w:hAnsi="Montserrat" w:cs="LilyUPC"/>
                          <w:b/>
                          <w:bCs/>
                          <w:sz w:val="54"/>
                          <w:szCs w:val="54"/>
                          <w:shd w:val="clear" w:color="auto" w:fill="FFFFFF"/>
                        </w:rPr>
                        <w:t xml:space="preserve">o </w:t>
                      </w:r>
                      <w:r>
                        <w:rPr>
                          <w:rFonts w:ascii="Montserrat" w:hAnsi="Montserrat" w:cs="LilyUPC"/>
                          <w:b/>
                          <w:bCs/>
                          <w:sz w:val="54"/>
                          <w:szCs w:val="54"/>
                          <w:shd w:val="clear" w:color="auto" w:fill="FFFFFF"/>
                        </w:rPr>
                        <w:t>T</w:t>
                      </w:r>
                      <w:r w:rsidRPr="001D21F4">
                        <w:rPr>
                          <w:rFonts w:ascii="Montserrat" w:hAnsi="Montserrat" w:cs="LilyUPC"/>
                          <w:b/>
                          <w:bCs/>
                          <w:sz w:val="54"/>
                          <w:szCs w:val="54"/>
                          <w:shd w:val="clear" w:color="auto" w:fill="FFFFFF"/>
                        </w:rPr>
                        <w:t>ender</w:t>
                      </w:r>
                    </w:p>
                    <w:p w14:paraId="2023EFA2" w14:textId="30B99B1A" w:rsidR="003E66C4" w:rsidRDefault="007B1463" w:rsidP="003E66C4">
                      <w:pPr>
                        <w:rPr>
                          <w:rFonts w:ascii="Montserrat" w:hAnsi="Montserrat" w:cs="LilyUPC"/>
                          <w:b/>
                          <w:bCs/>
                          <w:caps/>
                          <w:sz w:val="54"/>
                          <w:szCs w:val="54"/>
                          <w:shd w:val="clear" w:color="auto" w:fill="FFFFFF"/>
                        </w:rPr>
                      </w:pPr>
                      <w:r>
                        <w:rPr>
                          <w:rFonts w:ascii="Montserrat" w:hAnsi="Montserrat" w:cs="LilyUPC"/>
                          <w:b/>
                          <w:bCs/>
                          <w:caps/>
                          <w:sz w:val="54"/>
                          <w:szCs w:val="54"/>
                          <w:shd w:val="clear" w:color="auto" w:fill="FFFFFF"/>
                        </w:rPr>
                        <w:t xml:space="preserve">MVH25026 - </w:t>
                      </w:r>
                      <w:r w:rsidR="003E66C4" w:rsidRPr="004A226B">
                        <w:rPr>
                          <w:rFonts w:ascii="Montserrat" w:hAnsi="Montserrat" w:cs="LilyUPC"/>
                          <w:b/>
                          <w:bCs/>
                          <w:caps/>
                          <w:sz w:val="54"/>
                          <w:szCs w:val="54"/>
                          <w:shd w:val="clear" w:color="auto" w:fill="FFFFFF"/>
                        </w:rPr>
                        <w:t>Demolition</w:t>
                      </w:r>
                      <w:r w:rsidR="003E66C4">
                        <w:rPr>
                          <w:rFonts w:ascii="Montserrat" w:hAnsi="Montserrat" w:cs="LilyUPC"/>
                          <w:b/>
                          <w:bCs/>
                          <w:caps/>
                          <w:sz w:val="54"/>
                          <w:szCs w:val="54"/>
                          <w:shd w:val="clear" w:color="auto" w:fill="FFFFFF"/>
                        </w:rPr>
                        <w:t xml:space="preserve"> </w:t>
                      </w:r>
                      <w:r w:rsidR="003E66C4" w:rsidRPr="004A226B">
                        <w:rPr>
                          <w:rFonts w:ascii="Montserrat" w:hAnsi="Montserrat" w:cs="LilyUPC"/>
                          <w:b/>
                          <w:bCs/>
                          <w:caps/>
                          <w:sz w:val="54"/>
                          <w:szCs w:val="54"/>
                          <w:shd w:val="clear" w:color="auto" w:fill="FFFFFF"/>
                        </w:rPr>
                        <w:t>at Yew Close</w:t>
                      </w:r>
                      <w:r w:rsidR="003E66C4">
                        <w:rPr>
                          <w:rFonts w:ascii="Montserrat" w:hAnsi="Montserrat" w:cs="LilyUPC"/>
                          <w:b/>
                          <w:bCs/>
                          <w:caps/>
                          <w:sz w:val="54"/>
                          <w:szCs w:val="54"/>
                          <w:shd w:val="clear" w:color="auto" w:fill="FFFFFF"/>
                        </w:rPr>
                        <w:t xml:space="preserve"> GARAGES</w:t>
                      </w:r>
                      <w:r w:rsidR="003E66C4" w:rsidRPr="004A226B">
                        <w:rPr>
                          <w:rFonts w:ascii="Montserrat" w:hAnsi="Montserrat" w:cs="LilyUPC"/>
                          <w:b/>
                          <w:bCs/>
                          <w:caps/>
                          <w:sz w:val="54"/>
                          <w:szCs w:val="54"/>
                          <w:shd w:val="clear" w:color="auto" w:fill="FFFFFF"/>
                        </w:rPr>
                        <w:t>, Gurnos Estate</w:t>
                      </w:r>
                    </w:p>
                    <w:p w14:paraId="7F46C174" w14:textId="77777777" w:rsidR="00530856" w:rsidRDefault="00530856" w:rsidP="00530856">
                      <w:pPr>
                        <w:rPr>
                          <w:rFonts w:ascii="Aptos" w:hAnsi="Aptos"/>
                          <w:b/>
                          <w:bCs/>
                          <w:sz w:val="36"/>
                          <w:szCs w:val="36"/>
                        </w:rPr>
                      </w:pPr>
                      <w:r w:rsidRPr="00D0776C">
                        <w:rPr>
                          <w:rFonts w:ascii="Aptos" w:hAnsi="Aptos"/>
                          <w:b/>
                          <w:bCs/>
                          <w:sz w:val="36"/>
                          <w:szCs w:val="36"/>
                        </w:rPr>
                        <w:t>Return Deadline</w:t>
                      </w:r>
                      <w:r>
                        <w:rPr>
                          <w:rFonts w:ascii="Aptos" w:hAnsi="Aptos"/>
                          <w:b/>
                          <w:bCs/>
                          <w:sz w:val="36"/>
                          <w:szCs w:val="36"/>
                        </w:rPr>
                        <w:t xml:space="preserve">: </w:t>
                      </w:r>
                    </w:p>
                    <w:p w14:paraId="58787C6B" w14:textId="64F45DF5" w:rsidR="00530856" w:rsidRPr="00D0776C" w:rsidRDefault="00D951C3" w:rsidP="00D951C3">
                      <w:pPr>
                        <w:rPr>
                          <w:rFonts w:ascii="Aptos" w:hAnsi="Aptos"/>
                          <w:sz w:val="36"/>
                          <w:szCs w:val="36"/>
                        </w:rPr>
                      </w:pPr>
                      <w:r w:rsidRPr="00D951C3">
                        <w:rPr>
                          <w:rFonts w:ascii="Aptos" w:hAnsi="Aptos"/>
                          <w:sz w:val="36"/>
                          <w:szCs w:val="36"/>
                        </w:rPr>
                        <w:t>27th November – 12.00 (noon)</w:t>
                      </w:r>
                    </w:p>
                  </w:txbxContent>
                </v:textbox>
                <w10:wrap anchorx="margin"/>
              </v:shape>
            </w:pict>
          </mc:Fallback>
        </mc:AlternateContent>
      </w:r>
    </w:p>
    <w:p w14:paraId="46575BD3" w14:textId="625A5AEC" w:rsidR="00530856" w:rsidRPr="00530856" w:rsidRDefault="00530856" w:rsidP="00530856"/>
    <w:p w14:paraId="328936B0" w14:textId="3C9515C3" w:rsidR="00530856" w:rsidRPr="00530856" w:rsidRDefault="00530856" w:rsidP="00530856"/>
    <w:p w14:paraId="0CD91D3B" w14:textId="77777777" w:rsidR="00530856" w:rsidRPr="00530856" w:rsidRDefault="00530856" w:rsidP="00530856"/>
    <w:p w14:paraId="29179B0B" w14:textId="77777777" w:rsidR="00530856" w:rsidRPr="00530856" w:rsidRDefault="00530856" w:rsidP="00530856"/>
    <w:p w14:paraId="3952DA8F" w14:textId="23EA8CF3" w:rsidR="00530856" w:rsidRDefault="00530856" w:rsidP="00530856">
      <w:pPr>
        <w:tabs>
          <w:tab w:val="left" w:pos="7237"/>
        </w:tabs>
        <w:sectPr w:rsidR="00530856" w:rsidSect="00D44EE8">
          <w:headerReference w:type="default" r:id="rId12"/>
          <w:footerReference w:type="default" r:id="rId13"/>
          <w:headerReference w:type="first" r:id="rId14"/>
          <w:footerReference w:type="first" r:id="rId15"/>
          <w:pgSz w:w="11906" w:h="16838"/>
          <w:pgMar w:top="1440" w:right="1440" w:bottom="1440" w:left="1440" w:header="708" w:footer="708" w:gutter="0"/>
          <w:cols w:space="708"/>
          <w:titlePg/>
          <w:docGrid w:linePitch="360"/>
        </w:sectPr>
      </w:pPr>
    </w:p>
    <w:sdt>
      <w:sdtPr>
        <w:rPr>
          <w:rFonts w:asciiTheme="minorHAnsi" w:eastAsiaTheme="minorEastAsia" w:hAnsiTheme="minorHAnsi" w:cstheme="minorBidi"/>
          <w:color w:val="auto"/>
          <w:sz w:val="22"/>
          <w:szCs w:val="22"/>
        </w:rPr>
        <w:id w:val="1654330537"/>
        <w:docPartObj>
          <w:docPartGallery w:val="Table of Contents"/>
          <w:docPartUnique/>
        </w:docPartObj>
      </w:sdtPr>
      <w:sdtContent>
        <w:p w14:paraId="0E40AA34" w14:textId="1A44A8B5" w:rsidR="00070406" w:rsidRDefault="00070406">
          <w:pPr>
            <w:pStyle w:val="TOCHeading"/>
          </w:pPr>
          <w:r>
            <w:t>Contents</w:t>
          </w:r>
        </w:p>
        <w:p w14:paraId="4B837424" w14:textId="028C833D" w:rsidR="008146D0" w:rsidRDefault="008146D0" w:rsidP="7E950373">
          <w:pPr>
            <w:pStyle w:val="TOC1"/>
            <w:tabs>
              <w:tab w:val="left" w:pos="435"/>
              <w:tab w:val="right" w:leader="dot" w:pos="9015"/>
            </w:tabs>
            <w:rPr>
              <w:rStyle w:val="Hyperlink"/>
              <w:noProof/>
              <w:kern w:val="2"/>
              <w:lang w:eastAsia="en-GB"/>
              <w14:ligatures w14:val="standardContextual"/>
            </w:rPr>
          </w:pPr>
          <w:r>
            <w:fldChar w:fldCharType="begin"/>
          </w:r>
          <w:r w:rsidR="00F86394">
            <w:instrText>TOC \o "1-3" \z \u \h</w:instrText>
          </w:r>
          <w:r>
            <w:fldChar w:fldCharType="separate"/>
          </w:r>
          <w:hyperlink w:anchor="_Toc345736389">
            <w:r w:rsidR="7E950373" w:rsidRPr="7E950373">
              <w:rPr>
                <w:rStyle w:val="Hyperlink"/>
              </w:rPr>
              <w:t>1.</w:t>
            </w:r>
            <w:r w:rsidR="00F86394">
              <w:tab/>
            </w:r>
            <w:r w:rsidR="7E950373" w:rsidRPr="7E950373">
              <w:rPr>
                <w:rStyle w:val="Hyperlink"/>
              </w:rPr>
              <w:t>Tender Overview</w:t>
            </w:r>
            <w:r w:rsidR="00F86394">
              <w:tab/>
            </w:r>
            <w:r w:rsidR="00F86394">
              <w:fldChar w:fldCharType="begin"/>
            </w:r>
            <w:r w:rsidR="00F86394">
              <w:instrText>PAGEREF _Toc345736389 \h</w:instrText>
            </w:r>
            <w:r w:rsidR="00F86394">
              <w:fldChar w:fldCharType="separate"/>
            </w:r>
            <w:r w:rsidR="7E950373" w:rsidRPr="7E950373">
              <w:rPr>
                <w:rStyle w:val="Hyperlink"/>
              </w:rPr>
              <w:t>2</w:t>
            </w:r>
            <w:r w:rsidR="00F86394">
              <w:fldChar w:fldCharType="end"/>
            </w:r>
          </w:hyperlink>
        </w:p>
        <w:p w14:paraId="0D0B5FA0" w14:textId="412135F2" w:rsidR="008146D0" w:rsidRDefault="7E950373" w:rsidP="7E950373">
          <w:pPr>
            <w:pStyle w:val="TOC2"/>
            <w:tabs>
              <w:tab w:val="left" w:pos="660"/>
              <w:tab w:val="right" w:leader="dot" w:pos="9015"/>
            </w:tabs>
            <w:rPr>
              <w:rStyle w:val="Hyperlink"/>
              <w:noProof/>
              <w:kern w:val="2"/>
              <w:lang w:eastAsia="en-GB"/>
              <w14:ligatures w14:val="standardContextual"/>
            </w:rPr>
          </w:pPr>
          <w:hyperlink w:anchor="_Toc1271039118">
            <w:r w:rsidRPr="7E950373">
              <w:rPr>
                <w:rStyle w:val="Hyperlink"/>
              </w:rPr>
              <w:t>1.1.</w:t>
            </w:r>
            <w:r w:rsidR="008146D0">
              <w:tab/>
            </w:r>
            <w:r w:rsidRPr="7E950373">
              <w:rPr>
                <w:rStyle w:val="Hyperlink"/>
              </w:rPr>
              <w:t>Tender Brief</w:t>
            </w:r>
            <w:r w:rsidR="008146D0">
              <w:tab/>
            </w:r>
            <w:r w:rsidR="008146D0">
              <w:fldChar w:fldCharType="begin"/>
            </w:r>
            <w:r w:rsidR="008146D0">
              <w:instrText>PAGEREF _Toc1271039118 \h</w:instrText>
            </w:r>
            <w:r w:rsidR="008146D0">
              <w:fldChar w:fldCharType="separate"/>
            </w:r>
            <w:r w:rsidRPr="7E950373">
              <w:rPr>
                <w:rStyle w:val="Hyperlink"/>
              </w:rPr>
              <w:t>3</w:t>
            </w:r>
            <w:r w:rsidR="008146D0">
              <w:fldChar w:fldCharType="end"/>
            </w:r>
          </w:hyperlink>
        </w:p>
        <w:p w14:paraId="086028BD" w14:textId="6E2C8530" w:rsidR="008146D0" w:rsidRDefault="7E950373" w:rsidP="7E950373">
          <w:pPr>
            <w:pStyle w:val="TOC2"/>
            <w:tabs>
              <w:tab w:val="left" w:pos="660"/>
              <w:tab w:val="right" w:leader="dot" w:pos="9015"/>
            </w:tabs>
            <w:rPr>
              <w:rStyle w:val="Hyperlink"/>
              <w:noProof/>
              <w:kern w:val="2"/>
              <w:lang w:eastAsia="en-GB"/>
              <w14:ligatures w14:val="standardContextual"/>
            </w:rPr>
          </w:pPr>
          <w:hyperlink w:anchor="_Toc57859944">
            <w:r w:rsidRPr="7E950373">
              <w:rPr>
                <w:rStyle w:val="Hyperlink"/>
              </w:rPr>
              <w:t>1.2.</w:t>
            </w:r>
            <w:r w:rsidR="008146D0">
              <w:tab/>
            </w:r>
            <w:r w:rsidRPr="7E950373">
              <w:rPr>
                <w:rStyle w:val="Hyperlink"/>
              </w:rPr>
              <w:t>Indicative Timetable</w:t>
            </w:r>
            <w:r w:rsidR="008146D0">
              <w:tab/>
            </w:r>
            <w:r w:rsidR="008146D0">
              <w:fldChar w:fldCharType="begin"/>
            </w:r>
            <w:r w:rsidR="008146D0">
              <w:instrText>PAGEREF _Toc57859944 \h</w:instrText>
            </w:r>
            <w:r w:rsidR="008146D0">
              <w:fldChar w:fldCharType="separate"/>
            </w:r>
            <w:r w:rsidRPr="7E950373">
              <w:rPr>
                <w:rStyle w:val="Hyperlink"/>
              </w:rPr>
              <w:t>3</w:t>
            </w:r>
            <w:r w:rsidR="008146D0">
              <w:fldChar w:fldCharType="end"/>
            </w:r>
          </w:hyperlink>
        </w:p>
        <w:p w14:paraId="6C078332" w14:textId="199FB546" w:rsidR="008146D0" w:rsidRDefault="7E950373" w:rsidP="7E950373">
          <w:pPr>
            <w:pStyle w:val="TOC2"/>
            <w:tabs>
              <w:tab w:val="left" w:pos="660"/>
              <w:tab w:val="right" w:leader="dot" w:pos="9015"/>
            </w:tabs>
            <w:rPr>
              <w:rStyle w:val="Hyperlink"/>
              <w:noProof/>
              <w:kern w:val="2"/>
              <w:lang w:eastAsia="en-GB"/>
              <w14:ligatures w14:val="standardContextual"/>
            </w:rPr>
          </w:pPr>
          <w:hyperlink w:anchor="_Toc311839102">
            <w:r w:rsidRPr="7E950373">
              <w:rPr>
                <w:rStyle w:val="Hyperlink"/>
              </w:rPr>
              <w:t>1.3.</w:t>
            </w:r>
            <w:r w:rsidR="008146D0">
              <w:tab/>
            </w:r>
            <w:r w:rsidRPr="7E950373">
              <w:rPr>
                <w:rStyle w:val="Hyperlink"/>
              </w:rPr>
              <w:t>Introduction to Barcud Shared Services</w:t>
            </w:r>
            <w:r w:rsidR="008146D0">
              <w:tab/>
            </w:r>
            <w:r w:rsidR="008146D0">
              <w:fldChar w:fldCharType="begin"/>
            </w:r>
            <w:r w:rsidR="008146D0">
              <w:instrText>PAGEREF _Toc311839102 \h</w:instrText>
            </w:r>
            <w:r w:rsidR="008146D0">
              <w:fldChar w:fldCharType="separate"/>
            </w:r>
            <w:r w:rsidRPr="7E950373">
              <w:rPr>
                <w:rStyle w:val="Hyperlink"/>
              </w:rPr>
              <w:t>3</w:t>
            </w:r>
            <w:r w:rsidR="008146D0">
              <w:fldChar w:fldCharType="end"/>
            </w:r>
          </w:hyperlink>
        </w:p>
        <w:p w14:paraId="7740F944" w14:textId="235A2065" w:rsidR="008146D0" w:rsidRDefault="7E950373" w:rsidP="7E950373">
          <w:pPr>
            <w:pStyle w:val="TOC2"/>
            <w:tabs>
              <w:tab w:val="left" w:pos="660"/>
              <w:tab w:val="right" w:leader="dot" w:pos="9015"/>
            </w:tabs>
            <w:rPr>
              <w:rStyle w:val="Hyperlink"/>
              <w:noProof/>
              <w:kern w:val="2"/>
              <w:lang w:eastAsia="en-GB"/>
              <w14:ligatures w14:val="standardContextual"/>
            </w:rPr>
          </w:pPr>
          <w:hyperlink w:anchor="_Toc1939316293">
            <w:r w:rsidRPr="7E950373">
              <w:rPr>
                <w:rStyle w:val="Hyperlink"/>
              </w:rPr>
              <w:t>1.4.</w:t>
            </w:r>
            <w:r w:rsidR="008146D0">
              <w:tab/>
            </w:r>
            <w:r w:rsidRPr="7E950373">
              <w:rPr>
                <w:rStyle w:val="Hyperlink"/>
              </w:rPr>
              <w:t>Introduction to Bron Afon</w:t>
            </w:r>
            <w:r w:rsidR="008146D0">
              <w:tab/>
            </w:r>
            <w:r w:rsidR="008146D0">
              <w:fldChar w:fldCharType="begin"/>
            </w:r>
            <w:r w:rsidR="008146D0">
              <w:instrText>PAGEREF _Toc1939316293 \h</w:instrText>
            </w:r>
            <w:r w:rsidR="008146D0">
              <w:fldChar w:fldCharType="separate"/>
            </w:r>
            <w:r w:rsidRPr="7E950373">
              <w:rPr>
                <w:rStyle w:val="Hyperlink"/>
              </w:rPr>
              <w:t>4</w:t>
            </w:r>
            <w:r w:rsidR="008146D0">
              <w:fldChar w:fldCharType="end"/>
            </w:r>
          </w:hyperlink>
        </w:p>
        <w:p w14:paraId="12A79952" w14:textId="2E53ACF1" w:rsidR="008146D0" w:rsidRDefault="7E950373" w:rsidP="7E950373">
          <w:pPr>
            <w:pStyle w:val="TOC2"/>
            <w:tabs>
              <w:tab w:val="left" w:pos="660"/>
              <w:tab w:val="right" w:leader="dot" w:pos="9015"/>
            </w:tabs>
            <w:rPr>
              <w:rStyle w:val="Hyperlink"/>
              <w:noProof/>
              <w:kern w:val="2"/>
              <w:lang w:eastAsia="en-GB"/>
              <w14:ligatures w14:val="standardContextual"/>
            </w:rPr>
          </w:pPr>
          <w:hyperlink w:anchor="_Toc1282603887">
            <w:r w:rsidRPr="7E950373">
              <w:rPr>
                <w:rStyle w:val="Hyperlink"/>
              </w:rPr>
              <w:t>1.5.</w:t>
            </w:r>
            <w:r w:rsidR="008146D0">
              <w:tab/>
            </w:r>
            <w:r w:rsidRPr="7E950373">
              <w:rPr>
                <w:rStyle w:val="Hyperlink"/>
              </w:rPr>
              <w:t>Introduction to Valleys to Coast (V2C)</w:t>
            </w:r>
            <w:r w:rsidR="008146D0">
              <w:tab/>
            </w:r>
            <w:r w:rsidR="008146D0">
              <w:fldChar w:fldCharType="begin"/>
            </w:r>
            <w:r w:rsidR="008146D0">
              <w:instrText>PAGEREF _Toc1282603887 \h</w:instrText>
            </w:r>
            <w:r w:rsidR="008146D0">
              <w:fldChar w:fldCharType="separate"/>
            </w:r>
            <w:r w:rsidRPr="7E950373">
              <w:rPr>
                <w:rStyle w:val="Hyperlink"/>
              </w:rPr>
              <w:t>5</w:t>
            </w:r>
            <w:r w:rsidR="008146D0">
              <w:fldChar w:fldCharType="end"/>
            </w:r>
          </w:hyperlink>
        </w:p>
        <w:p w14:paraId="42B19CC1" w14:textId="6A47C3B7" w:rsidR="008146D0" w:rsidRDefault="7E950373" w:rsidP="7E950373">
          <w:pPr>
            <w:pStyle w:val="TOC2"/>
            <w:tabs>
              <w:tab w:val="left" w:pos="660"/>
              <w:tab w:val="right" w:leader="dot" w:pos="9015"/>
            </w:tabs>
            <w:rPr>
              <w:rStyle w:val="Hyperlink"/>
              <w:noProof/>
              <w:kern w:val="2"/>
              <w:lang w:eastAsia="en-GB"/>
              <w14:ligatures w14:val="standardContextual"/>
            </w:rPr>
          </w:pPr>
          <w:hyperlink w:anchor="_Toc1534903774">
            <w:r w:rsidRPr="7E950373">
              <w:rPr>
                <w:rStyle w:val="Hyperlink"/>
              </w:rPr>
              <w:t>1.6.</w:t>
            </w:r>
            <w:r w:rsidR="008146D0">
              <w:tab/>
            </w:r>
            <w:r w:rsidRPr="7E950373">
              <w:rPr>
                <w:rStyle w:val="Hyperlink"/>
              </w:rPr>
              <w:t>Introduction to Merthyr Valley Homes</w:t>
            </w:r>
            <w:r w:rsidR="008146D0">
              <w:tab/>
            </w:r>
            <w:r w:rsidR="008146D0">
              <w:fldChar w:fldCharType="begin"/>
            </w:r>
            <w:r w:rsidR="008146D0">
              <w:instrText>PAGEREF _Toc1534903774 \h</w:instrText>
            </w:r>
            <w:r w:rsidR="008146D0">
              <w:fldChar w:fldCharType="separate"/>
            </w:r>
            <w:r w:rsidRPr="7E950373">
              <w:rPr>
                <w:rStyle w:val="Hyperlink"/>
              </w:rPr>
              <w:t>5</w:t>
            </w:r>
            <w:r w:rsidR="008146D0">
              <w:fldChar w:fldCharType="end"/>
            </w:r>
          </w:hyperlink>
        </w:p>
        <w:p w14:paraId="32D77A45" w14:textId="410AA109" w:rsidR="008146D0" w:rsidRDefault="7E950373" w:rsidP="7E950373">
          <w:pPr>
            <w:pStyle w:val="TOC1"/>
            <w:tabs>
              <w:tab w:val="left" w:pos="435"/>
              <w:tab w:val="right" w:leader="dot" w:pos="9015"/>
            </w:tabs>
            <w:rPr>
              <w:rStyle w:val="Hyperlink"/>
              <w:noProof/>
              <w:kern w:val="2"/>
              <w:lang w:eastAsia="en-GB"/>
              <w14:ligatures w14:val="standardContextual"/>
            </w:rPr>
          </w:pPr>
          <w:hyperlink w:anchor="_Toc132133620">
            <w:r w:rsidRPr="7E950373">
              <w:rPr>
                <w:rStyle w:val="Hyperlink"/>
              </w:rPr>
              <w:t>3.</w:t>
            </w:r>
            <w:r w:rsidR="008146D0">
              <w:tab/>
            </w:r>
            <w:r w:rsidRPr="7E950373">
              <w:rPr>
                <w:rStyle w:val="Hyperlink"/>
              </w:rPr>
              <w:t>Tender Guidance</w:t>
            </w:r>
            <w:r w:rsidR="008146D0">
              <w:tab/>
            </w:r>
            <w:r w:rsidR="008146D0">
              <w:fldChar w:fldCharType="begin"/>
            </w:r>
            <w:r w:rsidR="008146D0">
              <w:instrText>PAGEREF _Toc132133620 \h</w:instrText>
            </w:r>
            <w:r w:rsidR="008146D0">
              <w:fldChar w:fldCharType="separate"/>
            </w:r>
            <w:r w:rsidRPr="7E950373">
              <w:rPr>
                <w:rStyle w:val="Hyperlink"/>
              </w:rPr>
              <w:t>6</w:t>
            </w:r>
            <w:r w:rsidR="008146D0">
              <w:fldChar w:fldCharType="end"/>
            </w:r>
          </w:hyperlink>
        </w:p>
        <w:p w14:paraId="0F7A80F6" w14:textId="675EEAA3" w:rsidR="008146D0" w:rsidRDefault="7E950373" w:rsidP="7E950373">
          <w:pPr>
            <w:pStyle w:val="TOC2"/>
            <w:tabs>
              <w:tab w:val="left" w:pos="660"/>
              <w:tab w:val="right" w:leader="dot" w:pos="9015"/>
            </w:tabs>
            <w:rPr>
              <w:rStyle w:val="Hyperlink"/>
              <w:noProof/>
              <w:kern w:val="2"/>
              <w:lang w:eastAsia="en-GB"/>
              <w14:ligatures w14:val="standardContextual"/>
            </w:rPr>
          </w:pPr>
          <w:hyperlink w:anchor="_Toc728877339">
            <w:r w:rsidRPr="7E950373">
              <w:rPr>
                <w:rStyle w:val="Hyperlink"/>
              </w:rPr>
              <w:t>3.1.</w:t>
            </w:r>
            <w:r w:rsidR="008146D0">
              <w:tab/>
            </w:r>
            <w:r w:rsidRPr="7E950373">
              <w:rPr>
                <w:rStyle w:val="Hyperlink"/>
              </w:rPr>
              <w:t>Instructions to Tenderers</w:t>
            </w:r>
            <w:r w:rsidR="008146D0">
              <w:tab/>
            </w:r>
            <w:r w:rsidR="008146D0">
              <w:fldChar w:fldCharType="begin"/>
            </w:r>
            <w:r w:rsidR="008146D0">
              <w:instrText>PAGEREF _Toc728877339 \h</w:instrText>
            </w:r>
            <w:r w:rsidR="008146D0">
              <w:fldChar w:fldCharType="separate"/>
            </w:r>
            <w:r w:rsidRPr="7E950373">
              <w:rPr>
                <w:rStyle w:val="Hyperlink"/>
              </w:rPr>
              <w:t>7</w:t>
            </w:r>
            <w:r w:rsidR="008146D0">
              <w:fldChar w:fldCharType="end"/>
            </w:r>
          </w:hyperlink>
        </w:p>
        <w:p w14:paraId="69B21350" w14:textId="277BFF03" w:rsidR="008146D0" w:rsidRDefault="7E950373" w:rsidP="7E950373">
          <w:pPr>
            <w:pStyle w:val="TOC2"/>
            <w:tabs>
              <w:tab w:val="left" w:pos="660"/>
              <w:tab w:val="right" w:leader="dot" w:pos="9015"/>
            </w:tabs>
            <w:rPr>
              <w:rStyle w:val="Hyperlink"/>
              <w:noProof/>
              <w:kern w:val="2"/>
              <w:lang w:eastAsia="en-GB"/>
              <w14:ligatures w14:val="standardContextual"/>
            </w:rPr>
          </w:pPr>
          <w:hyperlink w:anchor="_Toc70229197">
            <w:r w:rsidRPr="7E950373">
              <w:rPr>
                <w:rStyle w:val="Hyperlink"/>
              </w:rPr>
              <w:t>3.2.</w:t>
            </w:r>
            <w:r w:rsidR="008146D0">
              <w:tab/>
            </w:r>
            <w:r w:rsidRPr="7E950373">
              <w:rPr>
                <w:rStyle w:val="Hyperlink"/>
              </w:rPr>
              <w:t>Preparation of Tender</w:t>
            </w:r>
            <w:r w:rsidR="008146D0">
              <w:tab/>
            </w:r>
            <w:r w:rsidR="008146D0">
              <w:fldChar w:fldCharType="begin"/>
            </w:r>
            <w:r w:rsidR="008146D0">
              <w:instrText>PAGEREF _Toc70229197 \h</w:instrText>
            </w:r>
            <w:r w:rsidR="008146D0">
              <w:fldChar w:fldCharType="separate"/>
            </w:r>
            <w:r w:rsidRPr="7E950373">
              <w:rPr>
                <w:rStyle w:val="Hyperlink"/>
              </w:rPr>
              <w:t>8</w:t>
            </w:r>
            <w:r w:rsidR="008146D0">
              <w:fldChar w:fldCharType="end"/>
            </w:r>
          </w:hyperlink>
        </w:p>
        <w:p w14:paraId="6F9BDBDF" w14:textId="6B9207C3" w:rsidR="008146D0" w:rsidRDefault="7E950373" w:rsidP="7E950373">
          <w:pPr>
            <w:pStyle w:val="TOC2"/>
            <w:tabs>
              <w:tab w:val="left" w:pos="660"/>
              <w:tab w:val="right" w:leader="dot" w:pos="9015"/>
            </w:tabs>
            <w:rPr>
              <w:rStyle w:val="Hyperlink"/>
              <w:noProof/>
              <w:kern w:val="2"/>
              <w:lang w:eastAsia="en-GB"/>
              <w14:ligatures w14:val="standardContextual"/>
            </w:rPr>
          </w:pPr>
          <w:hyperlink w:anchor="_Toc541422832">
            <w:r w:rsidRPr="7E950373">
              <w:rPr>
                <w:rStyle w:val="Hyperlink"/>
              </w:rPr>
              <w:t>3.3.</w:t>
            </w:r>
            <w:r w:rsidR="008146D0">
              <w:tab/>
            </w:r>
            <w:r w:rsidRPr="7E950373">
              <w:rPr>
                <w:rStyle w:val="Hyperlink"/>
              </w:rPr>
              <w:t>Submission of Tenders</w:t>
            </w:r>
            <w:r w:rsidR="008146D0">
              <w:tab/>
            </w:r>
            <w:r w:rsidR="008146D0">
              <w:fldChar w:fldCharType="begin"/>
            </w:r>
            <w:r w:rsidR="008146D0">
              <w:instrText>PAGEREF _Toc541422832 \h</w:instrText>
            </w:r>
            <w:r w:rsidR="008146D0">
              <w:fldChar w:fldCharType="separate"/>
            </w:r>
            <w:r w:rsidRPr="7E950373">
              <w:rPr>
                <w:rStyle w:val="Hyperlink"/>
              </w:rPr>
              <w:t>8</w:t>
            </w:r>
            <w:r w:rsidR="008146D0">
              <w:fldChar w:fldCharType="end"/>
            </w:r>
          </w:hyperlink>
        </w:p>
        <w:p w14:paraId="494EE4DC" w14:textId="10855C9D" w:rsidR="008146D0" w:rsidRDefault="7E950373" w:rsidP="7E950373">
          <w:pPr>
            <w:pStyle w:val="TOC2"/>
            <w:tabs>
              <w:tab w:val="left" w:pos="660"/>
              <w:tab w:val="right" w:leader="dot" w:pos="9015"/>
            </w:tabs>
            <w:rPr>
              <w:rStyle w:val="Hyperlink"/>
              <w:noProof/>
              <w:kern w:val="2"/>
              <w:lang w:eastAsia="en-GB"/>
              <w14:ligatures w14:val="standardContextual"/>
            </w:rPr>
          </w:pPr>
          <w:hyperlink w:anchor="_Toc1902403432">
            <w:r w:rsidRPr="7E950373">
              <w:rPr>
                <w:rStyle w:val="Hyperlink"/>
              </w:rPr>
              <w:t>3.4.</w:t>
            </w:r>
            <w:r w:rsidR="008146D0">
              <w:tab/>
            </w:r>
            <w:r w:rsidRPr="7E950373">
              <w:rPr>
                <w:rStyle w:val="Hyperlink"/>
              </w:rPr>
              <w:t>Queries Relating to Tender</w:t>
            </w:r>
            <w:r w:rsidR="008146D0">
              <w:tab/>
            </w:r>
            <w:r w:rsidR="008146D0">
              <w:fldChar w:fldCharType="begin"/>
            </w:r>
            <w:r w:rsidR="008146D0">
              <w:instrText>PAGEREF _Toc1902403432 \h</w:instrText>
            </w:r>
            <w:r w:rsidR="008146D0">
              <w:fldChar w:fldCharType="separate"/>
            </w:r>
            <w:r w:rsidRPr="7E950373">
              <w:rPr>
                <w:rStyle w:val="Hyperlink"/>
              </w:rPr>
              <w:t>9</w:t>
            </w:r>
            <w:r w:rsidR="008146D0">
              <w:fldChar w:fldCharType="end"/>
            </w:r>
          </w:hyperlink>
        </w:p>
        <w:p w14:paraId="72AEA6A8" w14:textId="356C0D29" w:rsidR="008146D0" w:rsidRDefault="7E950373" w:rsidP="7E950373">
          <w:pPr>
            <w:pStyle w:val="TOC2"/>
            <w:tabs>
              <w:tab w:val="left" w:pos="660"/>
              <w:tab w:val="right" w:leader="dot" w:pos="9015"/>
            </w:tabs>
            <w:rPr>
              <w:rStyle w:val="Hyperlink"/>
              <w:noProof/>
              <w:kern w:val="2"/>
              <w:lang w:eastAsia="en-GB"/>
              <w14:ligatures w14:val="standardContextual"/>
            </w:rPr>
          </w:pPr>
          <w:hyperlink w:anchor="_Toc197662227">
            <w:r w:rsidRPr="7E950373">
              <w:rPr>
                <w:rStyle w:val="Hyperlink"/>
              </w:rPr>
              <w:t>3.5.</w:t>
            </w:r>
            <w:r w:rsidR="008146D0">
              <w:tab/>
            </w:r>
            <w:r w:rsidRPr="7E950373">
              <w:rPr>
                <w:rStyle w:val="Hyperlink"/>
              </w:rPr>
              <w:t>Amendments to Tender Documents</w:t>
            </w:r>
            <w:r w:rsidR="008146D0">
              <w:tab/>
            </w:r>
            <w:r w:rsidR="008146D0">
              <w:fldChar w:fldCharType="begin"/>
            </w:r>
            <w:r w:rsidR="008146D0">
              <w:instrText>PAGEREF _Toc197662227 \h</w:instrText>
            </w:r>
            <w:r w:rsidR="008146D0">
              <w:fldChar w:fldCharType="separate"/>
            </w:r>
            <w:r w:rsidRPr="7E950373">
              <w:rPr>
                <w:rStyle w:val="Hyperlink"/>
              </w:rPr>
              <w:t>10</w:t>
            </w:r>
            <w:r w:rsidR="008146D0">
              <w:fldChar w:fldCharType="end"/>
            </w:r>
          </w:hyperlink>
        </w:p>
        <w:p w14:paraId="313C79F6" w14:textId="206C9DB6" w:rsidR="008146D0" w:rsidRDefault="7E950373" w:rsidP="7E950373">
          <w:pPr>
            <w:pStyle w:val="TOC2"/>
            <w:tabs>
              <w:tab w:val="left" w:pos="660"/>
              <w:tab w:val="right" w:leader="dot" w:pos="9015"/>
            </w:tabs>
            <w:rPr>
              <w:rStyle w:val="Hyperlink"/>
              <w:noProof/>
              <w:kern w:val="2"/>
              <w:lang w:eastAsia="en-GB"/>
              <w14:ligatures w14:val="standardContextual"/>
            </w:rPr>
          </w:pPr>
          <w:hyperlink w:anchor="_Toc1079966896">
            <w:r w:rsidRPr="7E950373">
              <w:rPr>
                <w:rStyle w:val="Hyperlink"/>
              </w:rPr>
              <w:t>3.6.</w:t>
            </w:r>
            <w:r w:rsidR="008146D0">
              <w:tab/>
            </w:r>
            <w:r w:rsidRPr="7E950373">
              <w:rPr>
                <w:rStyle w:val="Hyperlink"/>
              </w:rPr>
              <w:t>Right to Reject/Disqualify</w:t>
            </w:r>
            <w:r w:rsidR="008146D0">
              <w:tab/>
            </w:r>
            <w:r w:rsidR="008146D0">
              <w:fldChar w:fldCharType="begin"/>
            </w:r>
            <w:r w:rsidR="008146D0">
              <w:instrText>PAGEREF _Toc1079966896 \h</w:instrText>
            </w:r>
            <w:r w:rsidR="008146D0">
              <w:fldChar w:fldCharType="separate"/>
            </w:r>
            <w:r w:rsidRPr="7E950373">
              <w:rPr>
                <w:rStyle w:val="Hyperlink"/>
              </w:rPr>
              <w:t>10</w:t>
            </w:r>
            <w:r w:rsidR="008146D0">
              <w:fldChar w:fldCharType="end"/>
            </w:r>
          </w:hyperlink>
        </w:p>
        <w:p w14:paraId="781FA0D0" w14:textId="39AE2AE5" w:rsidR="008146D0" w:rsidRDefault="7E950373" w:rsidP="7E950373">
          <w:pPr>
            <w:pStyle w:val="TOC2"/>
            <w:tabs>
              <w:tab w:val="left" w:pos="660"/>
              <w:tab w:val="right" w:leader="dot" w:pos="9015"/>
            </w:tabs>
            <w:rPr>
              <w:rStyle w:val="Hyperlink"/>
              <w:noProof/>
              <w:kern w:val="2"/>
              <w:lang w:eastAsia="en-GB"/>
              <w14:ligatures w14:val="standardContextual"/>
            </w:rPr>
          </w:pPr>
          <w:hyperlink w:anchor="_Toc354435483">
            <w:r w:rsidRPr="7E950373">
              <w:rPr>
                <w:rStyle w:val="Hyperlink"/>
              </w:rPr>
              <w:t>3.7.</w:t>
            </w:r>
            <w:r w:rsidR="008146D0">
              <w:tab/>
            </w:r>
            <w:r w:rsidRPr="7E950373">
              <w:rPr>
                <w:rStyle w:val="Hyperlink"/>
              </w:rPr>
              <w:t>Right to Cancel, Clarify or Vary the Process</w:t>
            </w:r>
            <w:r w:rsidR="008146D0">
              <w:tab/>
            </w:r>
            <w:r w:rsidR="008146D0">
              <w:fldChar w:fldCharType="begin"/>
            </w:r>
            <w:r w:rsidR="008146D0">
              <w:instrText>PAGEREF _Toc354435483 \h</w:instrText>
            </w:r>
            <w:r w:rsidR="008146D0">
              <w:fldChar w:fldCharType="separate"/>
            </w:r>
            <w:r w:rsidRPr="7E950373">
              <w:rPr>
                <w:rStyle w:val="Hyperlink"/>
              </w:rPr>
              <w:t>10</w:t>
            </w:r>
            <w:r w:rsidR="008146D0">
              <w:fldChar w:fldCharType="end"/>
            </w:r>
          </w:hyperlink>
        </w:p>
        <w:p w14:paraId="70695295" w14:textId="79531CF3" w:rsidR="008146D0" w:rsidRDefault="7E950373" w:rsidP="7E950373">
          <w:pPr>
            <w:pStyle w:val="TOC2"/>
            <w:tabs>
              <w:tab w:val="left" w:pos="660"/>
              <w:tab w:val="right" w:leader="dot" w:pos="9015"/>
            </w:tabs>
            <w:rPr>
              <w:rStyle w:val="Hyperlink"/>
              <w:noProof/>
              <w:kern w:val="2"/>
              <w:lang w:eastAsia="en-GB"/>
              <w14:ligatures w14:val="standardContextual"/>
            </w:rPr>
          </w:pPr>
          <w:hyperlink w:anchor="_Toc1700619697">
            <w:r w:rsidRPr="7E950373">
              <w:rPr>
                <w:rStyle w:val="Hyperlink"/>
              </w:rPr>
              <w:t>3.8.</w:t>
            </w:r>
            <w:r w:rsidR="008146D0">
              <w:tab/>
            </w:r>
            <w:r w:rsidRPr="7E950373">
              <w:rPr>
                <w:rStyle w:val="Hyperlink"/>
              </w:rPr>
              <w:t>Site Visits</w:t>
            </w:r>
            <w:r w:rsidR="008146D0">
              <w:tab/>
            </w:r>
            <w:r w:rsidR="008146D0">
              <w:fldChar w:fldCharType="begin"/>
            </w:r>
            <w:r w:rsidR="008146D0">
              <w:instrText>PAGEREF _Toc1700619697 \h</w:instrText>
            </w:r>
            <w:r w:rsidR="008146D0">
              <w:fldChar w:fldCharType="separate"/>
            </w:r>
            <w:r w:rsidRPr="7E950373">
              <w:rPr>
                <w:rStyle w:val="Hyperlink"/>
              </w:rPr>
              <w:t>10</w:t>
            </w:r>
            <w:r w:rsidR="008146D0">
              <w:fldChar w:fldCharType="end"/>
            </w:r>
          </w:hyperlink>
        </w:p>
        <w:p w14:paraId="13920442" w14:textId="175812B4" w:rsidR="008146D0" w:rsidRDefault="7E950373" w:rsidP="7E950373">
          <w:pPr>
            <w:pStyle w:val="TOC2"/>
            <w:tabs>
              <w:tab w:val="left" w:pos="660"/>
              <w:tab w:val="right" w:leader="dot" w:pos="9015"/>
            </w:tabs>
            <w:rPr>
              <w:rStyle w:val="Hyperlink"/>
              <w:noProof/>
              <w:kern w:val="2"/>
              <w:lang w:eastAsia="en-GB"/>
              <w14:ligatures w14:val="standardContextual"/>
            </w:rPr>
          </w:pPr>
          <w:hyperlink w:anchor="_Toc164630013">
            <w:r w:rsidRPr="7E950373">
              <w:rPr>
                <w:rStyle w:val="Hyperlink"/>
              </w:rPr>
              <w:t>3.9.</w:t>
            </w:r>
            <w:r w:rsidR="008146D0">
              <w:tab/>
            </w:r>
            <w:r w:rsidRPr="7E950373">
              <w:rPr>
                <w:rStyle w:val="Hyperlink"/>
              </w:rPr>
              <w:t>Leaseholder Consultation</w:t>
            </w:r>
            <w:r w:rsidR="008146D0">
              <w:tab/>
            </w:r>
            <w:r w:rsidR="008146D0">
              <w:fldChar w:fldCharType="begin"/>
            </w:r>
            <w:r w:rsidR="008146D0">
              <w:instrText>PAGEREF _Toc164630013 \h</w:instrText>
            </w:r>
            <w:r w:rsidR="008146D0">
              <w:fldChar w:fldCharType="separate"/>
            </w:r>
            <w:r w:rsidRPr="7E950373">
              <w:rPr>
                <w:rStyle w:val="Hyperlink"/>
              </w:rPr>
              <w:t>10</w:t>
            </w:r>
            <w:r w:rsidR="008146D0">
              <w:fldChar w:fldCharType="end"/>
            </w:r>
          </w:hyperlink>
        </w:p>
        <w:p w14:paraId="63BA21A1" w14:textId="722AB413" w:rsidR="008146D0" w:rsidRDefault="7E950373" w:rsidP="7E950373">
          <w:pPr>
            <w:pStyle w:val="TOC2"/>
            <w:tabs>
              <w:tab w:val="left" w:pos="870"/>
              <w:tab w:val="right" w:leader="dot" w:pos="9015"/>
            </w:tabs>
            <w:rPr>
              <w:rStyle w:val="Hyperlink"/>
              <w:noProof/>
              <w:kern w:val="2"/>
              <w:lang w:eastAsia="en-GB"/>
              <w14:ligatures w14:val="standardContextual"/>
            </w:rPr>
          </w:pPr>
          <w:hyperlink w:anchor="_Toc293153485">
            <w:r w:rsidRPr="7E950373">
              <w:rPr>
                <w:rStyle w:val="Hyperlink"/>
              </w:rPr>
              <w:t>3.10.</w:t>
            </w:r>
            <w:r w:rsidR="008146D0">
              <w:tab/>
            </w:r>
            <w:r w:rsidRPr="7E950373">
              <w:rPr>
                <w:rStyle w:val="Hyperlink"/>
              </w:rPr>
              <w:t>Corporate Policies</w:t>
            </w:r>
            <w:r w:rsidR="008146D0">
              <w:tab/>
            </w:r>
            <w:r w:rsidR="008146D0">
              <w:fldChar w:fldCharType="begin"/>
            </w:r>
            <w:r w:rsidR="008146D0">
              <w:instrText>PAGEREF _Toc293153485 \h</w:instrText>
            </w:r>
            <w:r w:rsidR="008146D0">
              <w:fldChar w:fldCharType="separate"/>
            </w:r>
            <w:r w:rsidRPr="7E950373">
              <w:rPr>
                <w:rStyle w:val="Hyperlink"/>
              </w:rPr>
              <w:t>11</w:t>
            </w:r>
            <w:r w:rsidR="008146D0">
              <w:fldChar w:fldCharType="end"/>
            </w:r>
          </w:hyperlink>
        </w:p>
        <w:p w14:paraId="76A90C87" w14:textId="3A0AE8A1" w:rsidR="008146D0" w:rsidRDefault="7E950373" w:rsidP="7E950373">
          <w:pPr>
            <w:pStyle w:val="TOC2"/>
            <w:tabs>
              <w:tab w:val="left" w:pos="870"/>
              <w:tab w:val="right" w:leader="dot" w:pos="9015"/>
            </w:tabs>
            <w:rPr>
              <w:rStyle w:val="Hyperlink"/>
              <w:noProof/>
              <w:kern w:val="2"/>
              <w:lang w:eastAsia="en-GB"/>
              <w14:ligatures w14:val="standardContextual"/>
            </w:rPr>
          </w:pPr>
          <w:hyperlink w:anchor="_Toc1633762845">
            <w:r w:rsidRPr="7E950373">
              <w:rPr>
                <w:rStyle w:val="Hyperlink"/>
              </w:rPr>
              <w:t>3.11.</w:t>
            </w:r>
            <w:r w:rsidR="008146D0">
              <w:tab/>
            </w:r>
            <w:r w:rsidRPr="7E950373">
              <w:rPr>
                <w:rStyle w:val="Hyperlink"/>
              </w:rPr>
              <w:t>Sub-Contracting Arrangements</w:t>
            </w:r>
            <w:r w:rsidR="008146D0">
              <w:tab/>
            </w:r>
            <w:r w:rsidR="008146D0">
              <w:fldChar w:fldCharType="begin"/>
            </w:r>
            <w:r w:rsidR="008146D0">
              <w:instrText>PAGEREF _Toc1633762845 \h</w:instrText>
            </w:r>
            <w:r w:rsidR="008146D0">
              <w:fldChar w:fldCharType="separate"/>
            </w:r>
            <w:r w:rsidRPr="7E950373">
              <w:rPr>
                <w:rStyle w:val="Hyperlink"/>
              </w:rPr>
              <w:t>11</w:t>
            </w:r>
            <w:r w:rsidR="008146D0">
              <w:fldChar w:fldCharType="end"/>
            </w:r>
          </w:hyperlink>
        </w:p>
        <w:p w14:paraId="4E529E96" w14:textId="690581D1" w:rsidR="008146D0" w:rsidRDefault="7E950373" w:rsidP="7E950373">
          <w:pPr>
            <w:pStyle w:val="TOC2"/>
            <w:tabs>
              <w:tab w:val="left" w:pos="870"/>
              <w:tab w:val="right" w:leader="dot" w:pos="9015"/>
            </w:tabs>
            <w:rPr>
              <w:rStyle w:val="Hyperlink"/>
              <w:noProof/>
              <w:kern w:val="2"/>
              <w:lang w:eastAsia="en-GB"/>
              <w14:ligatures w14:val="standardContextual"/>
            </w:rPr>
          </w:pPr>
          <w:hyperlink w:anchor="_Toc368828300">
            <w:r w:rsidRPr="7E950373">
              <w:rPr>
                <w:rStyle w:val="Hyperlink"/>
              </w:rPr>
              <w:t>3.12.</w:t>
            </w:r>
            <w:r w:rsidR="008146D0">
              <w:tab/>
            </w:r>
            <w:r w:rsidRPr="7E950373">
              <w:rPr>
                <w:rStyle w:val="Hyperlink"/>
              </w:rPr>
              <w:t>Consortia Arrangements</w:t>
            </w:r>
            <w:r w:rsidR="008146D0">
              <w:tab/>
            </w:r>
            <w:r w:rsidR="008146D0">
              <w:fldChar w:fldCharType="begin"/>
            </w:r>
            <w:r w:rsidR="008146D0">
              <w:instrText>PAGEREF _Toc368828300 \h</w:instrText>
            </w:r>
            <w:r w:rsidR="008146D0">
              <w:fldChar w:fldCharType="separate"/>
            </w:r>
            <w:r w:rsidRPr="7E950373">
              <w:rPr>
                <w:rStyle w:val="Hyperlink"/>
              </w:rPr>
              <w:t>11</w:t>
            </w:r>
            <w:r w:rsidR="008146D0">
              <w:fldChar w:fldCharType="end"/>
            </w:r>
          </w:hyperlink>
        </w:p>
        <w:p w14:paraId="529AD0F5" w14:textId="08D76E73" w:rsidR="008146D0" w:rsidRDefault="7E950373" w:rsidP="7E950373">
          <w:pPr>
            <w:pStyle w:val="TOC1"/>
            <w:tabs>
              <w:tab w:val="left" w:pos="435"/>
              <w:tab w:val="right" w:leader="dot" w:pos="9015"/>
            </w:tabs>
            <w:rPr>
              <w:rStyle w:val="Hyperlink"/>
              <w:noProof/>
              <w:kern w:val="2"/>
              <w:lang w:eastAsia="en-GB"/>
              <w14:ligatures w14:val="standardContextual"/>
            </w:rPr>
          </w:pPr>
          <w:hyperlink w:anchor="_Toc209572336">
            <w:r w:rsidRPr="7E950373">
              <w:rPr>
                <w:rStyle w:val="Hyperlink"/>
              </w:rPr>
              <w:t>5.</w:t>
            </w:r>
            <w:r w:rsidR="008146D0">
              <w:tab/>
            </w:r>
            <w:r w:rsidRPr="7E950373">
              <w:rPr>
                <w:rStyle w:val="Hyperlink"/>
              </w:rPr>
              <w:t>Evaluation and Selection</w:t>
            </w:r>
            <w:r w:rsidR="008146D0">
              <w:tab/>
            </w:r>
            <w:r w:rsidR="008146D0">
              <w:fldChar w:fldCharType="begin"/>
            </w:r>
            <w:r w:rsidR="008146D0">
              <w:instrText>PAGEREF _Toc209572336 \h</w:instrText>
            </w:r>
            <w:r w:rsidR="008146D0">
              <w:fldChar w:fldCharType="separate"/>
            </w:r>
            <w:r w:rsidRPr="7E950373">
              <w:rPr>
                <w:rStyle w:val="Hyperlink"/>
              </w:rPr>
              <w:t>12</w:t>
            </w:r>
            <w:r w:rsidR="008146D0">
              <w:fldChar w:fldCharType="end"/>
            </w:r>
          </w:hyperlink>
        </w:p>
        <w:p w14:paraId="184F397F" w14:textId="599866A8" w:rsidR="008146D0" w:rsidRDefault="7E950373" w:rsidP="7E950373">
          <w:pPr>
            <w:pStyle w:val="TOC2"/>
            <w:tabs>
              <w:tab w:val="left" w:pos="660"/>
              <w:tab w:val="right" w:leader="dot" w:pos="9015"/>
            </w:tabs>
            <w:rPr>
              <w:rStyle w:val="Hyperlink"/>
              <w:noProof/>
              <w:kern w:val="2"/>
              <w:lang w:eastAsia="en-GB"/>
              <w14:ligatures w14:val="standardContextual"/>
            </w:rPr>
          </w:pPr>
          <w:hyperlink w:anchor="_Toc148378112">
            <w:r w:rsidRPr="7E950373">
              <w:rPr>
                <w:rStyle w:val="Hyperlink"/>
              </w:rPr>
              <w:t>5.1.</w:t>
            </w:r>
            <w:r w:rsidR="008146D0">
              <w:tab/>
            </w:r>
            <w:r w:rsidRPr="7E950373">
              <w:rPr>
                <w:rStyle w:val="Hyperlink"/>
              </w:rPr>
              <w:t>Award Criteria</w:t>
            </w:r>
            <w:r w:rsidR="008146D0">
              <w:tab/>
            </w:r>
            <w:r w:rsidR="008146D0">
              <w:fldChar w:fldCharType="begin"/>
            </w:r>
            <w:r w:rsidR="008146D0">
              <w:instrText>PAGEREF _Toc148378112 \h</w:instrText>
            </w:r>
            <w:r w:rsidR="008146D0">
              <w:fldChar w:fldCharType="separate"/>
            </w:r>
            <w:r w:rsidRPr="7E950373">
              <w:rPr>
                <w:rStyle w:val="Hyperlink"/>
              </w:rPr>
              <w:t>13</w:t>
            </w:r>
            <w:r w:rsidR="008146D0">
              <w:fldChar w:fldCharType="end"/>
            </w:r>
          </w:hyperlink>
        </w:p>
        <w:p w14:paraId="325D8598" w14:textId="27BBA442" w:rsidR="008146D0" w:rsidRDefault="7E950373" w:rsidP="7E950373">
          <w:pPr>
            <w:pStyle w:val="TOC2"/>
            <w:tabs>
              <w:tab w:val="left" w:pos="660"/>
              <w:tab w:val="right" w:leader="dot" w:pos="9015"/>
            </w:tabs>
            <w:rPr>
              <w:rStyle w:val="Hyperlink"/>
              <w:noProof/>
              <w:kern w:val="2"/>
              <w:lang w:eastAsia="en-GB"/>
              <w14:ligatures w14:val="standardContextual"/>
            </w:rPr>
          </w:pPr>
          <w:hyperlink w:anchor="_Toc1542742392">
            <w:r w:rsidRPr="7E950373">
              <w:rPr>
                <w:rStyle w:val="Hyperlink"/>
              </w:rPr>
              <w:t>5.2.</w:t>
            </w:r>
            <w:r w:rsidR="008146D0">
              <w:tab/>
            </w:r>
            <w:r w:rsidRPr="7E950373">
              <w:rPr>
                <w:rStyle w:val="Hyperlink"/>
              </w:rPr>
              <w:t>Foundation Questions</w:t>
            </w:r>
            <w:r w:rsidR="008146D0">
              <w:tab/>
            </w:r>
            <w:r w:rsidR="008146D0">
              <w:fldChar w:fldCharType="begin"/>
            </w:r>
            <w:r w:rsidR="008146D0">
              <w:instrText>PAGEREF _Toc1542742392 \h</w:instrText>
            </w:r>
            <w:r w:rsidR="008146D0">
              <w:fldChar w:fldCharType="separate"/>
            </w:r>
            <w:r w:rsidRPr="7E950373">
              <w:rPr>
                <w:rStyle w:val="Hyperlink"/>
              </w:rPr>
              <w:t>13</w:t>
            </w:r>
            <w:r w:rsidR="008146D0">
              <w:fldChar w:fldCharType="end"/>
            </w:r>
          </w:hyperlink>
        </w:p>
        <w:p w14:paraId="48DAE47F" w14:textId="7F355315" w:rsidR="008146D0" w:rsidRDefault="7E950373" w:rsidP="7E950373">
          <w:pPr>
            <w:pStyle w:val="TOC2"/>
            <w:tabs>
              <w:tab w:val="left" w:pos="660"/>
              <w:tab w:val="right" w:leader="dot" w:pos="9015"/>
            </w:tabs>
            <w:rPr>
              <w:rStyle w:val="Hyperlink"/>
              <w:noProof/>
              <w:kern w:val="2"/>
              <w:lang w:eastAsia="en-GB"/>
              <w14:ligatures w14:val="standardContextual"/>
            </w:rPr>
          </w:pPr>
          <w:hyperlink w:anchor="_Toc238369958">
            <w:r w:rsidRPr="7E950373">
              <w:rPr>
                <w:rStyle w:val="Hyperlink"/>
              </w:rPr>
              <w:t>5.3.</w:t>
            </w:r>
            <w:r w:rsidR="008146D0">
              <w:tab/>
            </w:r>
            <w:r w:rsidRPr="7E950373">
              <w:rPr>
                <w:rStyle w:val="Hyperlink"/>
              </w:rPr>
              <w:t>Evaluation Questions</w:t>
            </w:r>
            <w:r w:rsidR="008146D0">
              <w:tab/>
            </w:r>
            <w:r w:rsidR="008146D0">
              <w:fldChar w:fldCharType="begin"/>
            </w:r>
            <w:r w:rsidR="008146D0">
              <w:instrText>PAGEREF _Toc238369958 \h</w:instrText>
            </w:r>
            <w:r w:rsidR="008146D0">
              <w:fldChar w:fldCharType="separate"/>
            </w:r>
            <w:r w:rsidRPr="7E950373">
              <w:rPr>
                <w:rStyle w:val="Hyperlink"/>
              </w:rPr>
              <w:t>14</w:t>
            </w:r>
            <w:r w:rsidR="008146D0">
              <w:fldChar w:fldCharType="end"/>
            </w:r>
          </w:hyperlink>
        </w:p>
        <w:p w14:paraId="107CB288" w14:textId="5DFDAA64" w:rsidR="008146D0" w:rsidRDefault="7E950373" w:rsidP="7E950373">
          <w:pPr>
            <w:pStyle w:val="TOC2"/>
            <w:tabs>
              <w:tab w:val="left" w:pos="660"/>
              <w:tab w:val="right" w:leader="dot" w:pos="9015"/>
            </w:tabs>
            <w:rPr>
              <w:rStyle w:val="Hyperlink"/>
              <w:noProof/>
              <w:kern w:val="2"/>
              <w:lang w:eastAsia="en-GB"/>
              <w14:ligatures w14:val="standardContextual"/>
            </w:rPr>
          </w:pPr>
          <w:hyperlink w:anchor="_Toc722400447">
            <w:r w:rsidRPr="7E950373">
              <w:rPr>
                <w:rStyle w:val="Hyperlink"/>
              </w:rPr>
              <w:t>5.4.</w:t>
            </w:r>
            <w:r w:rsidR="008146D0">
              <w:tab/>
            </w:r>
            <w:r w:rsidRPr="7E950373">
              <w:rPr>
                <w:rStyle w:val="Hyperlink"/>
              </w:rPr>
              <w:t>Tender Evaluation Process</w:t>
            </w:r>
            <w:r w:rsidR="008146D0">
              <w:tab/>
            </w:r>
            <w:r w:rsidR="008146D0">
              <w:fldChar w:fldCharType="begin"/>
            </w:r>
            <w:r w:rsidR="008146D0">
              <w:instrText>PAGEREF _Toc722400447 \h</w:instrText>
            </w:r>
            <w:r w:rsidR="008146D0">
              <w:fldChar w:fldCharType="separate"/>
            </w:r>
            <w:r w:rsidRPr="7E950373">
              <w:rPr>
                <w:rStyle w:val="Hyperlink"/>
              </w:rPr>
              <w:t>14</w:t>
            </w:r>
            <w:r w:rsidR="008146D0">
              <w:fldChar w:fldCharType="end"/>
            </w:r>
          </w:hyperlink>
        </w:p>
        <w:p w14:paraId="1AD9CF72" w14:textId="49495F32" w:rsidR="008146D0" w:rsidRDefault="7E950373" w:rsidP="7E950373">
          <w:pPr>
            <w:pStyle w:val="TOC3"/>
            <w:tabs>
              <w:tab w:val="left" w:pos="1320"/>
              <w:tab w:val="right" w:leader="dot" w:pos="9015"/>
            </w:tabs>
            <w:rPr>
              <w:rStyle w:val="Hyperlink"/>
              <w:noProof/>
              <w:kern w:val="2"/>
              <w:lang w:eastAsia="en-GB"/>
              <w14:ligatures w14:val="standardContextual"/>
            </w:rPr>
          </w:pPr>
          <w:hyperlink w:anchor="_Toc110167895">
            <w:r w:rsidRPr="7E950373">
              <w:rPr>
                <w:rStyle w:val="Hyperlink"/>
              </w:rPr>
              <w:t>5.4.1.</w:t>
            </w:r>
            <w:r w:rsidR="008146D0">
              <w:tab/>
            </w:r>
            <w:r w:rsidRPr="7E950373">
              <w:rPr>
                <w:rStyle w:val="Hyperlink"/>
              </w:rPr>
              <w:t>Part One – Initial Screening Assessment</w:t>
            </w:r>
            <w:r w:rsidR="008146D0">
              <w:tab/>
            </w:r>
            <w:r w:rsidR="008146D0">
              <w:fldChar w:fldCharType="begin"/>
            </w:r>
            <w:r w:rsidR="008146D0">
              <w:instrText>PAGEREF _Toc110167895 \h</w:instrText>
            </w:r>
            <w:r w:rsidR="008146D0">
              <w:fldChar w:fldCharType="separate"/>
            </w:r>
            <w:r w:rsidRPr="7E950373">
              <w:rPr>
                <w:rStyle w:val="Hyperlink"/>
              </w:rPr>
              <w:t>14</w:t>
            </w:r>
            <w:r w:rsidR="008146D0">
              <w:fldChar w:fldCharType="end"/>
            </w:r>
          </w:hyperlink>
        </w:p>
        <w:p w14:paraId="30F7F932" w14:textId="228C7CB1" w:rsidR="008146D0" w:rsidRDefault="7E950373" w:rsidP="7E950373">
          <w:pPr>
            <w:pStyle w:val="TOC3"/>
            <w:tabs>
              <w:tab w:val="left" w:pos="1320"/>
              <w:tab w:val="right" w:leader="dot" w:pos="9015"/>
            </w:tabs>
            <w:rPr>
              <w:rStyle w:val="Hyperlink"/>
              <w:noProof/>
              <w:kern w:val="2"/>
              <w:lang w:eastAsia="en-GB"/>
              <w14:ligatures w14:val="standardContextual"/>
            </w:rPr>
          </w:pPr>
          <w:hyperlink w:anchor="_Toc1462591160">
            <w:r w:rsidRPr="7E950373">
              <w:rPr>
                <w:rStyle w:val="Hyperlink"/>
              </w:rPr>
              <w:t>5.4.2.</w:t>
            </w:r>
            <w:r w:rsidR="008146D0">
              <w:tab/>
            </w:r>
            <w:r w:rsidRPr="7E950373">
              <w:rPr>
                <w:rStyle w:val="Hyperlink"/>
              </w:rPr>
              <w:t>Part Two – Qualification Pass/Fail Questions</w:t>
            </w:r>
            <w:r w:rsidR="008146D0">
              <w:tab/>
            </w:r>
            <w:r w:rsidR="008146D0">
              <w:fldChar w:fldCharType="begin"/>
            </w:r>
            <w:r w:rsidR="008146D0">
              <w:instrText>PAGEREF _Toc1462591160 \h</w:instrText>
            </w:r>
            <w:r w:rsidR="008146D0">
              <w:fldChar w:fldCharType="separate"/>
            </w:r>
            <w:r w:rsidRPr="7E950373">
              <w:rPr>
                <w:rStyle w:val="Hyperlink"/>
              </w:rPr>
              <w:t>14</w:t>
            </w:r>
            <w:r w:rsidR="008146D0">
              <w:fldChar w:fldCharType="end"/>
            </w:r>
          </w:hyperlink>
        </w:p>
        <w:p w14:paraId="341FB028" w14:textId="2E4D128E" w:rsidR="008146D0" w:rsidRDefault="7E950373" w:rsidP="7E950373">
          <w:pPr>
            <w:pStyle w:val="TOC3"/>
            <w:tabs>
              <w:tab w:val="left" w:pos="1320"/>
              <w:tab w:val="right" w:leader="dot" w:pos="9015"/>
            </w:tabs>
            <w:rPr>
              <w:rStyle w:val="Hyperlink"/>
              <w:noProof/>
              <w:kern w:val="2"/>
              <w:lang w:eastAsia="en-GB"/>
              <w14:ligatures w14:val="standardContextual"/>
            </w:rPr>
          </w:pPr>
          <w:hyperlink w:anchor="_Toc930161976">
            <w:r w:rsidRPr="7E950373">
              <w:rPr>
                <w:rStyle w:val="Hyperlink"/>
              </w:rPr>
              <w:t>5.4.3.</w:t>
            </w:r>
            <w:r w:rsidR="008146D0">
              <w:tab/>
            </w:r>
            <w:r w:rsidRPr="7E950373">
              <w:rPr>
                <w:rStyle w:val="Hyperlink"/>
              </w:rPr>
              <w:t>‘Self-cleaning’</w:t>
            </w:r>
            <w:r w:rsidR="008146D0">
              <w:tab/>
            </w:r>
            <w:r w:rsidR="008146D0">
              <w:fldChar w:fldCharType="begin"/>
            </w:r>
            <w:r w:rsidR="008146D0">
              <w:instrText>PAGEREF _Toc930161976 \h</w:instrText>
            </w:r>
            <w:r w:rsidR="008146D0">
              <w:fldChar w:fldCharType="separate"/>
            </w:r>
            <w:r w:rsidRPr="7E950373">
              <w:rPr>
                <w:rStyle w:val="Hyperlink"/>
              </w:rPr>
              <w:t>15</w:t>
            </w:r>
            <w:r w:rsidR="008146D0">
              <w:fldChar w:fldCharType="end"/>
            </w:r>
          </w:hyperlink>
        </w:p>
        <w:p w14:paraId="3EB5C2D3" w14:textId="7AFB4B0C" w:rsidR="008146D0" w:rsidRDefault="7E950373" w:rsidP="7E950373">
          <w:pPr>
            <w:pStyle w:val="TOC3"/>
            <w:tabs>
              <w:tab w:val="left" w:pos="1320"/>
              <w:tab w:val="right" w:leader="dot" w:pos="9015"/>
            </w:tabs>
            <w:rPr>
              <w:rStyle w:val="Hyperlink"/>
              <w:noProof/>
              <w:kern w:val="2"/>
              <w:lang w:eastAsia="en-GB"/>
              <w14:ligatures w14:val="standardContextual"/>
            </w:rPr>
          </w:pPr>
          <w:hyperlink w:anchor="_Toc691283778">
            <w:r w:rsidRPr="7E950373">
              <w:rPr>
                <w:rStyle w:val="Hyperlink"/>
              </w:rPr>
              <w:t>5.4.4.</w:t>
            </w:r>
            <w:r w:rsidR="008146D0">
              <w:tab/>
            </w:r>
            <w:r w:rsidRPr="7E950373">
              <w:rPr>
                <w:rStyle w:val="Hyperlink"/>
              </w:rPr>
              <w:t>Part Three – Quality Evaluation</w:t>
            </w:r>
            <w:r w:rsidR="008146D0">
              <w:tab/>
            </w:r>
            <w:r w:rsidR="008146D0">
              <w:fldChar w:fldCharType="begin"/>
            </w:r>
            <w:r w:rsidR="008146D0">
              <w:instrText>PAGEREF _Toc691283778 \h</w:instrText>
            </w:r>
            <w:r w:rsidR="008146D0">
              <w:fldChar w:fldCharType="separate"/>
            </w:r>
            <w:r w:rsidRPr="7E950373">
              <w:rPr>
                <w:rStyle w:val="Hyperlink"/>
              </w:rPr>
              <w:t>15</w:t>
            </w:r>
            <w:r w:rsidR="008146D0">
              <w:fldChar w:fldCharType="end"/>
            </w:r>
          </w:hyperlink>
        </w:p>
        <w:p w14:paraId="5DFFFFC1" w14:textId="35502050" w:rsidR="008146D0" w:rsidRDefault="7E950373" w:rsidP="7E950373">
          <w:pPr>
            <w:pStyle w:val="TOC3"/>
            <w:tabs>
              <w:tab w:val="left" w:pos="1320"/>
              <w:tab w:val="right" w:leader="dot" w:pos="9015"/>
            </w:tabs>
            <w:rPr>
              <w:rStyle w:val="Hyperlink"/>
              <w:noProof/>
              <w:kern w:val="2"/>
              <w:lang w:eastAsia="en-GB"/>
              <w14:ligatures w14:val="standardContextual"/>
            </w:rPr>
          </w:pPr>
          <w:hyperlink w:anchor="_Toc1309484498">
            <w:r w:rsidRPr="7E950373">
              <w:rPr>
                <w:rStyle w:val="Hyperlink"/>
              </w:rPr>
              <w:t>5.4.5.</w:t>
            </w:r>
            <w:r w:rsidR="008146D0">
              <w:tab/>
            </w:r>
            <w:r w:rsidRPr="7E950373">
              <w:rPr>
                <w:rStyle w:val="Hyperlink"/>
              </w:rPr>
              <w:t>Part Four – Price Evaluation</w:t>
            </w:r>
            <w:r w:rsidR="008146D0">
              <w:tab/>
            </w:r>
            <w:r w:rsidR="008146D0">
              <w:fldChar w:fldCharType="begin"/>
            </w:r>
            <w:r w:rsidR="008146D0">
              <w:instrText>PAGEREF _Toc1309484498 \h</w:instrText>
            </w:r>
            <w:r w:rsidR="008146D0">
              <w:fldChar w:fldCharType="separate"/>
            </w:r>
            <w:r w:rsidRPr="7E950373">
              <w:rPr>
                <w:rStyle w:val="Hyperlink"/>
              </w:rPr>
              <w:t>17</w:t>
            </w:r>
            <w:r w:rsidR="008146D0">
              <w:fldChar w:fldCharType="end"/>
            </w:r>
          </w:hyperlink>
        </w:p>
        <w:p w14:paraId="4103668E" w14:textId="09697206" w:rsidR="008146D0" w:rsidRDefault="7E950373" w:rsidP="7E950373">
          <w:pPr>
            <w:pStyle w:val="TOC2"/>
            <w:tabs>
              <w:tab w:val="left" w:pos="660"/>
              <w:tab w:val="right" w:leader="dot" w:pos="9015"/>
            </w:tabs>
            <w:rPr>
              <w:rStyle w:val="Hyperlink"/>
              <w:noProof/>
              <w:kern w:val="2"/>
              <w:lang w:eastAsia="en-GB"/>
              <w14:ligatures w14:val="standardContextual"/>
            </w:rPr>
          </w:pPr>
          <w:hyperlink w:anchor="_Toc1996264869">
            <w:r w:rsidRPr="7E950373">
              <w:rPr>
                <w:rStyle w:val="Hyperlink"/>
              </w:rPr>
              <w:t>5.5.</w:t>
            </w:r>
            <w:r w:rsidR="008146D0">
              <w:tab/>
            </w:r>
            <w:r w:rsidRPr="7E950373">
              <w:rPr>
                <w:rStyle w:val="Hyperlink"/>
              </w:rPr>
              <w:t>Overall Scoring</w:t>
            </w:r>
            <w:r w:rsidR="008146D0">
              <w:tab/>
            </w:r>
            <w:r w:rsidR="008146D0">
              <w:fldChar w:fldCharType="begin"/>
            </w:r>
            <w:r w:rsidR="008146D0">
              <w:instrText>PAGEREF _Toc1996264869 \h</w:instrText>
            </w:r>
            <w:r w:rsidR="008146D0">
              <w:fldChar w:fldCharType="separate"/>
            </w:r>
            <w:r w:rsidRPr="7E950373">
              <w:rPr>
                <w:rStyle w:val="Hyperlink"/>
              </w:rPr>
              <w:t>17</w:t>
            </w:r>
            <w:r w:rsidR="008146D0">
              <w:fldChar w:fldCharType="end"/>
            </w:r>
          </w:hyperlink>
        </w:p>
        <w:p w14:paraId="3A822E74" w14:textId="13C42B12" w:rsidR="008146D0" w:rsidRDefault="7E950373" w:rsidP="7E950373">
          <w:pPr>
            <w:pStyle w:val="TOC1"/>
            <w:tabs>
              <w:tab w:val="left" w:pos="435"/>
              <w:tab w:val="right" w:leader="dot" w:pos="9015"/>
            </w:tabs>
            <w:rPr>
              <w:rStyle w:val="Hyperlink"/>
              <w:noProof/>
              <w:kern w:val="2"/>
              <w:lang w:eastAsia="en-GB"/>
              <w14:ligatures w14:val="standardContextual"/>
            </w:rPr>
          </w:pPr>
          <w:hyperlink w:anchor="_Toc791982625">
            <w:r w:rsidRPr="7E950373">
              <w:rPr>
                <w:rStyle w:val="Hyperlink"/>
              </w:rPr>
              <w:t>7.</w:t>
            </w:r>
            <w:r w:rsidR="008146D0">
              <w:tab/>
            </w:r>
            <w:r w:rsidRPr="7E950373">
              <w:rPr>
                <w:rStyle w:val="Hyperlink"/>
              </w:rPr>
              <w:t>Tender Acceptance</w:t>
            </w:r>
            <w:r w:rsidR="008146D0">
              <w:tab/>
            </w:r>
            <w:r w:rsidR="008146D0">
              <w:fldChar w:fldCharType="begin"/>
            </w:r>
            <w:r w:rsidR="008146D0">
              <w:instrText>PAGEREF _Toc791982625 \h</w:instrText>
            </w:r>
            <w:r w:rsidR="008146D0">
              <w:fldChar w:fldCharType="separate"/>
            </w:r>
            <w:r w:rsidRPr="7E950373">
              <w:rPr>
                <w:rStyle w:val="Hyperlink"/>
              </w:rPr>
              <w:t>18</w:t>
            </w:r>
            <w:r w:rsidR="008146D0">
              <w:fldChar w:fldCharType="end"/>
            </w:r>
          </w:hyperlink>
        </w:p>
        <w:p w14:paraId="2F3CDBF4" w14:textId="1DB51F1A" w:rsidR="008146D0" w:rsidRDefault="7E950373" w:rsidP="7E950373">
          <w:pPr>
            <w:pStyle w:val="TOC1"/>
            <w:tabs>
              <w:tab w:val="left" w:pos="435"/>
              <w:tab w:val="right" w:leader="dot" w:pos="9015"/>
            </w:tabs>
            <w:rPr>
              <w:rStyle w:val="Hyperlink"/>
              <w:noProof/>
              <w:kern w:val="2"/>
              <w:lang w:eastAsia="en-GB"/>
              <w14:ligatures w14:val="standardContextual"/>
            </w:rPr>
          </w:pPr>
          <w:hyperlink w:anchor="_Toc244108354">
            <w:r w:rsidRPr="7E950373">
              <w:rPr>
                <w:rStyle w:val="Hyperlink"/>
              </w:rPr>
              <w:t>8.</w:t>
            </w:r>
            <w:r w:rsidR="008146D0">
              <w:tab/>
            </w:r>
            <w:r w:rsidRPr="7E950373">
              <w:rPr>
                <w:rStyle w:val="Hyperlink"/>
              </w:rPr>
              <w:t>Tender Checklist</w:t>
            </w:r>
            <w:r w:rsidR="008146D0">
              <w:tab/>
            </w:r>
            <w:r w:rsidR="008146D0">
              <w:fldChar w:fldCharType="begin"/>
            </w:r>
            <w:r w:rsidR="008146D0">
              <w:instrText>PAGEREF _Toc244108354 \h</w:instrText>
            </w:r>
            <w:r w:rsidR="008146D0">
              <w:fldChar w:fldCharType="separate"/>
            </w:r>
            <w:r w:rsidRPr="7E950373">
              <w:rPr>
                <w:rStyle w:val="Hyperlink"/>
              </w:rPr>
              <w:t>19</w:t>
            </w:r>
            <w:r w:rsidR="008146D0">
              <w:fldChar w:fldCharType="end"/>
            </w:r>
          </w:hyperlink>
          <w:r w:rsidR="008146D0">
            <w:fldChar w:fldCharType="end"/>
          </w:r>
        </w:p>
      </w:sdtContent>
    </w:sdt>
    <w:p w14:paraId="59497784" w14:textId="4CCEE1E0" w:rsidR="00530856" w:rsidRDefault="00530856" w:rsidP="001A0344">
      <w:pPr>
        <w:sectPr w:rsidR="00530856" w:rsidSect="00D44EE8">
          <w:headerReference w:type="first" r:id="rId16"/>
          <w:pgSz w:w="11906" w:h="16838"/>
          <w:pgMar w:top="2268" w:right="1440" w:bottom="1440" w:left="1440" w:header="709" w:footer="709" w:gutter="0"/>
          <w:pgNumType w:start="1"/>
          <w:cols w:space="708"/>
          <w:docGrid w:linePitch="360"/>
        </w:sectPr>
      </w:pPr>
    </w:p>
    <w:p w14:paraId="0A05B5F4" w14:textId="31EA7586" w:rsidR="00530856" w:rsidRPr="00612CBF" w:rsidRDefault="00530856" w:rsidP="002D143C">
      <w:pPr>
        <w:pStyle w:val="Heading1"/>
        <w:numPr>
          <w:ilvl w:val="0"/>
          <w:numId w:val="1"/>
        </w:numPr>
        <w:spacing w:line="360" w:lineRule="auto"/>
        <w:rPr>
          <w:color w:val="1F4E79" w:themeColor="accent5" w:themeShade="80"/>
          <w:sz w:val="32"/>
          <w:szCs w:val="32"/>
        </w:rPr>
      </w:pPr>
      <w:bookmarkStart w:id="0" w:name="_Toc345736389"/>
      <w:r w:rsidRPr="7E950373">
        <w:rPr>
          <w:color w:val="1F4E79" w:themeColor="accent5" w:themeShade="80"/>
          <w:sz w:val="32"/>
          <w:szCs w:val="32"/>
        </w:rPr>
        <w:lastRenderedPageBreak/>
        <w:t>Tender Overview</w:t>
      </w:r>
      <w:bookmarkEnd w:id="0"/>
    </w:p>
    <w:p w14:paraId="3B85ABA1" w14:textId="576BEF73" w:rsidR="0098428C" w:rsidRPr="002D143C" w:rsidRDefault="001D5E7D" w:rsidP="00612CBF">
      <w:pPr>
        <w:pStyle w:val="Heading2"/>
        <w:numPr>
          <w:ilvl w:val="1"/>
          <w:numId w:val="1"/>
        </w:numPr>
        <w:spacing w:line="360" w:lineRule="auto"/>
        <w:rPr>
          <w:color w:val="1F4E79" w:themeColor="accent5" w:themeShade="80"/>
        </w:rPr>
      </w:pPr>
      <w:bookmarkStart w:id="1" w:name="_Toc1271039118"/>
      <w:r w:rsidRPr="7E950373">
        <w:rPr>
          <w:color w:val="1F4E79" w:themeColor="accent5" w:themeShade="80"/>
        </w:rPr>
        <w:t xml:space="preserve">Tender </w:t>
      </w:r>
      <w:commentRangeStart w:id="2"/>
      <w:r w:rsidRPr="7E950373">
        <w:rPr>
          <w:color w:val="1F4E79" w:themeColor="accent5" w:themeShade="80"/>
        </w:rPr>
        <w:t>Brief</w:t>
      </w:r>
      <w:bookmarkEnd w:id="1"/>
      <w:commentRangeEnd w:id="2"/>
      <w:r w:rsidRPr="002D143C">
        <w:rPr>
          <w:rStyle w:val="CommentReference"/>
          <w:color w:val="1F4E79" w:themeColor="accent5" w:themeShade="80"/>
          <w:sz w:val="28"/>
          <w:szCs w:val="28"/>
        </w:rPr>
        <w:commentReference w:id="2"/>
      </w:r>
    </w:p>
    <w:p w14:paraId="4BC5432A" w14:textId="77777777" w:rsidR="00C13032" w:rsidRPr="003C66AB" w:rsidRDefault="00C13032" w:rsidP="00C13032">
      <w:pPr>
        <w:rPr>
          <w:rFonts w:eastAsiaTheme="majorEastAsia"/>
        </w:rPr>
      </w:pPr>
      <w:bookmarkStart w:id="3" w:name="_Toc311839102"/>
      <w:r w:rsidRPr="003C66AB">
        <w:rPr>
          <w:rFonts w:eastAsiaTheme="majorEastAsia"/>
        </w:rPr>
        <w:t>This Invitation to Tender (ITT) has been issued by Barcud Shared Services for and on behalf of Merthyr Valleys Homes. This ITT is to be run as an ‘Open Procedure’ in accordance with the Procurement Act 2023 (PA23) and advertised on Sell2Wales.</w:t>
      </w:r>
    </w:p>
    <w:p w14:paraId="69AE6D69" w14:textId="6DD04B5B" w:rsidR="00C13032" w:rsidRPr="003C66AB" w:rsidRDefault="00C13032" w:rsidP="00C13032">
      <w:pPr>
        <w:rPr>
          <w:rFonts w:eastAsiaTheme="majorEastAsia"/>
        </w:rPr>
      </w:pPr>
      <w:r w:rsidRPr="003C66AB">
        <w:rPr>
          <w:rFonts w:eastAsiaTheme="majorEastAsia"/>
        </w:rPr>
        <w:t xml:space="preserve">Merthyr Valleys Homes’ requirement for </w:t>
      </w:r>
      <w:r>
        <w:rPr>
          <w:rFonts w:eastAsiaTheme="majorEastAsia"/>
        </w:rPr>
        <w:t xml:space="preserve">the </w:t>
      </w:r>
      <w:r w:rsidRPr="003C66AB">
        <w:rPr>
          <w:rFonts w:eastAsiaTheme="majorEastAsia"/>
        </w:rPr>
        <w:t>Demolition of Existing Garages and Construction of Car Parking Bays at Yew Close, Merthyr Tydfil.</w:t>
      </w:r>
    </w:p>
    <w:p w14:paraId="63A8361A" w14:textId="77777777" w:rsidR="00C13032" w:rsidRDefault="00C13032" w:rsidP="00C13032">
      <w:pPr>
        <w:rPr>
          <w:rFonts w:eastAsiaTheme="majorEastAsia"/>
        </w:rPr>
      </w:pPr>
      <w:r w:rsidRPr="003C66AB">
        <w:rPr>
          <w:rFonts w:eastAsiaTheme="majorEastAsia"/>
        </w:rPr>
        <w:t>The works include the demolition of existing garage structures and the construction of new permeable car parking bays with associated drainage and reinstatement works. The contract duration is expected to be approximately 16 week</w:t>
      </w:r>
      <w:r>
        <w:rPr>
          <w:rFonts w:eastAsiaTheme="majorEastAsia"/>
        </w:rPr>
        <w:t>s.</w:t>
      </w:r>
    </w:p>
    <w:p w14:paraId="47305EEF" w14:textId="77777777" w:rsidR="00C13032" w:rsidRPr="001D5E7D" w:rsidRDefault="00C13032" w:rsidP="00C13032">
      <w:pPr>
        <w:rPr>
          <w:rFonts w:eastAsiaTheme="majorEastAsia"/>
        </w:rPr>
      </w:pPr>
      <w:r>
        <w:rPr>
          <w:rFonts w:eastAsiaTheme="majorEastAsia"/>
        </w:rPr>
        <w:t xml:space="preserve">Further information on the tender requirements may be found within the associated tender specification. </w:t>
      </w:r>
    </w:p>
    <w:p w14:paraId="25B6C859" w14:textId="77777777" w:rsidR="00C13032" w:rsidRPr="002D143C" w:rsidRDefault="00C13032" w:rsidP="00C13032">
      <w:pPr>
        <w:pStyle w:val="Heading2"/>
        <w:numPr>
          <w:ilvl w:val="1"/>
          <w:numId w:val="1"/>
        </w:numPr>
        <w:spacing w:line="360" w:lineRule="auto"/>
        <w:rPr>
          <w:color w:val="1F4E79" w:themeColor="accent5" w:themeShade="80"/>
        </w:rPr>
      </w:pPr>
      <w:bookmarkStart w:id="4" w:name="_Toc155263000"/>
      <w:r w:rsidRPr="002D143C">
        <w:rPr>
          <w:color w:val="1F4E79" w:themeColor="accent5" w:themeShade="80"/>
        </w:rPr>
        <w:t>Indicative Timetable</w:t>
      </w:r>
      <w:bookmarkEnd w:id="4"/>
    </w:p>
    <w:p w14:paraId="7030C9C8" w14:textId="77777777" w:rsidR="00C13032" w:rsidRDefault="00C13032" w:rsidP="00C13032">
      <w:pPr>
        <w:pStyle w:val="NoSpacing"/>
      </w:pPr>
      <w:r>
        <w:t>Set out below is the proposed procurement timetable. This is intended as a guide an</w:t>
      </w:r>
      <w:r w:rsidRPr="00760ECD">
        <w:t xml:space="preserve">d, whilst Barcud Shared Services does not intend to depart from the timetable, it reserves </w:t>
      </w:r>
      <w:r>
        <w:t>the right to do so at any stage.</w:t>
      </w:r>
    </w:p>
    <w:p w14:paraId="1AB9FA7D" w14:textId="77777777" w:rsidR="00C13032" w:rsidRDefault="00C13032" w:rsidP="00C13032">
      <w:pPr>
        <w:pStyle w:val="NoSpacing"/>
      </w:pPr>
    </w:p>
    <w:tbl>
      <w:tblPr>
        <w:tblStyle w:val="TableGrid"/>
        <w:tblW w:w="9252" w:type="dxa"/>
        <w:tblLook w:val="04A0" w:firstRow="1" w:lastRow="0" w:firstColumn="1" w:lastColumn="0" w:noHBand="0" w:noVBand="1"/>
      </w:tblPr>
      <w:tblGrid>
        <w:gridCol w:w="6091"/>
        <w:gridCol w:w="3161"/>
      </w:tblGrid>
      <w:tr w:rsidR="00C13032" w14:paraId="7E99CBB3" w14:textId="77777777" w:rsidTr="00ED1B4A">
        <w:tc>
          <w:tcPr>
            <w:tcW w:w="6091" w:type="dxa"/>
            <w:shd w:val="clear" w:color="auto" w:fill="1F3864" w:themeFill="accent1" w:themeFillShade="80"/>
          </w:tcPr>
          <w:p w14:paraId="6BCB5890" w14:textId="77777777" w:rsidR="00C13032" w:rsidRPr="00EE614D" w:rsidRDefault="00C13032" w:rsidP="00ED1B4A">
            <w:pPr>
              <w:rPr>
                <w:b/>
                <w:bCs/>
                <w:color w:val="FFFFFF" w:themeColor="background1"/>
              </w:rPr>
            </w:pPr>
            <w:r w:rsidRPr="00EE614D">
              <w:rPr>
                <w:b/>
                <w:bCs/>
                <w:color w:val="FFFFFF" w:themeColor="background1"/>
              </w:rPr>
              <w:t>Procurement Stage</w:t>
            </w:r>
          </w:p>
        </w:tc>
        <w:tc>
          <w:tcPr>
            <w:tcW w:w="3161" w:type="dxa"/>
            <w:shd w:val="clear" w:color="auto" w:fill="1F3864" w:themeFill="accent1" w:themeFillShade="80"/>
          </w:tcPr>
          <w:p w14:paraId="73116D44" w14:textId="77777777" w:rsidR="00C13032" w:rsidRPr="00EE614D" w:rsidRDefault="00C13032" w:rsidP="00ED1B4A">
            <w:pPr>
              <w:rPr>
                <w:b/>
                <w:bCs/>
                <w:color w:val="FFFFFF" w:themeColor="background1"/>
              </w:rPr>
            </w:pPr>
            <w:r w:rsidRPr="00EE614D">
              <w:rPr>
                <w:b/>
                <w:bCs/>
                <w:color w:val="FFFFFF" w:themeColor="background1"/>
              </w:rPr>
              <w:t>Date</w:t>
            </w:r>
          </w:p>
        </w:tc>
      </w:tr>
      <w:tr w:rsidR="00C13032" w14:paraId="7C943BD5" w14:textId="77777777" w:rsidTr="00ED1B4A">
        <w:tc>
          <w:tcPr>
            <w:tcW w:w="6091" w:type="dxa"/>
          </w:tcPr>
          <w:p w14:paraId="6D2897EC" w14:textId="77777777" w:rsidR="00C13032" w:rsidRDefault="00C13032" w:rsidP="00ED1B4A">
            <w:r w:rsidRPr="00CA66BD">
              <w:t>ITT Release Date:</w:t>
            </w:r>
          </w:p>
        </w:tc>
        <w:tc>
          <w:tcPr>
            <w:tcW w:w="3161" w:type="dxa"/>
          </w:tcPr>
          <w:p w14:paraId="4959295A" w14:textId="3A1A3423" w:rsidR="00C13032" w:rsidRPr="009842B0" w:rsidRDefault="008672C5" w:rsidP="00ED1B4A">
            <w:pPr>
              <w:rPr>
                <w:rFonts w:ascii="Calibri" w:eastAsia="Calibri" w:hAnsi="Calibri" w:cs="Calibri"/>
              </w:rPr>
            </w:pPr>
            <w:r>
              <w:t>7</w:t>
            </w:r>
            <w:r w:rsidRPr="008672C5">
              <w:rPr>
                <w:vertAlign w:val="superscript"/>
              </w:rPr>
              <w:t>th</w:t>
            </w:r>
            <w:r>
              <w:t xml:space="preserve"> November </w:t>
            </w:r>
            <w:r w:rsidR="00C13032" w:rsidRPr="00CA66BD">
              <w:t>2025</w:t>
            </w:r>
          </w:p>
        </w:tc>
      </w:tr>
      <w:tr w:rsidR="00C13032" w14:paraId="1EB76DD5" w14:textId="77777777" w:rsidTr="00ED1B4A">
        <w:tc>
          <w:tcPr>
            <w:tcW w:w="6091" w:type="dxa"/>
          </w:tcPr>
          <w:p w14:paraId="5DC847EC" w14:textId="77777777" w:rsidR="00C13032" w:rsidRDefault="00C13032" w:rsidP="00ED1B4A">
            <w:r w:rsidRPr="00CA66BD">
              <w:t>Supplier Clarification Deadline:</w:t>
            </w:r>
          </w:p>
        </w:tc>
        <w:tc>
          <w:tcPr>
            <w:tcW w:w="3161" w:type="dxa"/>
          </w:tcPr>
          <w:p w14:paraId="677C1827" w14:textId="1EF13237" w:rsidR="00C13032" w:rsidRPr="009842B0" w:rsidRDefault="00F30450" w:rsidP="00ED1B4A">
            <w:pPr>
              <w:rPr>
                <w:rFonts w:ascii="Calibri" w:eastAsia="Calibri" w:hAnsi="Calibri" w:cs="Calibri"/>
              </w:rPr>
            </w:pPr>
            <w:r>
              <w:t>20</w:t>
            </w:r>
            <w:r w:rsidRPr="00F30450">
              <w:rPr>
                <w:vertAlign w:val="superscript"/>
              </w:rPr>
              <w:t>th</w:t>
            </w:r>
            <w:r w:rsidR="00C13032" w:rsidRPr="00CA66BD">
              <w:t xml:space="preserve"> November 2025</w:t>
            </w:r>
          </w:p>
        </w:tc>
      </w:tr>
      <w:tr w:rsidR="00C13032" w14:paraId="5A6DD7FB" w14:textId="77777777" w:rsidTr="00ED1B4A">
        <w:tc>
          <w:tcPr>
            <w:tcW w:w="6091" w:type="dxa"/>
          </w:tcPr>
          <w:p w14:paraId="7DFD39CD" w14:textId="77777777" w:rsidR="00C13032" w:rsidRDefault="00C13032" w:rsidP="00ED1B4A">
            <w:r w:rsidRPr="00CA66BD">
              <w:t>ITT Response Submission Deadline:</w:t>
            </w:r>
          </w:p>
        </w:tc>
        <w:tc>
          <w:tcPr>
            <w:tcW w:w="3161" w:type="dxa"/>
          </w:tcPr>
          <w:p w14:paraId="769F5ADD" w14:textId="629D482C" w:rsidR="00C13032" w:rsidRPr="009842B0" w:rsidRDefault="00C13032" w:rsidP="00ED1B4A">
            <w:pPr>
              <w:rPr>
                <w:highlight w:val="yellow"/>
              </w:rPr>
            </w:pPr>
            <w:bookmarkStart w:id="5" w:name="_Hlk213398303"/>
            <w:r w:rsidRPr="00CA66BD">
              <w:t>2</w:t>
            </w:r>
            <w:r w:rsidR="00720F16">
              <w:t>7</w:t>
            </w:r>
            <w:r w:rsidR="00720F16" w:rsidRPr="00720F16">
              <w:rPr>
                <w:vertAlign w:val="superscript"/>
              </w:rPr>
              <w:t>th</w:t>
            </w:r>
            <w:r w:rsidRPr="00CA66BD">
              <w:t xml:space="preserve"> November 2025 – 12.00 (noon)</w:t>
            </w:r>
            <w:bookmarkEnd w:id="5"/>
          </w:p>
        </w:tc>
      </w:tr>
      <w:tr w:rsidR="00C13032" w14:paraId="5050B435" w14:textId="77777777" w:rsidTr="00ED1B4A">
        <w:tc>
          <w:tcPr>
            <w:tcW w:w="6091" w:type="dxa"/>
          </w:tcPr>
          <w:p w14:paraId="43039039" w14:textId="77777777" w:rsidR="00C13032" w:rsidRDefault="00C13032" w:rsidP="00ED1B4A">
            <w:r w:rsidRPr="00CA66BD">
              <w:t>Anticipated Completion of Tender Evaluation and Notification to Tenderers:</w:t>
            </w:r>
          </w:p>
        </w:tc>
        <w:tc>
          <w:tcPr>
            <w:tcW w:w="3161" w:type="dxa"/>
          </w:tcPr>
          <w:p w14:paraId="7AC0C4F4" w14:textId="4BFAE375" w:rsidR="00C13032" w:rsidRPr="009842B0" w:rsidRDefault="00C13032" w:rsidP="00ED1B4A">
            <w:pPr>
              <w:rPr>
                <w:highlight w:val="yellow"/>
              </w:rPr>
            </w:pPr>
            <w:r w:rsidRPr="00CA66BD">
              <w:t xml:space="preserve">Week commencing </w:t>
            </w:r>
            <w:r w:rsidR="00D951C3">
              <w:t>10</w:t>
            </w:r>
            <w:r w:rsidR="00D951C3" w:rsidRPr="00D951C3">
              <w:rPr>
                <w:vertAlign w:val="superscript"/>
              </w:rPr>
              <w:t>th</w:t>
            </w:r>
            <w:r w:rsidRPr="00CA66BD">
              <w:t xml:space="preserve"> December 2025</w:t>
            </w:r>
          </w:p>
        </w:tc>
      </w:tr>
      <w:tr w:rsidR="00C13032" w14:paraId="71AAB0B1" w14:textId="77777777" w:rsidTr="00ED1B4A">
        <w:tc>
          <w:tcPr>
            <w:tcW w:w="6091" w:type="dxa"/>
          </w:tcPr>
          <w:p w14:paraId="431E40ED" w14:textId="77777777" w:rsidR="00C13032" w:rsidRDefault="00C13032" w:rsidP="00ED1B4A">
            <w:r w:rsidRPr="00CA66BD">
              <w:t>Anticipated Contract Signature Date:</w:t>
            </w:r>
          </w:p>
        </w:tc>
        <w:tc>
          <w:tcPr>
            <w:tcW w:w="3161" w:type="dxa"/>
          </w:tcPr>
          <w:p w14:paraId="7AAD9E9C" w14:textId="77777777" w:rsidR="00C13032" w:rsidRPr="009842B0" w:rsidRDefault="00C13032" w:rsidP="00ED1B4A">
            <w:pPr>
              <w:rPr>
                <w:highlight w:val="yellow"/>
              </w:rPr>
            </w:pPr>
            <w:r w:rsidRPr="00CA66BD">
              <w:t>Week commencing 15 December 2025</w:t>
            </w:r>
          </w:p>
        </w:tc>
      </w:tr>
      <w:tr w:rsidR="00C13032" w14:paraId="028EABB9" w14:textId="77777777" w:rsidTr="00ED1B4A">
        <w:tc>
          <w:tcPr>
            <w:tcW w:w="6091" w:type="dxa"/>
          </w:tcPr>
          <w:p w14:paraId="3C497767" w14:textId="77777777" w:rsidR="00C13032" w:rsidRDefault="00C13032" w:rsidP="00ED1B4A">
            <w:r w:rsidRPr="00CA66BD">
              <w:t>Anticipated Contract Start Date:</w:t>
            </w:r>
          </w:p>
        </w:tc>
        <w:tc>
          <w:tcPr>
            <w:tcW w:w="3161" w:type="dxa"/>
          </w:tcPr>
          <w:p w14:paraId="6976830E" w14:textId="77777777" w:rsidR="00C13032" w:rsidRPr="009842B0" w:rsidRDefault="00C13032" w:rsidP="00ED1B4A">
            <w:pPr>
              <w:rPr>
                <w:rFonts w:ascii="Calibri" w:eastAsia="Calibri" w:hAnsi="Calibri" w:cs="Calibri"/>
              </w:rPr>
            </w:pPr>
            <w:r w:rsidRPr="00CA66BD">
              <w:t>5 January 2026</w:t>
            </w:r>
          </w:p>
        </w:tc>
      </w:tr>
    </w:tbl>
    <w:p w14:paraId="365E8072" w14:textId="77777777" w:rsidR="00C13032" w:rsidRPr="0066157D" w:rsidRDefault="00C13032" w:rsidP="00C13032">
      <w:pPr>
        <w:jc w:val="right"/>
        <w:rPr>
          <w:sz w:val="20"/>
          <w:szCs w:val="20"/>
        </w:rPr>
      </w:pPr>
      <w:r w:rsidRPr="0066157D">
        <w:rPr>
          <w:sz w:val="20"/>
          <w:szCs w:val="20"/>
        </w:rPr>
        <w:t>Table 1</w:t>
      </w:r>
      <w:r>
        <w:rPr>
          <w:sz w:val="20"/>
          <w:szCs w:val="20"/>
        </w:rPr>
        <w:t xml:space="preserve"> – Indicative Timetable</w:t>
      </w:r>
    </w:p>
    <w:p w14:paraId="6DC8DEE7" w14:textId="084F1DCA" w:rsidR="00760ECD" w:rsidRPr="002D143C" w:rsidRDefault="00760ECD" w:rsidP="00612CBF">
      <w:pPr>
        <w:pStyle w:val="Heading2"/>
        <w:numPr>
          <w:ilvl w:val="1"/>
          <w:numId w:val="1"/>
        </w:numPr>
        <w:spacing w:line="360" w:lineRule="auto"/>
        <w:rPr>
          <w:color w:val="1F4E79" w:themeColor="accent5" w:themeShade="80"/>
        </w:rPr>
      </w:pPr>
      <w:r w:rsidRPr="7E950373">
        <w:rPr>
          <w:color w:val="1F4E79" w:themeColor="accent5" w:themeShade="80"/>
        </w:rPr>
        <w:t xml:space="preserve">Introduction </w:t>
      </w:r>
      <w:r w:rsidR="00581B46" w:rsidRPr="7E950373">
        <w:rPr>
          <w:color w:val="1F4E79" w:themeColor="accent5" w:themeShade="80"/>
        </w:rPr>
        <w:t>to</w:t>
      </w:r>
      <w:r w:rsidRPr="7E950373">
        <w:rPr>
          <w:color w:val="1F4E79" w:themeColor="accent5" w:themeShade="80"/>
        </w:rPr>
        <w:t xml:space="preserve"> Barcud Shared Services</w:t>
      </w:r>
      <w:bookmarkEnd w:id="3"/>
      <w:r w:rsidRPr="7E950373">
        <w:rPr>
          <w:color w:val="1F4E79" w:themeColor="accent5" w:themeShade="80"/>
        </w:rPr>
        <w:t xml:space="preserve"> </w:t>
      </w:r>
    </w:p>
    <w:p w14:paraId="10310BFC" w14:textId="05E5B774" w:rsidR="005204CE" w:rsidRDefault="005204CE" w:rsidP="0098428C">
      <w:pPr>
        <w:rPr>
          <w:rFonts w:eastAsiaTheme="majorEastAsia"/>
        </w:rPr>
      </w:pPr>
      <w:r w:rsidRPr="005204CE">
        <w:rPr>
          <w:rFonts w:eastAsiaTheme="majorEastAsia"/>
        </w:rPr>
        <w:t>Barcud Shared Services was originally established in 2012 by four large scale voluntary transfer (LSVT) housing associations. Due to the organisation's success, Barcud Shared Services Limited (BSS) was incorporated in September 2019 as a not-for-profit company with five Members: Bron Afon Community Housing, Merthyr Valleys Homes, Tai Tarian</w:t>
      </w:r>
      <w:r w:rsidR="00113C56">
        <w:rPr>
          <w:rFonts w:eastAsiaTheme="majorEastAsia"/>
        </w:rPr>
        <w:t xml:space="preserve"> &amp;</w:t>
      </w:r>
      <w:r w:rsidRPr="005204CE">
        <w:rPr>
          <w:rFonts w:eastAsiaTheme="majorEastAsia"/>
        </w:rPr>
        <w:t xml:space="preserve"> Valleys to Coast Housing </w:t>
      </w:r>
      <w:r w:rsidR="00113C56">
        <w:rPr>
          <w:rFonts w:eastAsiaTheme="majorEastAsia"/>
        </w:rPr>
        <w:t>with</w:t>
      </w:r>
      <w:r w:rsidRPr="005204CE">
        <w:rPr>
          <w:rFonts w:eastAsiaTheme="majorEastAsia"/>
        </w:rPr>
        <w:t xml:space="preserve"> Cynon Taf, join</w:t>
      </w:r>
      <w:r w:rsidR="000F6B9C">
        <w:rPr>
          <w:rFonts w:eastAsiaTheme="majorEastAsia"/>
        </w:rPr>
        <w:t>ing</w:t>
      </w:r>
      <w:r w:rsidRPr="005204CE">
        <w:rPr>
          <w:rFonts w:eastAsiaTheme="majorEastAsia"/>
        </w:rPr>
        <w:t xml:space="preserve"> in 2022. </w:t>
      </w:r>
      <w:r w:rsidR="00113C56" w:rsidRPr="005204CE">
        <w:rPr>
          <w:rFonts w:eastAsiaTheme="majorEastAsia"/>
        </w:rPr>
        <w:t xml:space="preserve">Barcud Shared Services </w:t>
      </w:r>
      <w:r w:rsidRPr="005204CE">
        <w:rPr>
          <w:rFonts w:eastAsiaTheme="majorEastAsia"/>
        </w:rPr>
        <w:t xml:space="preserve">also has a subsidiary company - </w:t>
      </w:r>
      <w:proofErr w:type="spellStart"/>
      <w:r w:rsidRPr="005204CE">
        <w:rPr>
          <w:rFonts w:eastAsiaTheme="majorEastAsia"/>
        </w:rPr>
        <w:t>Astari</w:t>
      </w:r>
      <w:proofErr w:type="spellEnd"/>
      <w:r w:rsidRPr="005204CE">
        <w:rPr>
          <w:rFonts w:eastAsiaTheme="majorEastAsia"/>
        </w:rPr>
        <w:t xml:space="preserve"> Limited - which was established to provide services to non-Member organisation’s both in the sector and beyond, focusing on those with a social purpose.</w:t>
      </w:r>
      <w:r w:rsidR="00113C56">
        <w:rPr>
          <w:rFonts w:eastAsiaTheme="majorEastAsia"/>
        </w:rPr>
        <w:t xml:space="preserve"> </w:t>
      </w:r>
    </w:p>
    <w:p w14:paraId="48FD47AC" w14:textId="70DCD984" w:rsidR="005204CE" w:rsidRDefault="00EE6C7F" w:rsidP="0098428C">
      <w:pPr>
        <w:rPr>
          <w:rFonts w:eastAsiaTheme="majorEastAsia"/>
        </w:rPr>
      </w:pPr>
      <w:r w:rsidRPr="00EE6C7F">
        <w:rPr>
          <w:rFonts w:eastAsiaTheme="majorEastAsia"/>
        </w:rPr>
        <w:lastRenderedPageBreak/>
        <w:t>We strive to deliver a high quality, tailored, value-adding service to all our clients, drawing on the knowledge and experience of not only our own skilled staff, but also on the housing knowledge and experience within each of the organisations we work with.</w:t>
      </w:r>
    </w:p>
    <w:p w14:paraId="0970236D" w14:textId="56354BE7" w:rsidR="00AD256A" w:rsidRDefault="00AD256A" w:rsidP="0098428C">
      <w:pPr>
        <w:rPr>
          <w:rFonts w:eastAsiaTheme="majorEastAsia"/>
        </w:rPr>
      </w:pPr>
      <w:r w:rsidRPr="00AD256A">
        <w:rPr>
          <w:rFonts w:eastAsiaTheme="majorEastAsia"/>
        </w:rPr>
        <w:t>Barcud Shared Servies was established through an effective and unique service based on partnership working. Whilst working with multiple organisations within the sector we are sharing good practice to provide an efficient and robust value for money service. With our extensive experience it has provided us with specialised knowledge and understanding of the sector, the market and any current and emerging risks.</w:t>
      </w:r>
    </w:p>
    <w:p w14:paraId="0957099A" w14:textId="606240F4" w:rsidR="00DB6CAC" w:rsidRDefault="00DB6CAC" w:rsidP="0098428C">
      <w:pPr>
        <w:rPr>
          <w:rFonts w:eastAsiaTheme="majorEastAsia"/>
        </w:rPr>
      </w:pPr>
      <w:r w:rsidRPr="00DB6CAC">
        <w:rPr>
          <w:rFonts w:eastAsiaTheme="majorEastAsia"/>
        </w:rPr>
        <w:t>As a group we work with a range of social purpose organisations including:</w:t>
      </w:r>
    </w:p>
    <w:p w14:paraId="6D4F55CC" w14:textId="77777777" w:rsidR="00DB6CAC" w:rsidRDefault="00DB6CAC" w:rsidP="00DB6CAC">
      <w:pPr>
        <w:pStyle w:val="ListParagraph"/>
        <w:numPr>
          <w:ilvl w:val="0"/>
          <w:numId w:val="12"/>
        </w:numPr>
        <w:rPr>
          <w:rFonts w:eastAsiaTheme="majorEastAsia"/>
        </w:rPr>
        <w:sectPr w:rsidR="00DB6CAC" w:rsidSect="00D44EE8">
          <w:pgSz w:w="11906" w:h="16838"/>
          <w:pgMar w:top="2268" w:right="1440" w:bottom="1440" w:left="1440" w:header="709" w:footer="709" w:gutter="0"/>
          <w:pgNumType w:start="2"/>
          <w:cols w:space="708"/>
          <w:docGrid w:linePitch="360"/>
        </w:sectPr>
      </w:pPr>
    </w:p>
    <w:p w14:paraId="5627B411" w14:textId="77777777" w:rsidR="00DB6CAC" w:rsidRPr="00DB6CAC" w:rsidRDefault="00DB6CAC" w:rsidP="00DB6CAC">
      <w:pPr>
        <w:pStyle w:val="ListParagraph"/>
        <w:numPr>
          <w:ilvl w:val="0"/>
          <w:numId w:val="12"/>
        </w:numPr>
        <w:rPr>
          <w:rFonts w:eastAsiaTheme="majorEastAsia"/>
        </w:rPr>
      </w:pPr>
      <w:r w:rsidRPr="00DB6CAC">
        <w:rPr>
          <w:rFonts w:eastAsiaTheme="majorEastAsia"/>
        </w:rPr>
        <w:t>Aelwyd Housing</w:t>
      </w:r>
    </w:p>
    <w:p w14:paraId="4C33CA04" w14:textId="77777777" w:rsidR="00DB6CAC" w:rsidRPr="00DB6CAC" w:rsidRDefault="00DB6CAC" w:rsidP="00DB6CAC">
      <w:pPr>
        <w:pStyle w:val="ListParagraph"/>
        <w:numPr>
          <w:ilvl w:val="0"/>
          <w:numId w:val="12"/>
        </w:numPr>
        <w:rPr>
          <w:rFonts w:eastAsiaTheme="majorEastAsia"/>
        </w:rPr>
      </w:pPr>
      <w:r w:rsidRPr="00DB6CAC">
        <w:rPr>
          <w:rFonts w:eastAsiaTheme="majorEastAsia"/>
        </w:rPr>
        <w:t>Barcud Housing Group</w:t>
      </w:r>
    </w:p>
    <w:p w14:paraId="79D9CD1F" w14:textId="77777777" w:rsidR="00DB6CAC" w:rsidRPr="00DB6CAC" w:rsidRDefault="00DB6CAC" w:rsidP="00DB6CAC">
      <w:pPr>
        <w:pStyle w:val="ListParagraph"/>
        <w:numPr>
          <w:ilvl w:val="0"/>
          <w:numId w:val="12"/>
        </w:numPr>
        <w:rPr>
          <w:rFonts w:eastAsiaTheme="majorEastAsia"/>
        </w:rPr>
      </w:pPr>
      <w:r w:rsidRPr="00DB6CAC">
        <w:rPr>
          <w:rFonts w:eastAsiaTheme="majorEastAsia"/>
        </w:rPr>
        <w:t>Bron Afon Community Housing</w:t>
      </w:r>
    </w:p>
    <w:p w14:paraId="339F1E04" w14:textId="77777777" w:rsidR="00DB6CAC" w:rsidRPr="00DB6CAC" w:rsidRDefault="00DB6CAC" w:rsidP="00DB6CAC">
      <w:pPr>
        <w:pStyle w:val="ListParagraph"/>
        <w:numPr>
          <w:ilvl w:val="0"/>
          <w:numId w:val="12"/>
        </w:numPr>
        <w:rPr>
          <w:rFonts w:eastAsiaTheme="majorEastAsia"/>
        </w:rPr>
      </w:pPr>
      <w:r w:rsidRPr="00DB6CAC">
        <w:rPr>
          <w:rFonts w:eastAsiaTheme="majorEastAsia"/>
        </w:rPr>
        <w:t>Cadwyn Housing Association</w:t>
      </w:r>
    </w:p>
    <w:p w14:paraId="7A4F4DC0" w14:textId="77777777" w:rsidR="00DB6CAC" w:rsidRPr="00DB6CAC" w:rsidRDefault="00DB6CAC" w:rsidP="00DB6CAC">
      <w:pPr>
        <w:pStyle w:val="ListParagraph"/>
        <w:numPr>
          <w:ilvl w:val="0"/>
          <w:numId w:val="12"/>
        </w:numPr>
        <w:rPr>
          <w:rFonts w:eastAsiaTheme="majorEastAsia"/>
        </w:rPr>
      </w:pPr>
      <w:r w:rsidRPr="00DB6CAC">
        <w:rPr>
          <w:rFonts w:eastAsiaTheme="majorEastAsia"/>
        </w:rPr>
        <w:t>Caredig</w:t>
      </w:r>
    </w:p>
    <w:p w14:paraId="4F66B7D5" w14:textId="77777777" w:rsidR="00DB6CAC" w:rsidRPr="00DB6CAC" w:rsidRDefault="00DB6CAC" w:rsidP="00DB6CAC">
      <w:pPr>
        <w:pStyle w:val="ListParagraph"/>
        <w:numPr>
          <w:ilvl w:val="0"/>
          <w:numId w:val="12"/>
        </w:numPr>
        <w:rPr>
          <w:rFonts w:eastAsiaTheme="majorEastAsia"/>
        </w:rPr>
      </w:pPr>
      <w:r w:rsidRPr="00DB6CAC">
        <w:rPr>
          <w:rFonts w:eastAsiaTheme="majorEastAsia"/>
        </w:rPr>
        <w:t>Care &amp; Repair Powys</w:t>
      </w:r>
    </w:p>
    <w:p w14:paraId="32A75499" w14:textId="77777777" w:rsidR="00DB6CAC" w:rsidRPr="00DB6CAC" w:rsidRDefault="00DB6CAC" w:rsidP="00DB6CAC">
      <w:pPr>
        <w:pStyle w:val="ListParagraph"/>
        <w:numPr>
          <w:ilvl w:val="0"/>
          <w:numId w:val="12"/>
        </w:numPr>
        <w:rPr>
          <w:rFonts w:eastAsiaTheme="majorEastAsia"/>
        </w:rPr>
      </w:pPr>
      <w:r w:rsidRPr="00DB6CAC">
        <w:rPr>
          <w:rFonts w:eastAsiaTheme="majorEastAsia"/>
        </w:rPr>
        <w:t>Cwm Taf Care &amp; Repair</w:t>
      </w:r>
    </w:p>
    <w:p w14:paraId="586552D6" w14:textId="77777777" w:rsidR="00DB6CAC" w:rsidRPr="00DB6CAC" w:rsidRDefault="00DB6CAC" w:rsidP="00DB6CAC">
      <w:pPr>
        <w:pStyle w:val="ListParagraph"/>
        <w:numPr>
          <w:ilvl w:val="0"/>
          <w:numId w:val="12"/>
        </w:numPr>
        <w:rPr>
          <w:rFonts w:eastAsiaTheme="majorEastAsia"/>
        </w:rPr>
      </w:pPr>
      <w:r w:rsidRPr="00DB6CAC">
        <w:rPr>
          <w:rFonts w:eastAsiaTheme="majorEastAsia"/>
        </w:rPr>
        <w:t>Cynon Taf</w:t>
      </w:r>
    </w:p>
    <w:p w14:paraId="4227D31A" w14:textId="77777777" w:rsidR="00DB6CAC" w:rsidRPr="00DB6CAC" w:rsidRDefault="00DB6CAC" w:rsidP="00DB6CAC">
      <w:pPr>
        <w:pStyle w:val="ListParagraph"/>
        <w:numPr>
          <w:ilvl w:val="0"/>
          <w:numId w:val="12"/>
        </w:numPr>
        <w:rPr>
          <w:rFonts w:eastAsiaTheme="majorEastAsia"/>
        </w:rPr>
      </w:pPr>
      <w:r w:rsidRPr="00DB6CAC">
        <w:rPr>
          <w:rFonts w:eastAsiaTheme="majorEastAsia"/>
        </w:rPr>
        <w:t>First Choice Housing Association</w:t>
      </w:r>
    </w:p>
    <w:p w14:paraId="122059C0" w14:textId="0CDA73DA" w:rsidR="00DB6CAC" w:rsidRPr="00DB6CAC" w:rsidRDefault="00DB6CAC" w:rsidP="00DB6CAC">
      <w:pPr>
        <w:pStyle w:val="ListParagraph"/>
        <w:numPr>
          <w:ilvl w:val="0"/>
          <w:numId w:val="12"/>
        </w:numPr>
        <w:rPr>
          <w:rFonts w:eastAsiaTheme="majorEastAsia"/>
        </w:rPr>
      </w:pPr>
      <w:r w:rsidRPr="00DB6CAC">
        <w:rPr>
          <w:rFonts w:eastAsiaTheme="majorEastAsia"/>
        </w:rPr>
        <w:t>Local Partnerships</w:t>
      </w:r>
    </w:p>
    <w:p w14:paraId="2B5E91FF" w14:textId="77777777" w:rsidR="00DB6CAC" w:rsidRPr="00DB6CAC" w:rsidRDefault="00DB6CAC" w:rsidP="00DB6CAC">
      <w:pPr>
        <w:pStyle w:val="ListParagraph"/>
        <w:numPr>
          <w:ilvl w:val="0"/>
          <w:numId w:val="12"/>
        </w:numPr>
        <w:rPr>
          <w:rFonts w:eastAsiaTheme="majorEastAsia"/>
        </w:rPr>
      </w:pPr>
      <w:r w:rsidRPr="00DB6CAC">
        <w:rPr>
          <w:rFonts w:eastAsiaTheme="majorEastAsia"/>
        </w:rPr>
        <w:t>Merthyr Valleys Homes</w:t>
      </w:r>
    </w:p>
    <w:p w14:paraId="6613BA07" w14:textId="77777777" w:rsidR="00DB6CAC" w:rsidRPr="00DB6CAC" w:rsidRDefault="00DB6CAC" w:rsidP="00DB6CAC">
      <w:pPr>
        <w:pStyle w:val="ListParagraph"/>
        <w:numPr>
          <w:ilvl w:val="0"/>
          <w:numId w:val="12"/>
        </w:numPr>
        <w:rPr>
          <w:rFonts w:eastAsiaTheme="majorEastAsia"/>
        </w:rPr>
      </w:pPr>
      <w:r w:rsidRPr="00DB6CAC">
        <w:rPr>
          <w:rFonts w:eastAsiaTheme="majorEastAsia"/>
        </w:rPr>
        <w:t>Newydd Group</w:t>
      </w:r>
    </w:p>
    <w:p w14:paraId="1DD488F2" w14:textId="77777777" w:rsidR="00DB6CAC" w:rsidRPr="00DB6CAC" w:rsidRDefault="00DB6CAC" w:rsidP="00DB6CAC">
      <w:pPr>
        <w:pStyle w:val="ListParagraph"/>
        <w:numPr>
          <w:ilvl w:val="0"/>
          <w:numId w:val="12"/>
        </w:numPr>
        <w:rPr>
          <w:rFonts w:eastAsiaTheme="majorEastAsia"/>
        </w:rPr>
      </w:pPr>
      <w:r w:rsidRPr="00DB6CAC">
        <w:rPr>
          <w:rFonts w:eastAsiaTheme="majorEastAsia"/>
        </w:rPr>
        <w:t>Pembrokeshire Coast National Park Authority</w:t>
      </w:r>
    </w:p>
    <w:p w14:paraId="7D965CB0" w14:textId="77777777" w:rsidR="00DB6CAC" w:rsidRPr="00DB6CAC" w:rsidRDefault="00DB6CAC" w:rsidP="00DB6CAC">
      <w:pPr>
        <w:pStyle w:val="ListParagraph"/>
        <w:numPr>
          <w:ilvl w:val="0"/>
          <w:numId w:val="12"/>
        </w:numPr>
        <w:rPr>
          <w:rFonts w:eastAsiaTheme="majorEastAsia"/>
        </w:rPr>
      </w:pPr>
      <w:r w:rsidRPr="00DB6CAC">
        <w:rPr>
          <w:rFonts w:eastAsiaTheme="majorEastAsia"/>
        </w:rPr>
        <w:t>SHAL</w:t>
      </w:r>
    </w:p>
    <w:p w14:paraId="0C6ED5A9" w14:textId="77777777" w:rsidR="00DB6CAC" w:rsidRPr="00DB6CAC" w:rsidRDefault="00DB6CAC" w:rsidP="00DB6CAC">
      <w:pPr>
        <w:pStyle w:val="ListParagraph"/>
        <w:numPr>
          <w:ilvl w:val="0"/>
          <w:numId w:val="12"/>
        </w:numPr>
        <w:rPr>
          <w:rFonts w:eastAsiaTheme="majorEastAsia"/>
        </w:rPr>
      </w:pPr>
      <w:r w:rsidRPr="00DB6CAC">
        <w:rPr>
          <w:rFonts w:eastAsiaTheme="majorEastAsia"/>
        </w:rPr>
        <w:t>Smart Money Cymru</w:t>
      </w:r>
    </w:p>
    <w:p w14:paraId="1307627A" w14:textId="77777777" w:rsidR="00DB6CAC" w:rsidRPr="00DB6CAC" w:rsidRDefault="00DB6CAC" w:rsidP="00DB6CAC">
      <w:pPr>
        <w:pStyle w:val="ListParagraph"/>
        <w:numPr>
          <w:ilvl w:val="0"/>
          <w:numId w:val="12"/>
        </w:numPr>
        <w:rPr>
          <w:rFonts w:eastAsiaTheme="majorEastAsia"/>
        </w:rPr>
      </w:pPr>
      <w:r w:rsidRPr="00DB6CAC">
        <w:rPr>
          <w:rFonts w:eastAsiaTheme="majorEastAsia"/>
        </w:rPr>
        <w:t>Tai Tarian</w:t>
      </w:r>
    </w:p>
    <w:p w14:paraId="1D59B0FF" w14:textId="77777777" w:rsidR="00DB6CAC" w:rsidRPr="00DB6CAC" w:rsidRDefault="00DB6CAC" w:rsidP="00DB6CAC">
      <w:pPr>
        <w:pStyle w:val="ListParagraph"/>
        <w:numPr>
          <w:ilvl w:val="0"/>
          <w:numId w:val="12"/>
        </w:numPr>
        <w:rPr>
          <w:rFonts w:eastAsiaTheme="majorEastAsia"/>
        </w:rPr>
      </w:pPr>
      <w:r w:rsidRPr="00DB6CAC">
        <w:rPr>
          <w:rFonts w:eastAsiaTheme="majorEastAsia"/>
        </w:rPr>
        <w:t>The Care Society</w:t>
      </w:r>
    </w:p>
    <w:p w14:paraId="14E7F5D7" w14:textId="77777777" w:rsidR="00DB6CAC" w:rsidRPr="00DB6CAC" w:rsidRDefault="00DB6CAC" w:rsidP="00DB6CAC">
      <w:pPr>
        <w:pStyle w:val="ListParagraph"/>
        <w:numPr>
          <w:ilvl w:val="0"/>
          <w:numId w:val="12"/>
        </w:numPr>
        <w:rPr>
          <w:rFonts w:eastAsiaTheme="majorEastAsia"/>
        </w:rPr>
      </w:pPr>
      <w:r w:rsidRPr="00DB6CAC">
        <w:rPr>
          <w:rFonts w:eastAsiaTheme="majorEastAsia"/>
        </w:rPr>
        <w:t>United Welsh</w:t>
      </w:r>
    </w:p>
    <w:p w14:paraId="70F52643" w14:textId="21CEEC5C" w:rsidR="00DB6CAC" w:rsidRPr="00DB6CAC" w:rsidRDefault="00DB6CAC" w:rsidP="00DB6CAC">
      <w:pPr>
        <w:pStyle w:val="ListParagraph"/>
        <w:numPr>
          <w:ilvl w:val="0"/>
          <w:numId w:val="12"/>
        </w:numPr>
        <w:rPr>
          <w:rFonts w:eastAsiaTheme="majorEastAsia"/>
        </w:rPr>
      </w:pPr>
      <w:r w:rsidRPr="00DB6CAC">
        <w:rPr>
          <w:rFonts w:eastAsiaTheme="majorEastAsia"/>
        </w:rPr>
        <w:t>Valleys to Coast</w:t>
      </w:r>
    </w:p>
    <w:p w14:paraId="179B6CF2" w14:textId="77777777" w:rsidR="00DB6CAC" w:rsidRDefault="00DB6CAC" w:rsidP="0098428C">
      <w:pPr>
        <w:rPr>
          <w:rFonts w:eastAsiaTheme="majorEastAsia"/>
        </w:rPr>
        <w:sectPr w:rsidR="00DB6CAC" w:rsidSect="00DB6CAC">
          <w:type w:val="continuous"/>
          <w:pgSz w:w="11906" w:h="16838"/>
          <w:pgMar w:top="2268" w:right="1440" w:bottom="1440" w:left="1440" w:header="709" w:footer="709" w:gutter="0"/>
          <w:pgNumType w:start="2"/>
          <w:cols w:num="2" w:space="708"/>
          <w:docGrid w:linePitch="360"/>
        </w:sectPr>
      </w:pPr>
    </w:p>
    <w:p w14:paraId="3B95958B" w14:textId="7A31FE56" w:rsidR="00902030" w:rsidRPr="00902030" w:rsidRDefault="00902030" w:rsidP="00902030">
      <w:pPr>
        <w:rPr>
          <w:rFonts w:eastAsiaTheme="majorEastAsia"/>
        </w:rPr>
      </w:pPr>
      <w:r w:rsidRPr="005204CE">
        <w:rPr>
          <w:rFonts w:eastAsiaTheme="majorEastAsia"/>
        </w:rPr>
        <w:t xml:space="preserve">Barcud Shared Services </w:t>
      </w:r>
      <w:r w:rsidRPr="00902030">
        <w:rPr>
          <w:rFonts w:eastAsiaTheme="majorEastAsia"/>
        </w:rPr>
        <w:t>has two simple objectives:</w:t>
      </w:r>
    </w:p>
    <w:p w14:paraId="7496C8AA" w14:textId="77777777" w:rsidR="00902030" w:rsidRPr="00902030" w:rsidRDefault="00902030" w:rsidP="00902030">
      <w:pPr>
        <w:pStyle w:val="ListParagraph"/>
        <w:numPr>
          <w:ilvl w:val="0"/>
          <w:numId w:val="13"/>
        </w:numPr>
        <w:rPr>
          <w:rFonts w:eastAsiaTheme="majorEastAsia"/>
        </w:rPr>
      </w:pPr>
      <w:r w:rsidRPr="00902030">
        <w:rPr>
          <w:rFonts w:eastAsiaTheme="majorEastAsia"/>
        </w:rPr>
        <w:t>To ensure our clients get best value for money through the creation and delivery of a range of high-quality shared services that decrease cost and increase value; and</w:t>
      </w:r>
    </w:p>
    <w:p w14:paraId="25D2D99D" w14:textId="1070D0C8" w:rsidR="00902030" w:rsidRDefault="00902030" w:rsidP="00902030">
      <w:pPr>
        <w:pStyle w:val="ListParagraph"/>
        <w:numPr>
          <w:ilvl w:val="0"/>
          <w:numId w:val="13"/>
        </w:numPr>
        <w:rPr>
          <w:rFonts w:eastAsiaTheme="majorEastAsia"/>
        </w:rPr>
      </w:pPr>
      <w:r w:rsidRPr="00902030">
        <w:rPr>
          <w:rFonts w:eastAsiaTheme="majorEastAsia"/>
        </w:rPr>
        <w:t>Investment in our colleagues, structures and systems to ensure that delivery of those services is of the highest quality.</w:t>
      </w:r>
    </w:p>
    <w:p w14:paraId="324EE0BE" w14:textId="77777777" w:rsidR="00902030" w:rsidRPr="00902030" w:rsidRDefault="00902030" w:rsidP="00902030">
      <w:pPr>
        <w:pStyle w:val="ListParagraph"/>
        <w:rPr>
          <w:rFonts w:eastAsiaTheme="majorEastAsia"/>
        </w:rPr>
      </w:pPr>
    </w:p>
    <w:p w14:paraId="1527ED8B" w14:textId="517DE229" w:rsidR="0091620F" w:rsidRPr="00D951C3" w:rsidRDefault="00BE70F9" w:rsidP="00612CBF">
      <w:pPr>
        <w:pStyle w:val="Heading2"/>
        <w:numPr>
          <w:ilvl w:val="1"/>
          <w:numId w:val="1"/>
        </w:numPr>
        <w:spacing w:line="360" w:lineRule="auto"/>
        <w:rPr>
          <w:color w:val="1F4E79" w:themeColor="accent5" w:themeShade="80"/>
        </w:rPr>
      </w:pPr>
      <w:bookmarkStart w:id="6" w:name="_Toc1534903774"/>
      <w:r w:rsidRPr="00D951C3">
        <w:rPr>
          <w:color w:val="1F4E79" w:themeColor="accent5" w:themeShade="80"/>
        </w:rPr>
        <w:t xml:space="preserve">Introduction </w:t>
      </w:r>
      <w:r w:rsidR="00581B46" w:rsidRPr="00D951C3">
        <w:rPr>
          <w:color w:val="1F4E79" w:themeColor="accent5" w:themeShade="80"/>
        </w:rPr>
        <w:t>to</w:t>
      </w:r>
      <w:r w:rsidRPr="00D951C3">
        <w:rPr>
          <w:color w:val="1F4E79" w:themeColor="accent5" w:themeShade="80"/>
        </w:rPr>
        <w:t xml:space="preserve"> Merthyr Valley Homes</w:t>
      </w:r>
      <w:bookmarkEnd w:id="6"/>
    </w:p>
    <w:p w14:paraId="47EE58D8" w14:textId="77777777" w:rsidR="00015E8E" w:rsidRPr="00D951C3" w:rsidRDefault="00015E8E" w:rsidP="00015E8E">
      <w:pPr>
        <w:rPr>
          <w:rFonts w:eastAsiaTheme="majorEastAsia"/>
        </w:rPr>
      </w:pPr>
      <w:r w:rsidRPr="00D951C3">
        <w:rPr>
          <w:rFonts w:eastAsiaTheme="majorEastAsia"/>
        </w:rPr>
        <w:t xml:space="preserve">Merthyr Valleys Homes was established in 2009 </w:t>
      </w:r>
      <w:proofErr w:type="gramStart"/>
      <w:r w:rsidRPr="00D951C3">
        <w:rPr>
          <w:rFonts w:eastAsiaTheme="majorEastAsia"/>
        </w:rPr>
        <w:t>as a result of</w:t>
      </w:r>
      <w:proofErr w:type="gramEnd"/>
      <w:r w:rsidRPr="00D951C3">
        <w:rPr>
          <w:rFonts w:eastAsiaTheme="majorEastAsia"/>
        </w:rPr>
        <w:t xml:space="preserve"> tenants voting to transfer their homes to a new not-for-profit organisation.  We own and manage over 4,200 homes across the borough.</w:t>
      </w:r>
    </w:p>
    <w:p w14:paraId="1DD3406B" w14:textId="77777777" w:rsidR="00015E8E" w:rsidRPr="00D951C3" w:rsidRDefault="00015E8E" w:rsidP="00015E8E">
      <w:pPr>
        <w:rPr>
          <w:rFonts w:eastAsiaTheme="majorEastAsia"/>
        </w:rPr>
      </w:pPr>
      <w:r w:rsidRPr="00D951C3">
        <w:rPr>
          <w:rFonts w:eastAsiaTheme="majorEastAsia"/>
        </w:rPr>
        <w:t xml:space="preserve">Our first five years were dedicated to achieving the promises that were made to tenants upon </w:t>
      </w:r>
      <w:proofErr w:type="gramStart"/>
      <w:r w:rsidRPr="00D951C3">
        <w:rPr>
          <w:rFonts w:eastAsiaTheme="majorEastAsia"/>
        </w:rPr>
        <w:t>transfer, and</w:t>
      </w:r>
      <w:proofErr w:type="gramEnd"/>
      <w:r w:rsidRPr="00D951C3">
        <w:rPr>
          <w:rFonts w:eastAsiaTheme="majorEastAsia"/>
        </w:rPr>
        <w:t xml:space="preserve"> also achieving our Welsh Housing Quality Standard (WHQS) targets.  In 2014, we started to look at the future of our organisation, and how we wanted the organisation to develop in the coming years.</w:t>
      </w:r>
    </w:p>
    <w:p w14:paraId="4C5B1C91" w14:textId="77777777" w:rsidR="00015E8E" w:rsidRPr="00116257" w:rsidRDefault="00015E8E" w:rsidP="00015E8E">
      <w:pPr>
        <w:rPr>
          <w:rFonts w:eastAsiaTheme="majorEastAsia"/>
        </w:rPr>
      </w:pPr>
      <w:r w:rsidRPr="00D951C3">
        <w:rPr>
          <w:rFonts w:eastAsiaTheme="majorEastAsia"/>
        </w:rPr>
        <w:t>Merthyr Tydfil is a town with a history of heavy industry and collective struggle, where working communities took pride in where they lived.  We have always listened to and involved our tenants and employees, but our Board wanted to take this a step further and opted to develop a new governance model where we could empower our tenants and our employees by allowing them to become Members. In turn, this would give them a real say, and they could play an important role in decision making and setting the direction for MVH.</w:t>
      </w:r>
    </w:p>
    <w:p w14:paraId="5E63BC64" w14:textId="28F55C6A" w:rsidR="00015E8E" w:rsidRPr="00116257" w:rsidRDefault="00015E8E" w:rsidP="00015E8E">
      <w:pPr>
        <w:rPr>
          <w:rFonts w:eastAsiaTheme="majorEastAsia"/>
        </w:rPr>
      </w:pPr>
      <w:r w:rsidRPr="00116257">
        <w:rPr>
          <w:rFonts w:eastAsiaTheme="majorEastAsia"/>
        </w:rPr>
        <w:lastRenderedPageBreak/>
        <w:t xml:space="preserve">As a result, on 1st May 2016 we transformed into a mutual housing association, and are the first in Wales to allow both our tenants and our employees the opportunity to become a Member of a Democratic </w:t>
      </w:r>
      <w:r w:rsidR="0028699F" w:rsidRPr="00116257">
        <w:rPr>
          <w:rFonts w:eastAsiaTheme="majorEastAsia"/>
        </w:rPr>
        <w:t>Body and</w:t>
      </w:r>
      <w:r w:rsidRPr="00116257">
        <w:rPr>
          <w:rFonts w:eastAsiaTheme="majorEastAsia"/>
        </w:rPr>
        <w:t xml:space="preserve"> own a share in the organisation.</w:t>
      </w:r>
    </w:p>
    <w:p w14:paraId="12798276" w14:textId="333F40BD" w:rsidR="00015E8E" w:rsidRPr="00015E8E" w:rsidRDefault="00015E8E" w:rsidP="00015E8E">
      <w:pPr>
        <w:rPr>
          <w:rFonts w:eastAsiaTheme="majorEastAsia"/>
        </w:rPr>
      </w:pPr>
      <w:r w:rsidRPr="00116257">
        <w:rPr>
          <w:rFonts w:eastAsiaTheme="majorEastAsia"/>
        </w:rPr>
        <w:t>Merthyr Valleys Homes is a registered Society under the Co-operative and Community Benefit Societies Act 2014.  Our purpose is to carry on business for the benefit of the community.  We are a charity, and within our Rules we have charitable aims.  We are not a registered charity with the Charity Commission, but we have charitable status for tax purposes.  The Welsh Government regulates housing associations in Wales, and we are a Registered Social Landlord.</w:t>
      </w:r>
    </w:p>
    <w:p w14:paraId="65D8BAC4" w14:textId="77777777" w:rsidR="00D44EE8" w:rsidRPr="00015E8E" w:rsidRDefault="00D44EE8" w:rsidP="001D5E7D">
      <w:pPr>
        <w:rPr>
          <w:rFonts w:eastAsiaTheme="majorEastAsia"/>
        </w:rPr>
      </w:pPr>
    </w:p>
    <w:p w14:paraId="1DE94505" w14:textId="77777777" w:rsidR="00A3408D" w:rsidRDefault="00A3408D" w:rsidP="001D5E7D">
      <w:pPr>
        <w:pStyle w:val="ListParagraph"/>
        <w:numPr>
          <w:ilvl w:val="0"/>
          <w:numId w:val="1"/>
        </w:numPr>
        <w:spacing w:line="360" w:lineRule="auto"/>
        <w:rPr>
          <w:rFonts w:asciiTheme="majorHAnsi" w:eastAsiaTheme="majorEastAsia" w:hAnsiTheme="majorHAnsi" w:cstheme="majorBidi"/>
          <w:color w:val="2F5496" w:themeColor="accent1" w:themeShade="BF"/>
          <w:sz w:val="32"/>
          <w:szCs w:val="32"/>
        </w:rPr>
        <w:sectPr w:rsidR="00A3408D" w:rsidSect="00DB6CAC">
          <w:type w:val="continuous"/>
          <w:pgSz w:w="11906" w:h="16838"/>
          <w:pgMar w:top="2268" w:right="1440" w:bottom="1440" w:left="1440" w:header="709" w:footer="709" w:gutter="0"/>
          <w:pgNumType w:start="2"/>
          <w:cols w:space="708"/>
          <w:docGrid w:linePitch="360"/>
        </w:sectPr>
      </w:pPr>
    </w:p>
    <w:p w14:paraId="4F707DE0" w14:textId="5E10884D" w:rsidR="001D5E7D" w:rsidRPr="00612CBF" w:rsidRDefault="001D5E7D" w:rsidP="00612CBF">
      <w:pPr>
        <w:pStyle w:val="Heading1"/>
        <w:numPr>
          <w:ilvl w:val="0"/>
          <w:numId w:val="1"/>
        </w:numPr>
        <w:spacing w:line="360" w:lineRule="auto"/>
        <w:rPr>
          <w:color w:val="1F4E79" w:themeColor="accent5" w:themeShade="80"/>
          <w:sz w:val="32"/>
          <w:szCs w:val="32"/>
        </w:rPr>
      </w:pPr>
      <w:bookmarkStart w:id="7" w:name="_Toc132133620"/>
      <w:r w:rsidRPr="7E950373">
        <w:rPr>
          <w:color w:val="1F4E79" w:themeColor="accent5" w:themeShade="80"/>
          <w:sz w:val="32"/>
          <w:szCs w:val="32"/>
        </w:rPr>
        <w:lastRenderedPageBreak/>
        <w:t>Tender Guidance</w:t>
      </w:r>
      <w:bookmarkEnd w:id="7"/>
      <w:r w:rsidRPr="7E950373">
        <w:rPr>
          <w:color w:val="1F4E79" w:themeColor="accent5" w:themeShade="80"/>
          <w:sz w:val="32"/>
          <w:szCs w:val="32"/>
        </w:rPr>
        <w:t xml:space="preserve"> </w:t>
      </w:r>
    </w:p>
    <w:p w14:paraId="015D1C52" w14:textId="4D5914C9" w:rsidR="001D5E7D" w:rsidRPr="00612CBF" w:rsidRDefault="00D44EE8" w:rsidP="00612CBF">
      <w:pPr>
        <w:pStyle w:val="Heading2"/>
        <w:numPr>
          <w:ilvl w:val="1"/>
          <w:numId w:val="1"/>
        </w:numPr>
        <w:spacing w:line="360" w:lineRule="auto"/>
        <w:rPr>
          <w:color w:val="1F4E79" w:themeColor="accent5" w:themeShade="80"/>
        </w:rPr>
      </w:pPr>
      <w:bookmarkStart w:id="8" w:name="_Toc728877339"/>
      <w:r w:rsidRPr="7E950373">
        <w:rPr>
          <w:color w:val="1F4E79" w:themeColor="accent5" w:themeShade="80"/>
        </w:rPr>
        <w:t>Instructions to Tenderers</w:t>
      </w:r>
      <w:bookmarkEnd w:id="8"/>
    </w:p>
    <w:p w14:paraId="6A889A3F" w14:textId="6758842D" w:rsidR="00A3408D" w:rsidRPr="00A3408D" w:rsidRDefault="00A3408D" w:rsidP="00A3408D">
      <w:pPr>
        <w:rPr>
          <w:rFonts w:eastAsiaTheme="majorEastAsia"/>
        </w:rPr>
      </w:pPr>
      <w:r w:rsidRPr="00A3408D">
        <w:rPr>
          <w:rFonts w:eastAsiaTheme="majorEastAsia"/>
        </w:rPr>
        <w:t xml:space="preserve">These instructions are designed to ensure that all </w:t>
      </w:r>
      <w:r w:rsidR="00EA3753" w:rsidRPr="00A3408D">
        <w:rPr>
          <w:rFonts w:eastAsiaTheme="majorEastAsia"/>
        </w:rPr>
        <w:t>Tenderer</w:t>
      </w:r>
      <w:r w:rsidR="00265483">
        <w:rPr>
          <w:rFonts w:eastAsiaTheme="majorEastAsia"/>
        </w:rPr>
        <w:t>s</w:t>
      </w:r>
      <w:r w:rsidR="00EA3753" w:rsidRPr="00A3408D">
        <w:rPr>
          <w:rFonts w:eastAsiaTheme="majorEastAsia"/>
        </w:rPr>
        <w:t xml:space="preserve"> </w:t>
      </w:r>
      <w:r w:rsidRPr="00A3408D">
        <w:rPr>
          <w:rFonts w:eastAsiaTheme="majorEastAsia"/>
        </w:rPr>
        <w:t>are given</w:t>
      </w:r>
      <w:r>
        <w:rPr>
          <w:rFonts w:eastAsiaTheme="majorEastAsia"/>
        </w:rPr>
        <w:t xml:space="preserve"> </w:t>
      </w:r>
      <w:r w:rsidRPr="00A3408D">
        <w:rPr>
          <w:rFonts w:eastAsiaTheme="majorEastAsia"/>
        </w:rPr>
        <w:t>equal and fair consideration. It is therefore important that you provide all the information asked for in the format specified.</w:t>
      </w:r>
    </w:p>
    <w:p w14:paraId="159260B2" w14:textId="77777777" w:rsidR="00A3408D" w:rsidRPr="00A3408D" w:rsidRDefault="00A3408D" w:rsidP="00A3408D">
      <w:pPr>
        <w:rPr>
          <w:rFonts w:eastAsiaTheme="majorEastAsia"/>
        </w:rPr>
      </w:pPr>
      <w:r w:rsidRPr="00A3408D">
        <w:rPr>
          <w:rFonts w:eastAsiaTheme="majorEastAsia"/>
        </w:rPr>
        <w:t xml:space="preserve">Tenderers should read these instructions carefully before completing the Tender documentation.  Failure to comply with these requirements for completion and submission of the Tender response may result in the rejection of the Tender.  </w:t>
      </w:r>
    </w:p>
    <w:p w14:paraId="1772D231" w14:textId="638CFB11" w:rsidR="00A3408D" w:rsidRDefault="00EA3753" w:rsidP="00A3408D">
      <w:r w:rsidRPr="00A3408D">
        <w:rPr>
          <w:rFonts w:eastAsiaTheme="majorEastAsia"/>
        </w:rPr>
        <w:t>Tenderer</w:t>
      </w:r>
      <w:r w:rsidR="000517EC">
        <w:rPr>
          <w:rFonts w:eastAsiaTheme="majorEastAsia"/>
        </w:rPr>
        <w:t>s</w:t>
      </w:r>
      <w:r w:rsidRPr="00A3408D">
        <w:rPr>
          <w:rFonts w:eastAsiaTheme="majorEastAsia"/>
        </w:rPr>
        <w:t xml:space="preserve"> </w:t>
      </w:r>
      <w:r w:rsidR="00A3408D" w:rsidRPr="00A3408D">
        <w:rPr>
          <w:rFonts w:eastAsiaTheme="majorEastAsia"/>
        </w:rPr>
        <w:t>are required to acquaint themselves fully with the extent and nature of the goods and services and contractual obligations. These instructions constitute the Conditions of Tender.</w:t>
      </w:r>
      <w:r w:rsidR="00A3408D" w:rsidRPr="00A3408D">
        <w:t xml:space="preserve"> </w:t>
      </w:r>
    </w:p>
    <w:p w14:paraId="64FA89AA" w14:textId="38E6959C" w:rsidR="00A3408D" w:rsidRDefault="00A3408D" w:rsidP="00A3408D">
      <w:pPr>
        <w:rPr>
          <w:rFonts w:eastAsiaTheme="majorEastAsia"/>
        </w:rPr>
      </w:pPr>
      <w:r w:rsidRPr="00A3408D">
        <w:rPr>
          <w:rFonts w:eastAsiaTheme="majorEastAsia"/>
        </w:rPr>
        <w:t>Participation in the tender process automatically signals that the Tenderer accepts these conditions of Tender.</w:t>
      </w:r>
    </w:p>
    <w:p w14:paraId="3AE99687" w14:textId="77777777" w:rsidR="00A3408D" w:rsidRDefault="00A3408D" w:rsidP="00A3408D">
      <w:pPr>
        <w:rPr>
          <w:rFonts w:eastAsiaTheme="majorEastAsia"/>
        </w:rPr>
      </w:pPr>
      <w:r>
        <w:rPr>
          <w:rFonts w:eastAsiaTheme="majorEastAsia"/>
        </w:rPr>
        <w:t xml:space="preserve">Barcud Shared Services </w:t>
      </w:r>
      <w:r w:rsidRPr="00A3408D">
        <w:rPr>
          <w:rFonts w:eastAsiaTheme="majorEastAsia"/>
        </w:rPr>
        <w:t xml:space="preserve">does not guarantee any volume of demand/spend </w:t>
      </w:r>
      <w:proofErr w:type="gramStart"/>
      <w:r w:rsidRPr="00A3408D">
        <w:rPr>
          <w:rFonts w:eastAsiaTheme="majorEastAsia"/>
        </w:rPr>
        <w:t>as a result of</w:t>
      </w:r>
      <w:proofErr w:type="gramEnd"/>
      <w:r w:rsidRPr="00A3408D">
        <w:rPr>
          <w:rFonts w:eastAsiaTheme="majorEastAsia"/>
        </w:rPr>
        <w:t xml:space="preserve"> any contract awarded; any volume detailed in the ITT document is for indication only.</w:t>
      </w:r>
    </w:p>
    <w:p w14:paraId="1E4C562B" w14:textId="45B7A0BA" w:rsidR="00A3408D" w:rsidRPr="00AA6D98" w:rsidRDefault="00A3408D" w:rsidP="00A3408D">
      <w:pPr>
        <w:rPr>
          <w:rFonts w:eastAsiaTheme="majorEastAsia"/>
        </w:rPr>
      </w:pPr>
      <w:r w:rsidRPr="00AA6D98">
        <w:rPr>
          <w:rFonts w:eastAsiaTheme="majorEastAsia"/>
        </w:rPr>
        <w:t xml:space="preserve">Tenderers must complete </w:t>
      </w:r>
      <w:r w:rsidR="00AA6D98" w:rsidRPr="00AA6D98">
        <w:rPr>
          <w:rFonts w:eastAsiaTheme="majorEastAsia"/>
        </w:rPr>
        <w:t xml:space="preserve">the associated Price Schedule </w:t>
      </w:r>
      <w:r w:rsidRPr="00AA6D98">
        <w:rPr>
          <w:rFonts w:eastAsiaTheme="majorEastAsia"/>
        </w:rPr>
        <w:t xml:space="preserve">in relation to the Price evaluation. The ‘total tender sum’ stated in the </w:t>
      </w:r>
      <w:r w:rsidR="00974800" w:rsidRPr="00974800">
        <w:rPr>
          <w:rFonts w:eastAsiaTheme="majorEastAsia"/>
        </w:rPr>
        <w:t>Tender Declaration</w:t>
      </w:r>
      <w:r w:rsidR="00974800">
        <w:rPr>
          <w:rFonts w:eastAsiaTheme="majorEastAsia"/>
        </w:rPr>
        <w:t xml:space="preserve"> </w:t>
      </w:r>
      <w:r w:rsidRPr="00AA6D98">
        <w:rPr>
          <w:rFonts w:eastAsiaTheme="majorEastAsia"/>
        </w:rPr>
        <w:t xml:space="preserve">will be used to evaluate the ‘Price’ element. Further information can be found </w:t>
      </w:r>
      <w:r w:rsidR="00AA6D98">
        <w:rPr>
          <w:rFonts w:eastAsiaTheme="majorEastAsia"/>
        </w:rPr>
        <w:t xml:space="preserve">in </w:t>
      </w:r>
      <w:r w:rsidR="007A35A7">
        <w:rPr>
          <w:rFonts w:eastAsiaTheme="majorEastAsia"/>
        </w:rPr>
        <w:fldChar w:fldCharType="begin"/>
      </w:r>
      <w:r w:rsidR="007A35A7">
        <w:rPr>
          <w:rFonts w:eastAsiaTheme="majorEastAsia"/>
        </w:rPr>
        <w:instrText xml:space="preserve"> REF _Ref147841126 \r \h  \* MERGEFORMAT </w:instrText>
      </w:r>
      <w:r w:rsidR="007A35A7">
        <w:rPr>
          <w:rFonts w:eastAsiaTheme="majorEastAsia"/>
        </w:rPr>
      </w:r>
      <w:r w:rsidR="007A35A7">
        <w:rPr>
          <w:rFonts w:eastAsiaTheme="majorEastAsia"/>
        </w:rPr>
        <w:fldChar w:fldCharType="separate"/>
      </w:r>
      <w:r w:rsidR="007A35A7">
        <w:rPr>
          <w:rFonts w:eastAsiaTheme="majorEastAsia"/>
        </w:rPr>
        <w:t>3</w:t>
      </w:r>
      <w:r w:rsidR="007A35A7">
        <w:rPr>
          <w:rFonts w:eastAsiaTheme="majorEastAsia"/>
        </w:rPr>
        <w:fldChar w:fldCharType="end"/>
      </w:r>
      <w:r w:rsidR="007A35A7">
        <w:rPr>
          <w:rFonts w:eastAsiaTheme="majorEastAsia"/>
        </w:rPr>
        <w:t xml:space="preserve">. </w:t>
      </w:r>
      <w:r w:rsidR="007A35A7">
        <w:rPr>
          <w:rFonts w:eastAsiaTheme="majorEastAsia"/>
        </w:rPr>
        <w:fldChar w:fldCharType="begin"/>
      </w:r>
      <w:r w:rsidR="007A35A7">
        <w:rPr>
          <w:rFonts w:eastAsiaTheme="majorEastAsia"/>
        </w:rPr>
        <w:instrText xml:space="preserve"> REF  _Ref147841130 \f \h  \* MERGEFORMAT </w:instrText>
      </w:r>
      <w:r w:rsidR="007A35A7">
        <w:rPr>
          <w:rFonts w:eastAsiaTheme="majorEastAsia"/>
        </w:rPr>
      </w:r>
      <w:r w:rsidR="007A35A7">
        <w:rPr>
          <w:rFonts w:eastAsiaTheme="majorEastAsia"/>
        </w:rPr>
        <w:fldChar w:fldCharType="separate"/>
      </w:r>
      <w:r w:rsidR="007A35A7" w:rsidRPr="007A35A7">
        <w:rPr>
          <w:rFonts w:eastAsiaTheme="majorEastAsia"/>
        </w:rPr>
        <w:t>Evaluation and Selection</w:t>
      </w:r>
      <w:r w:rsidR="007A35A7">
        <w:rPr>
          <w:rFonts w:eastAsiaTheme="majorEastAsia"/>
        </w:rPr>
        <w:fldChar w:fldCharType="end"/>
      </w:r>
      <w:r w:rsidR="00AA6D98">
        <w:rPr>
          <w:rFonts w:eastAsiaTheme="majorEastAsia"/>
        </w:rPr>
        <w:t>.</w:t>
      </w:r>
    </w:p>
    <w:p w14:paraId="19C232CE" w14:textId="34BF9E38" w:rsidR="00A3408D" w:rsidRPr="00A3408D" w:rsidRDefault="00A3408D" w:rsidP="00A3408D">
      <w:pPr>
        <w:rPr>
          <w:rFonts w:eastAsiaTheme="majorEastAsia"/>
        </w:rPr>
      </w:pPr>
      <w:r w:rsidRPr="002141CF">
        <w:rPr>
          <w:rFonts w:eastAsiaTheme="majorEastAsia"/>
        </w:rPr>
        <w:t xml:space="preserve">Tenderers must also ensure that </w:t>
      </w:r>
      <w:r w:rsidR="00AD7745">
        <w:rPr>
          <w:rFonts w:eastAsiaTheme="majorEastAsia"/>
        </w:rPr>
        <w:t xml:space="preserve">the </w:t>
      </w:r>
      <w:r w:rsidRPr="002141CF">
        <w:rPr>
          <w:rFonts w:eastAsiaTheme="majorEastAsia"/>
        </w:rPr>
        <w:t>Form of Tender</w:t>
      </w:r>
      <w:r w:rsidR="002141CF" w:rsidRPr="002141CF">
        <w:rPr>
          <w:rFonts w:eastAsiaTheme="majorEastAsia"/>
        </w:rPr>
        <w:t>,</w:t>
      </w:r>
      <w:r w:rsidRPr="002141CF">
        <w:rPr>
          <w:rFonts w:eastAsiaTheme="majorEastAsia"/>
        </w:rPr>
        <w:t xml:space="preserve"> Non-Collusion Documen</w:t>
      </w:r>
      <w:r w:rsidR="002141CF" w:rsidRPr="002141CF">
        <w:rPr>
          <w:rFonts w:eastAsiaTheme="majorEastAsia"/>
        </w:rPr>
        <w:t>t</w:t>
      </w:r>
      <w:r w:rsidRPr="002141CF">
        <w:rPr>
          <w:rFonts w:eastAsiaTheme="majorEastAsia"/>
        </w:rPr>
        <w:t xml:space="preserve"> and Tender Declaration are completed, signed and returned with the tender submission.</w:t>
      </w:r>
    </w:p>
    <w:p w14:paraId="5B5A73EF" w14:textId="77777777" w:rsidR="00A3408D" w:rsidRPr="00A3408D" w:rsidRDefault="00A3408D" w:rsidP="00A3408D">
      <w:pPr>
        <w:rPr>
          <w:rFonts w:eastAsiaTheme="majorEastAsia"/>
        </w:rPr>
      </w:pPr>
      <w:r w:rsidRPr="00A3408D">
        <w:rPr>
          <w:rFonts w:eastAsiaTheme="majorEastAsia"/>
        </w:rPr>
        <w:t xml:space="preserve">Tenderers must </w:t>
      </w:r>
      <w:proofErr w:type="gramStart"/>
      <w:r w:rsidRPr="00A3408D">
        <w:rPr>
          <w:rFonts w:eastAsiaTheme="majorEastAsia"/>
        </w:rPr>
        <w:t>take into account</w:t>
      </w:r>
      <w:proofErr w:type="gramEnd"/>
      <w:r w:rsidRPr="00A3408D">
        <w:rPr>
          <w:rFonts w:eastAsiaTheme="majorEastAsia"/>
        </w:rPr>
        <w:t xml:space="preserve"> the requirements of the Agreement and the Appendices attached together with the instructions set out in this ITT in preparing their submissions.</w:t>
      </w:r>
    </w:p>
    <w:p w14:paraId="075C65FF" w14:textId="77777777" w:rsidR="00A3408D" w:rsidRDefault="00A3408D" w:rsidP="00A3408D">
      <w:pPr>
        <w:rPr>
          <w:rFonts w:eastAsiaTheme="majorEastAsia"/>
        </w:rPr>
      </w:pPr>
      <w:r w:rsidRPr="00A3408D">
        <w:rPr>
          <w:rFonts w:eastAsiaTheme="majorEastAsia"/>
        </w:rPr>
        <w:t xml:space="preserve">The Tenderer shall ensure that </w:t>
      </w:r>
      <w:proofErr w:type="gramStart"/>
      <w:r w:rsidRPr="00A3408D">
        <w:rPr>
          <w:rFonts w:eastAsiaTheme="majorEastAsia"/>
        </w:rPr>
        <w:t>each and every</w:t>
      </w:r>
      <w:proofErr w:type="gramEnd"/>
      <w:r w:rsidRPr="00A3408D">
        <w:rPr>
          <w:rFonts w:eastAsiaTheme="majorEastAsia"/>
        </w:rPr>
        <w:t xml:space="preserve"> sub-contractor, supplier, consortium member and adviser abides by the terms of these instructions and the Conditions of Tender.</w:t>
      </w:r>
    </w:p>
    <w:p w14:paraId="64F272FF" w14:textId="3B69BD75" w:rsidR="00A3408D" w:rsidRPr="00A3408D" w:rsidRDefault="00A3408D" w:rsidP="00A3408D">
      <w:pPr>
        <w:rPr>
          <w:rFonts w:eastAsiaTheme="majorEastAsia"/>
        </w:rPr>
      </w:pPr>
      <w:r w:rsidRPr="00A3408D">
        <w:rPr>
          <w:rFonts w:eastAsiaTheme="majorEastAsia"/>
        </w:rPr>
        <w:t xml:space="preserve">The Tenderer shall not </w:t>
      </w:r>
      <w:proofErr w:type="gramStart"/>
      <w:r w:rsidRPr="00A3408D">
        <w:rPr>
          <w:rFonts w:eastAsiaTheme="majorEastAsia"/>
        </w:rPr>
        <w:t>make contact with</w:t>
      </w:r>
      <w:proofErr w:type="gramEnd"/>
      <w:r w:rsidRPr="00A3408D">
        <w:rPr>
          <w:rFonts w:eastAsiaTheme="majorEastAsia"/>
        </w:rPr>
        <w:t xml:space="preserve"> any other employee, agent or consultant of </w:t>
      </w:r>
      <w:r w:rsidR="00EA3753">
        <w:rPr>
          <w:rFonts w:eastAsiaTheme="majorEastAsia"/>
        </w:rPr>
        <w:t xml:space="preserve">Barcud Shared Services </w:t>
      </w:r>
      <w:r w:rsidRPr="00A3408D">
        <w:rPr>
          <w:rFonts w:eastAsiaTheme="majorEastAsia"/>
        </w:rPr>
        <w:t xml:space="preserve">or any other organisation referenced in the contract notice that are in any way connected with this procurement exercise during the period of this procurement exercise, unless instructed otherwise by </w:t>
      </w:r>
      <w:r w:rsidR="00EA3753">
        <w:rPr>
          <w:rFonts w:eastAsiaTheme="majorEastAsia"/>
        </w:rPr>
        <w:t>Barcud Shared Services</w:t>
      </w:r>
      <w:r w:rsidRPr="00A3408D">
        <w:rPr>
          <w:rFonts w:eastAsiaTheme="majorEastAsia"/>
        </w:rPr>
        <w:t>.</w:t>
      </w:r>
    </w:p>
    <w:p w14:paraId="645FB4A4" w14:textId="3E88C16D" w:rsidR="00A3408D" w:rsidRPr="00A3408D" w:rsidRDefault="00EA3753" w:rsidP="00A3408D">
      <w:pPr>
        <w:rPr>
          <w:rFonts w:eastAsiaTheme="majorEastAsia"/>
        </w:rPr>
      </w:pPr>
      <w:r>
        <w:rPr>
          <w:rFonts w:eastAsiaTheme="majorEastAsia"/>
        </w:rPr>
        <w:t xml:space="preserve">Barcud Shared Services </w:t>
      </w:r>
      <w:r w:rsidR="00A3408D" w:rsidRPr="00A3408D">
        <w:rPr>
          <w:rFonts w:eastAsiaTheme="majorEastAsia"/>
        </w:rPr>
        <w:t xml:space="preserve">reserves the right to amend, add to or withdraw all or any part of this ITT at any time during the procurement exercise. Under no circumstances will </w:t>
      </w:r>
      <w:r>
        <w:rPr>
          <w:rFonts w:eastAsiaTheme="majorEastAsia"/>
        </w:rPr>
        <w:t>Barcud Shared Services</w:t>
      </w:r>
      <w:r w:rsidR="00A3408D" w:rsidRPr="00A3408D">
        <w:rPr>
          <w:rFonts w:eastAsiaTheme="majorEastAsia"/>
        </w:rPr>
        <w:t>, or any of their advisers, be liable for any costs or expenses borne by Tenderers, sub-contractors, suppliers or advisers in this process.</w:t>
      </w:r>
    </w:p>
    <w:p w14:paraId="63D814BB" w14:textId="0E74D3CA" w:rsidR="00D44EE8" w:rsidRDefault="00A3408D" w:rsidP="308EF1E5">
      <w:pPr>
        <w:rPr>
          <w:rFonts w:asciiTheme="majorHAnsi" w:eastAsiaTheme="majorEastAsia" w:hAnsiTheme="majorHAnsi" w:cstheme="majorBidi"/>
          <w:color w:val="2F5496" w:themeColor="accent1" w:themeShade="BF"/>
          <w:sz w:val="28"/>
          <w:szCs w:val="28"/>
        </w:rPr>
      </w:pPr>
      <w:r w:rsidRPr="308EF1E5">
        <w:rPr>
          <w:rFonts w:eastAsiaTheme="majorEastAsia"/>
        </w:rPr>
        <w:t xml:space="preserve">In the event that a preferred bidder withdraws its tender submission after notification of appointment but prior to contract signature, or an appointed Contractor is disqualified from the process due to failing any of the Grounds for Mandatory Rejection or Discretionary Rejection during the life of the Agreement, or an appointed Contractor has its contract terminated, or the scope of the original Agreement changes and </w:t>
      </w:r>
      <w:r w:rsidR="00EA3753" w:rsidRPr="308EF1E5">
        <w:rPr>
          <w:rFonts w:eastAsiaTheme="majorEastAsia"/>
        </w:rPr>
        <w:t>Bar</w:t>
      </w:r>
      <w:r w:rsidR="007B6113" w:rsidRPr="308EF1E5">
        <w:rPr>
          <w:rFonts w:eastAsiaTheme="majorEastAsia"/>
        </w:rPr>
        <w:t>c</w:t>
      </w:r>
      <w:r w:rsidR="00EA3753" w:rsidRPr="308EF1E5">
        <w:rPr>
          <w:rFonts w:eastAsiaTheme="majorEastAsia"/>
        </w:rPr>
        <w:t>ud Shared Services</w:t>
      </w:r>
      <w:r w:rsidRPr="308EF1E5">
        <w:rPr>
          <w:rFonts w:eastAsiaTheme="majorEastAsia"/>
        </w:rPr>
        <w:t xml:space="preserve"> requires additional resource, then </w:t>
      </w:r>
      <w:r w:rsidR="00EA3753" w:rsidRPr="308EF1E5">
        <w:rPr>
          <w:rFonts w:eastAsiaTheme="majorEastAsia"/>
        </w:rPr>
        <w:t>Barcud Shared Services</w:t>
      </w:r>
      <w:r w:rsidRPr="308EF1E5">
        <w:rPr>
          <w:rFonts w:eastAsiaTheme="majorEastAsia"/>
        </w:rPr>
        <w:t xml:space="preserve"> reserves the right (at its discretion and subject to the Regulations) to award a </w:t>
      </w:r>
      <w:r w:rsidRPr="308EF1E5">
        <w:rPr>
          <w:rFonts w:eastAsiaTheme="majorEastAsia"/>
        </w:rPr>
        <w:lastRenderedPageBreak/>
        <w:t>contract to the bidder that, on the basis of the evaluation, submitted the next Most Advantageous Tender.</w:t>
      </w:r>
    </w:p>
    <w:p w14:paraId="7E1505BD" w14:textId="1DB68DFF" w:rsidR="00612CBF" w:rsidRPr="00612CBF" w:rsidRDefault="00A3408D" w:rsidP="00612CBF">
      <w:pPr>
        <w:pStyle w:val="Heading2"/>
        <w:numPr>
          <w:ilvl w:val="1"/>
          <w:numId w:val="1"/>
        </w:numPr>
        <w:spacing w:line="360" w:lineRule="auto"/>
        <w:rPr>
          <w:color w:val="1F4E79" w:themeColor="accent5" w:themeShade="80"/>
        </w:rPr>
      </w:pPr>
      <w:bookmarkStart w:id="9" w:name="_Toc70229197"/>
      <w:r w:rsidRPr="7E950373">
        <w:rPr>
          <w:color w:val="1F4E79" w:themeColor="accent5" w:themeShade="80"/>
        </w:rPr>
        <w:t>Preparation of Tender</w:t>
      </w:r>
      <w:bookmarkEnd w:id="9"/>
      <w:r w:rsidRPr="7E950373">
        <w:rPr>
          <w:color w:val="1F4E79" w:themeColor="accent5" w:themeShade="80"/>
        </w:rPr>
        <w:t xml:space="preserve"> </w:t>
      </w:r>
    </w:p>
    <w:p w14:paraId="71BF846A" w14:textId="08998CD1" w:rsidR="00EA3753" w:rsidRPr="00EA3753" w:rsidRDefault="00EA3753" w:rsidP="00EA3753">
      <w:pPr>
        <w:rPr>
          <w:rFonts w:eastAsiaTheme="majorEastAsia"/>
        </w:rPr>
      </w:pPr>
      <w:r w:rsidRPr="00EA3753">
        <w:rPr>
          <w:rFonts w:eastAsiaTheme="majorEastAsia"/>
        </w:rPr>
        <w:t xml:space="preserve">It is the Tenderer’s responsibility to obtain, at their own expense, all information necessary for the preparation and submission of Tenders. Under no circumstances will </w:t>
      </w:r>
      <w:r w:rsidR="00F64E42">
        <w:rPr>
          <w:rFonts w:eastAsiaTheme="majorEastAsia"/>
        </w:rPr>
        <w:t>Barcud Shared Services</w:t>
      </w:r>
      <w:r w:rsidRPr="00EA3753">
        <w:rPr>
          <w:rFonts w:eastAsiaTheme="majorEastAsia"/>
        </w:rPr>
        <w:t>, or any of their advisers, be liable for any costs or expenses borne by Tenderers, sub-contractors, suppliers or advisers in this process.</w:t>
      </w:r>
    </w:p>
    <w:p w14:paraId="6B951200" w14:textId="57EB51C3" w:rsidR="00EA3753" w:rsidRPr="00EA3753" w:rsidRDefault="00EA3753" w:rsidP="00EA3753">
      <w:pPr>
        <w:rPr>
          <w:rFonts w:eastAsiaTheme="majorEastAsia"/>
        </w:rPr>
      </w:pPr>
      <w:r w:rsidRPr="00EA3753">
        <w:rPr>
          <w:rFonts w:eastAsiaTheme="majorEastAsia"/>
        </w:rPr>
        <w:t xml:space="preserve">Tenderers are required to complete and provide all information required by </w:t>
      </w:r>
      <w:r w:rsidR="00F64E42">
        <w:rPr>
          <w:rFonts w:eastAsiaTheme="majorEastAsia"/>
        </w:rPr>
        <w:t>Barcud Shared Services</w:t>
      </w:r>
      <w:r w:rsidRPr="00EA3753">
        <w:rPr>
          <w:rFonts w:eastAsiaTheme="majorEastAsia"/>
        </w:rPr>
        <w:t xml:space="preserve"> in accordance with the conditions of the Tender and the Invitation to Tender.  Failure to comply with the conditions and the Invitation to Tender may lead </w:t>
      </w:r>
      <w:r w:rsidR="00F64E42">
        <w:rPr>
          <w:rFonts w:eastAsiaTheme="majorEastAsia"/>
        </w:rPr>
        <w:t>Barcud Shared Services</w:t>
      </w:r>
      <w:r w:rsidRPr="00EA3753">
        <w:rPr>
          <w:rFonts w:eastAsiaTheme="majorEastAsia"/>
        </w:rPr>
        <w:t xml:space="preserve"> to reject a tender response.</w:t>
      </w:r>
    </w:p>
    <w:p w14:paraId="4F317516" w14:textId="4015EEC1" w:rsidR="00EA3753" w:rsidRPr="00EA3753" w:rsidRDefault="00F64E42" w:rsidP="00EA3753">
      <w:pPr>
        <w:rPr>
          <w:rFonts w:eastAsiaTheme="majorEastAsia"/>
        </w:rPr>
      </w:pPr>
      <w:r>
        <w:rPr>
          <w:rFonts w:eastAsiaTheme="majorEastAsia"/>
        </w:rPr>
        <w:t>Barcud Shared Services</w:t>
      </w:r>
      <w:r w:rsidR="00EA3753" w:rsidRPr="00EA3753">
        <w:rPr>
          <w:rFonts w:eastAsiaTheme="majorEastAsia"/>
        </w:rPr>
        <w:t xml:space="preserve"> relies on Tenderers’ own analysis and review of information provided.  Consequently, Tenderers are solely responsible for obtaining the information which they consider is necessary </w:t>
      </w:r>
      <w:proofErr w:type="gramStart"/>
      <w:r w:rsidR="00EA3753" w:rsidRPr="00EA3753">
        <w:rPr>
          <w:rFonts w:eastAsiaTheme="majorEastAsia"/>
        </w:rPr>
        <w:t>in order to</w:t>
      </w:r>
      <w:proofErr w:type="gramEnd"/>
      <w:r w:rsidR="00EA3753" w:rsidRPr="00EA3753">
        <w:rPr>
          <w:rFonts w:eastAsiaTheme="majorEastAsia"/>
        </w:rPr>
        <w:t xml:space="preserve"> make decisions regarding the content of their Tenders and to undertake any investigations they consider necessary </w:t>
      </w:r>
      <w:proofErr w:type="gramStart"/>
      <w:r w:rsidR="00EA3753" w:rsidRPr="00EA3753">
        <w:rPr>
          <w:rFonts w:eastAsiaTheme="majorEastAsia"/>
        </w:rPr>
        <w:t>in order to</w:t>
      </w:r>
      <w:proofErr w:type="gramEnd"/>
      <w:r w:rsidR="00EA3753" w:rsidRPr="00EA3753">
        <w:rPr>
          <w:rFonts w:eastAsiaTheme="majorEastAsia"/>
        </w:rPr>
        <w:t xml:space="preserve"> verify any information provided to them during the procurement process. Under no circumstances will </w:t>
      </w:r>
      <w:r>
        <w:rPr>
          <w:rFonts w:eastAsiaTheme="majorEastAsia"/>
        </w:rPr>
        <w:t>Barcud Shared Services</w:t>
      </w:r>
      <w:r w:rsidR="00EA3753" w:rsidRPr="00EA3753">
        <w:rPr>
          <w:rFonts w:eastAsiaTheme="majorEastAsia"/>
        </w:rPr>
        <w:t>, or any of their advisers, be liable for any costs or expenses borne by Tenderers, sub-contractors, suppliers or advisers in this process.</w:t>
      </w:r>
    </w:p>
    <w:p w14:paraId="417E0D6D" w14:textId="0878AF79" w:rsidR="00D060B7" w:rsidRDefault="00EA3753" w:rsidP="00EA3753">
      <w:pPr>
        <w:rPr>
          <w:rFonts w:eastAsiaTheme="majorEastAsia"/>
        </w:rPr>
      </w:pPr>
      <w:r w:rsidRPr="00EA3753">
        <w:rPr>
          <w:rFonts w:eastAsiaTheme="majorEastAsia"/>
        </w:rPr>
        <w:t xml:space="preserve">No alteration or addition must be made to the </w:t>
      </w:r>
      <w:r w:rsidR="00974800" w:rsidRPr="00974800">
        <w:rPr>
          <w:rFonts w:eastAsiaTheme="majorEastAsia"/>
        </w:rPr>
        <w:t>Tender Declaration</w:t>
      </w:r>
      <w:r w:rsidRPr="002664F9">
        <w:rPr>
          <w:rFonts w:eastAsiaTheme="majorEastAsia"/>
        </w:rPr>
        <w:t>, to the Priced Schedule</w:t>
      </w:r>
      <w:r w:rsidRPr="00EA3753">
        <w:rPr>
          <w:rFonts w:eastAsiaTheme="majorEastAsia"/>
        </w:rPr>
        <w:t xml:space="preserve"> or to any other component of the Tender documentation,</w:t>
      </w:r>
      <w:r w:rsidR="00C546FE">
        <w:rPr>
          <w:rFonts w:eastAsiaTheme="majorEastAsia"/>
        </w:rPr>
        <w:t xml:space="preserve"> </w:t>
      </w:r>
      <w:r w:rsidRPr="00EA3753">
        <w:rPr>
          <w:rFonts w:eastAsiaTheme="majorEastAsia"/>
        </w:rPr>
        <w:t xml:space="preserve">without </w:t>
      </w:r>
      <w:r w:rsidR="00F64E42">
        <w:rPr>
          <w:rFonts w:eastAsiaTheme="majorEastAsia"/>
        </w:rPr>
        <w:t xml:space="preserve">Barcud Shared </w:t>
      </w:r>
      <w:r w:rsidR="00C3019E">
        <w:rPr>
          <w:rFonts w:eastAsiaTheme="majorEastAsia"/>
        </w:rPr>
        <w:t>Services</w:t>
      </w:r>
      <w:r w:rsidR="00C3019E" w:rsidRPr="00EA3753">
        <w:rPr>
          <w:rFonts w:eastAsiaTheme="majorEastAsia"/>
        </w:rPr>
        <w:t>’</w:t>
      </w:r>
      <w:r w:rsidRPr="00EA3753">
        <w:rPr>
          <w:rFonts w:eastAsiaTheme="majorEastAsia"/>
        </w:rPr>
        <w:t xml:space="preserve"> explicit agreement.</w:t>
      </w:r>
    </w:p>
    <w:p w14:paraId="3765A45C" w14:textId="1BD5DD80" w:rsidR="00EA3753" w:rsidRPr="00EA3753" w:rsidRDefault="00EA3753" w:rsidP="00EA3753">
      <w:pPr>
        <w:rPr>
          <w:rFonts w:eastAsiaTheme="majorEastAsia"/>
        </w:rPr>
      </w:pPr>
      <w:r w:rsidRPr="00EA3753">
        <w:rPr>
          <w:rFonts w:eastAsiaTheme="majorEastAsia"/>
        </w:rPr>
        <w:t xml:space="preserve">Tenders must not be accompanied by any covering letter or any statements that could be construed as rendering the Tender equivocal and/or placing it on different footing from other Tenders. </w:t>
      </w:r>
    </w:p>
    <w:p w14:paraId="71933448" w14:textId="202BD9D7" w:rsidR="00EA3753" w:rsidRPr="00EA3753" w:rsidRDefault="00EA3753" w:rsidP="00EA3753">
      <w:pPr>
        <w:rPr>
          <w:rFonts w:eastAsiaTheme="majorEastAsia"/>
        </w:rPr>
      </w:pPr>
      <w:r w:rsidRPr="00EA3753">
        <w:rPr>
          <w:rFonts w:eastAsiaTheme="majorEastAsia"/>
        </w:rPr>
        <w:t xml:space="preserve">The </w:t>
      </w:r>
      <w:r w:rsidR="00974800" w:rsidRPr="00974800">
        <w:rPr>
          <w:rFonts w:eastAsiaTheme="majorEastAsia"/>
        </w:rPr>
        <w:t xml:space="preserve">Tender Declaration </w:t>
      </w:r>
      <w:r w:rsidRPr="00EA3753">
        <w:rPr>
          <w:rFonts w:eastAsiaTheme="majorEastAsia"/>
        </w:rPr>
        <w:t xml:space="preserve">must be completed and returned with the tender submission. Should any tenders be returned without these forms then </w:t>
      </w:r>
      <w:r w:rsidR="00F64E42">
        <w:rPr>
          <w:rFonts w:eastAsiaTheme="majorEastAsia"/>
        </w:rPr>
        <w:t>Barcud Shared Services</w:t>
      </w:r>
      <w:r w:rsidRPr="00EA3753">
        <w:rPr>
          <w:rFonts w:eastAsiaTheme="majorEastAsia"/>
        </w:rPr>
        <w:t xml:space="preserve"> reserves the right not to consider the tender submission.</w:t>
      </w:r>
    </w:p>
    <w:p w14:paraId="3CAB6261" w14:textId="554D6D92" w:rsidR="00EA3753" w:rsidRPr="00EA3753" w:rsidRDefault="00EA3753" w:rsidP="00EA3753">
      <w:pPr>
        <w:rPr>
          <w:rFonts w:asciiTheme="majorHAnsi" w:eastAsiaTheme="majorEastAsia" w:hAnsiTheme="majorHAnsi" w:cstheme="majorBidi"/>
          <w:color w:val="2F5496" w:themeColor="accent1" w:themeShade="BF"/>
          <w:sz w:val="28"/>
          <w:szCs w:val="28"/>
        </w:rPr>
      </w:pPr>
      <w:r w:rsidRPr="00EA3753">
        <w:rPr>
          <w:rFonts w:eastAsiaTheme="majorEastAsia"/>
        </w:rPr>
        <w:t xml:space="preserve">Tenderers must form their own opinions, </w:t>
      </w:r>
      <w:proofErr w:type="gramStart"/>
      <w:r w:rsidRPr="00EA3753">
        <w:rPr>
          <w:rFonts w:eastAsiaTheme="majorEastAsia"/>
        </w:rPr>
        <w:t>making</w:t>
      </w:r>
      <w:proofErr w:type="gramEnd"/>
      <w:r w:rsidRPr="00EA3753">
        <w:rPr>
          <w:rFonts w:eastAsiaTheme="majorEastAsia"/>
        </w:rPr>
        <w:t xml:space="preserve"> such investigations and taking such advice (including professional advice) as appropriate, regarding the requirements of their Tender, without the reliance upon any opinion provided by </w:t>
      </w:r>
      <w:r w:rsidR="00F64E42">
        <w:rPr>
          <w:rFonts w:eastAsiaTheme="majorEastAsia"/>
        </w:rPr>
        <w:t>Barcud Shared Services</w:t>
      </w:r>
      <w:r w:rsidRPr="00EA3753">
        <w:rPr>
          <w:rFonts w:eastAsiaTheme="majorEastAsia"/>
        </w:rPr>
        <w:t xml:space="preserve"> or their advisers and representatives. Tenderers should notify </w:t>
      </w:r>
      <w:r w:rsidR="00F64E42">
        <w:rPr>
          <w:rFonts w:eastAsiaTheme="majorEastAsia"/>
        </w:rPr>
        <w:t>Barcud Shared Services</w:t>
      </w:r>
      <w:r w:rsidRPr="00EA3753">
        <w:rPr>
          <w:rFonts w:eastAsiaTheme="majorEastAsia"/>
        </w:rPr>
        <w:t xml:space="preserve"> promptly of any perceived ambiguity, inconsistency or omission in this ITT, any of its associated documents and/or any other information issued to them during the procurement process. Under no circumstances will </w:t>
      </w:r>
      <w:r w:rsidR="00F64E42">
        <w:rPr>
          <w:rFonts w:eastAsiaTheme="majorEastAsia"/>
        </w:rPr>
        <w:t>Barcud Shared Services</w:t>
      </w:r>
      <w:r w:rsidRPr="00EA3753">
        <w:rPr>
          <w:rFonts w:eastAsiaTheme="majorEastAsia"/>
        </w:rPr>
        <w:t>, or any of their advisers, be liable for any costs or expenses borne by Tenderers, sub-Contractors, suppliers or advisers in this process.</w:t>
      </w:r>
      <w:r w:rsidR="00A3408D" w:rsidRPr="00EA3753">
        <w:rPr>
          <w:rFonts w:asciiTheme="majorHAnsi" w:eastAsiaTheme="majorEastAsia" w:hAnsiTheme="majorHAnsi" w:cstheme="majorBidi"/>
          <w:color w:val="2F5496" w:themeColor="accent1" w:themeShade="BF"/>
          <w:sz w:val="28"/>
          <w:szCs w:val="28"/>
        </w:rPr>
        <w:t xml:space="preserve"> </w:t>
      </w:r>
    </w:p>
    <w:p w14:paraId="4B3CEB48" w14:textId="6AE19625" w:rsidR="00EA3753" w:rsidRPr="00612CBF" w:rsidRDefault="00EA3753" w:rsidP="00612CBF">
      <w:pPr>
        <w:pStyle w:val="Heading2"/>
        <w:numPr>
          <w:ilvl w:val="1"/>
          <w:numId w:val="1"/>
        </w:numPr>
        <w:spacing w:line="360" w:lineRule="auto"/>
        <w:rPr>
          <w:color w:val="1F4E79" w:themeColor="accent5" w:themeShade="80"/>
        </w:rPr>
      </w:pPr>
      <w:bookmarkStart w:id="10" w:name="_Toc541422832"/>
      <w:r w:rsidRPr="7E950373">
        <w:rPr>
          <w:color w:val="1F4E79" w:themeColor="accent5" w:themeShade="80"/>
        </w:rPr>
        <w:t>Submission of Tenders</w:t>
      </w:r>
      <w:bookmarkEnd w:id="10"/>
    </w:p>
    <w:p w14:paraId="14B1C830" w14:textId="7A383D60" w:rsidR="00706CCA" w:rsidRPr="00706CCA" w:rsidRDefault="00CC2A99" w:rsidP="00706CCA">
      <w:pPr>
        <w:rPr>
          <w:rFonts w:eastAsiaTheme="majorEastAsia"/>
        </w:rPr>
      </w:pPr>
      <w:r>
        <w:rPr>
          <w:rFonts w:eastAsiaTheme="majorEastAsia"/>
        </w:rPr>
        <w:t xml:space="preserve">To </w:t>
      </w:r>
      <w:r w:rsidR="00706CCA" w:rsidRPr="00706CCA">
        <w:rPr>
          <w:rFonts w:eastAsiaTheme="majorEastAsia"/>
        </w:rPr>
        <w:t xml:space="preserve">enable </w:t>
      </w:r>
      <w:r w:rsidR="00F64E42">
        <w:rPr>
          <w:rFonts w:eastAsiaTheme="majorEastAsia"/>
        </w:rPr>
        <w:t>Barcud Shared Services</w:t>
      </w:r>
      <w:r w:rsidR="00706CCA" w:rsidRPr="00706CCA">
        <w:rPr>
          <w:rFonts w:eastAsiaTheme="majorEastAsia"/>
        </w:rPr>
        <w:t xml:space="preserve"> to assess ITTs quickly and accurately please do not submit any material other than the completed ITT and any requested supporting information. Please return one electronic copy via Sell2Wales ‘</w:t>
      </w:r>
      <w:r w:rsidR="00C3019E" w:rsidRPr="00706CCA">
        <w:rPr>
          <w:rFonts w:eastAsiaTheme="majorEastAsia"/>
        </w:rPr>
        <w:t>Post-box</w:t>
      </w:r>
      <w:r w:rsidR="00706CCA" w:rsidRPr="00706CCA">
        <w:rPr>
          <w:rFonts w:eastAsiaTheme="majorEastAsia"/>
        </w:rPr>
        <w:t>’ facility</w:t>
      </w:r>
      <w:r w:rsidR="005706C0">
        <w:rPr>
          <w:rFonts w:eastAsiaTheme="majorEastAsia"/>
        </w:rPr>
        <w:t xml:space="preserve"> no later than the specified </w:t>
      </w:r>
      <w:r w:rsidR="009F3A28">
        <w:rPr>
          <w:rFonts w:eastAsiaTheme="majorEastAsia"/>
        </w:rPr>
        <w:t>Tender Deadline.</w:t>
      </w:r>
    </w:p>
    <w:p w14:paraId="353F6FD2" w14:textId="12DF507A" w:rsidR="00706CCA" w:rsidRPr="00706CCA" w:rsidRDefault="00D443B3" w:rsidP="00706CCA">
      <w:pPr>
        <w:rPr>
          <w:rFonts w:eastAsiaTheme="majorEastAsia"/>
        </w:rPr>
      </w:pPr>
      <w:r>
        <w:rPr>
          <w:rFonts w:eastAsiaTheme="majorEastAsia"/>
        </w:rPr>
        <w:lastRenderedPageBreak/>
        <w:t xml:space="preserve">Tender submissions must </w:t>
      </w:r>
      <w:r w:rsidR="00F41422">
        <w:rPr>
          <w:rFonts w:eastAsiaTheme="majorEastAsia"/>
        </w:rPr>
        <w:t xml:space="preserve">be </w:t>
      </w:r>
      <w:r w:rsidR="00706CCA" w:rsidRPr="00706CCA">
        <w:rPr>
          <w:rFonts w:eastAsiaTheme="majorEastAsia"/>
        </w:rPr>
        <w:t xml:space="preserve">in the English language. </w:t>
      </w:r>
      <w:r w:rsidR="00706CCA" w:rsidRPr="007C0CDA">
        <w:rPr>
          <w:rFonts w:eastAsiaTheme="majorEastAsia"/>
        </w:rPr>
        <w:t xml:space="preserve">Each response must be submitted within </w:t>
      </w:r>
      <w:r w:rsidR="008D7F34" w:rsidRPr="007C0CDA">
        <w:rPr>
          <w:rFonts w:eastAsiaTheme="majorEastAsia"/>
        </w:rPr>
        <w:t xml:space="preserve">the allocated space provided within the tender documents </w:t>
      </w:r>
      <w:r w:rsidR="00706CCA" w:rsidRPr="00706CCA">
        <w:rPr>
          <w:rFonts w:eastAsiaTheme="majorEastAsia"/>
        </w:rPr>
        <w:t xml:space="preserve">and all supporting information not included in the box should be referenced to </w:t>
      </w:r>
      <w:r w:rsidR="007C0CDA">
        <w:rPr>
          <w:rFonts w:eastAsiaTheme="majorEastAsia"/>
        </w:rPr>
        <w:t>and submitted alongside</w:t>
      </w:r>
      <w:r w:rsidR="00706CCA" w:rsidRPr="00706CCA">
        <w:rPr>
          <w:rFonts w:eastAsiaTheme="majorEastAsia"/>
        </w:rPr>
        <w:t>. Any supporting documents that are not in English must be accompanied by an English translation and a certificate of authenticity from an independent and appropriately accredited translator.</w:t>
      </w:r>
    </w:p>
    <w:p w14:paraId="1925D3A5" w14:textId="762721CA" w:rsidR="00706CCA" w:rsidRPr="00706CCA" w:rsidRDefault="00706CCA" w:rsidP="66FB1DB0">
      <w:pPr>
        <w:rPr>
          <w:rFonts w:eastAsiaTheme="majorEastAsia"/>
        </w:rPr>
      </w:pPr>
      <w:r w:rsidRPr="66FB1DB0">
        <w:rPr>
          <w:rFonts w:eastAsiaTheme="majorEastAsia"/>
        </w:rPr>
        <w:t xml:space="preserve">One of the major issues when evaluating tenders is being able to accurately </w:t>
      </w:r>
      <w:r w:rsidR="006430C6" w:rsidRPr="66FB1DB0">
        <w:rPr>
          <w:rFonts w:eastAsiaTheme="majorEastAsia"/>
        </w:rPr>
        <w:t xml:space="preserve">evaluate </w:t>
      </w:r>
      <w:r w:rsidRPr="66FB1DB0">
        <w:rPr>
          <w:rFonts w:eastAsiaTheme="majorEastAsia"/>
        </w:rPr>
        <w:t xml:space="preserve">each company’s proposal. To ensure this process is as straightforward as possible, </w:t>
      </w:r>
      <w:proofErr w:type="gramStart"/>
      <w:r w:rsidRPr="66FB1DB0">
        <w:rPr>
          <w:rFonts w:eastAsiaTheme="majorEastAsia"/>
        </w:rPr>
        <w:t>all of</w:t>
      </w:r>
      <w:proofErr w:type="gramEnd"/>
      <w:r w:rsidRPr="66FB1DB0">
        <w:rPr>
          <w:rFonts w:eastAsiaTheme="majorEastAsia"/>
        </w:rPr>
        <w:t xml:space="preserve"> your responses will need to be submitted in the prescribed format.</w:t>
      </w:r>
    </w:p>
    <w:p w14:paraId="6AE874F3" w14:textId="5085BD77" w:rsidR="00706CCA" w:rsidRPr="00706CCA" w:rsidRDefault="00F104D0" w:rsidP="09C61C08">
      <w:pPr>
        <w:rPr>
          <w:rFonts w:eastAsiaTheme="majorEastAsia"/>
        </w:rPr>
      </w:pPr>
      <w:r w:rsidRPr="09C61C08">
        <w:rPr>
          <w:rFonts w:eastAsiaTheme="majorEastAsia"/>
        </w:rPr>
        <w:t xml:space="preserve">Where </w:t>
      </w:r>
      <w:r w:rsidR="7C01C2FB" w:rsidRPr="09C61C08">
        <w:rPr>
          <w:rFonts w:eastAsiaTheme="majorEastAsia"/>
        </w:rPr>
        <w:t xml:space="preserve">a </w:t>
      </w:r>
      <w:r w:rsidR="287B4945" w:rsidRPr="09C61C08">
        <w:rPr>
          <w:rFonts w:eastAsiaTheme="majorEastAsia"/>
        </w:rPr>
        <w:t>written</w:t>
      </w:r>
      <w:r w:rsidR="03AE6ACB" w:rsidRPr="09C61C08">
        <w:rPr>
          <w:rFonts w:eastAsiaTheme="majorEastAsia"/>
        </w:rPr>
        <w:t xml:space="preserve"> </w:t>
      </w:r>
      <w:r w:rsidR="2594D0C0" w:rsidRPr="09C61C08">
        <w:rPr>
          <w:rFonts w:eastAsiaTheme="majorEastAsia"/>
        </w:rPr>
        <w:t>answer</w:t>
      </w:r>
      <w:r w:rsidR="2379F2AF" w:rsidRPr="09C61C08">
        <w:rPr>
          <w:rFonts w:eastAsiaTheme="majorEastAsia"/>
        </w:rPr>
        <w:t xml:space="preserve"> </w:t>
      </w:r>
      <w:r w:rsidR="20BE6142" w:rsidRPr="09C61C08">
        <w:rPr>
          <w:rFonts w:eastAsiaTheme="majorEastAsia"/>
        </w:rPr>
        <w:t xml:space="preserve">is requested </w:t>
      </w:r>
      <w:r w:rsidR="50D57E7B" w:rsidRPr="09C61C08">
        <w:rPr>
          <w:rFonts w:eastAsiaTheme="majorEastAsia"/>
        </w:rPr>
        <w:t xml:space="preserve">as part of the tender </w:t>
      </w:r>
      <w:r w:rsidRPr="09C61C08">
        <w:rPr>
          <w:rFonts w:eastAsiaTheme="majorEastAsia"/>
        </w:rPr>
        <w:t xml:space="preserve">only the information provided within the </w:t>
      </w:r>
      <w:r w:rsidR="2D6A8B19" w:rsidRPr="09C61C08">
        <w:rPr>
          <w:rFonts w:eastAsiaTheme="majorEastAsia"/>
        </w:rPr>
        <w:t>ind</w:t>
      </w:r>
      <w:r w:rsidR="668C1DF8" w:rsidRPr="09C61C08">
        <w:rPr>
          <w:rFonts w:eastAsiaTheme="majorEastAsia"/>
        </w:rPr>
        <w:t>i</w:t>
      </w:r>
      <w:r w:rsidR="2D6A8B19" w:rsidRPr="09C61C08">
        <w:rPr>
          <w:rFonts w:eastAsiaTheme="majorEastAsia"/>
        </w:rPr>
        <w:t>vi</w:t>
      </w:r>
      <w:r w:rsidR="1BCB5C91" w:rsidRPr="09C61C08">
        <w:rPr>
          <w:rFonts w:eastAsiaTheme="majorEastAsia"/>
        </w:rPr>
        <w:t>du</w:t>
      </w:r>
      <w:r w:rsidR="2D6A8B19" w:rsidRPr="09C61C08">
        <w:rPr>
          <w:rFonts w:eastAsiaTheme="majorEastAsia"/>
        </w:rPr>
        <w:t>al</w:t>
      </w:r>
      <w:r w:rsidRPr="09C61C08">
        <w:rPr>
          <w:rFonts w:eastAsiaTheme="majorEastAsia"/>
        </w:rPr>
        <w:t xml:space="preserve"> questions response </w:t>
      </w:r>
      <w:r w:rsidR="5B543594" w:rsidRPr="09C61C08">
        <w:rPr>
          <w:rFonts w:eastAsiaTheme="majorEastAsia"/>
        </w:rPr>
        <w:t xml:space="preserve">area </w:t>
      </w:r>
      <w:r w:rsidRPr="09C61C08">
        <w:rPr>
          <w:rFonts w:eastAsiaTheme="majorEastAsia"/>
        </w:rPr>
        <w:t>will be considered</w:t>
      </w:r>
      <w:r w:rsidR="6C08678E" w:rsidRPr="09C61C08">
        <w:rPr>
          <w:rFonts w:eastAsiaTheme="majorEastAsia"/>
        </w:rPr>
        <w:t>.</w:t>
      </w:r>
      <w:r w:rsidR="5FC675A4" w:rsidRPr="09C61C08">
        <w:rPr>
          <w:rFonts w:eastAsiaTheme="majorEastAsia"/>
        </w:rPr>
        <w:t xml:space="preserve"> </w:t>
      </w:r>
      <w:r w:rsidR="0CB5F4F6" w:rsidRPr="09C61C08">
        <w:rPr>
          <w:rFonts w:eastAsiaTheme="majorEastAsia"/>
        </w:rPr>
        <w:t>Tenderers may</w:t>
      </w:r>
      <w:r w:rsidR="162168B1" w:rsidRPr="09C61C08">
        <w:rPr>
          <w:rFonts w:eastAsiaTheme="majorEastAsia"/>
        </w:rPr>
        <w:t xml:space="preserve"> </w:t>
      </w:r>
      <w:r w:rsidR="0CB5F4F6" w:rsidRPr="09C61C08">
        <w:rPr>
          <w:rFonts w:eastAsiaTheme="majorEastAsia"/>
        </w:rPr>
        <w:t>be permitted to attach supporting documentation in response to a question</w:t>
      </w:r>
      <w:r w:rsidR="536C19F2" w:rsidRPr="09C61C08">
        <w:rPr>
          <w:rFonts w:eastAsiaTheme="majorEastAsia"/>
        </w:rPr>
        <w:t xml:space="preserve"> (only </w:t>
      </w:r>
      <w:r w:rsidR="03667FCE" w:rsidRPr="09C61C08">
        <w:rPr>
          <w:rFonts w:eastAsiaTheme="majorEastAsia"/>
        </w:rPr>
        <w:t xml:space="preserve">when </w:t>
      </w:r>
      <w:r w:rsidR="536C19F2" w:rsidRPr="09C61C08">
        <w:rPr>
          <w:rFonts w:eastAsiaTheme="majorEastAsia"/>
        </w:rPr>
        <w:t>clearly stated)</w:t>
      </w:r>
      <w:r w:rsidR="45EE6EED" w:rsidRPr="09C61C08">
        <w:rPr>
          <w:rFonts w:eastAsiaTheme="majorEastAsia"/>
        </w:rPr>
        <w:t>;</w:t>
      </w:r>
      <w:r w:rsidR="63ECCF73" w:rsidRPr="09C61C08">
        <w:rPr>
          <w:rFonts w:eastAsiaTheme="majorEastAsia"/>
        </w:rPr>
        <w:t xml:space="preserve"> supporting documentation must </w:t>
      </w:r>
      <w:r w:rsidR="56033B74" w:rsidRPr="09C61C08">
        <w:rPr>
          <w:rFonts w:eastAsiaTheme="majorEastAsia"/>
        </w:rPr>
        <w:t xml:space="preserve">be </w:t>
      </w:r>
      <w:r w:rsidR="63ECCF73" w:rsidRPr="09C61C08">
        <w:rPr>
          <w:rFonts w:eastAsiaTheme="majorEastAsia"/>
        </w:rPr>
        <w:t xml:space="preserve">referenced within the </w:t>
      </w:r>
      <w:r w:rsidR="074989BC" w:rsidRPr="09C61C08">
        <w:rPr>
          <w:rFonts w:eastAsiaTheme="majorEastAsia"/>
        </w:rPr>
        <w:t xml:space="preserve">questions </w:t>
      </w:r>
      <w:r w:rsidR="2540E186" w:rsidRPr="09C61C08">
        <w:rPr>
          <w:rFonts w:eastAsiaTheme="majorEastAsia"/>
        </w:rPr>
        <w:t>answer</w:t>
      </w:r>
      <w:r w:rsidR="63ECCF73" w:rsidRPr="09C61C08">
        <w:rPr>
          <w:rFonts w:eastAsiaTheme="majorEastAsia"/>
        </w:rPr>
        <w:t xml:space="preserve">, relevant to the question in hand and properly </w:t>
      </w:r>
      <w:r w:rsidR="2AAD4CC0" w:rsidRPr="09C61C08">
        <w:rPr>
          <w:rFonts w:eastAsiaTheme="majorEastAsia"/>
        </w:rPr>
        <w:t>labelled, documents that are not properly labelled may be disregarded. Attached documentation, tables or diagrams included</w:t>
      </w:r>
      <w:r w:rsidR="77DB692C" w:rsidRPr="09C61C08">
        <w:rPr>
          <w:rFonts w:eastAsiaTheme="majorEastAsia"/>
        </w:rPr>
        <w:t xml:space="preserve"> within a response will</w:t>
      </w:r>
      <w:r w:rsidR="01E4273E" w:rsidRPr="09C61C08">
        <w:rPr>
          <w:rFonts w:eastAsiaTheme="majorEastAsia"/>
        </w:rPr>
        <w:t xml:space="preserve"> not </w:t>
      </w:r>
      <w:r w:rsidR="72EBFFB6" w:rsidRPr="09C61C08">
        <w:rPr>
          <w:rFonts w:eastAsiaTheme="majorEastAsia"/>
        </w:rPr>
        <w:t>be considered</w:t>
      </w:r>
      <w:r w:rsidR="77DB692C" w:rsidRPr="09C61C08">
        <w:rPr>
          <w:rFonts w:eastAsiaTheme="majorEastAsia"/>
        </w:rPr>
        <w:t xml:space="preserve"> as part of the maximum word counts.</w:t>
      </w:r>
      <w:r w:rsidR="45027CDD" w:rsidRPr="09C61C08">
        <w:rPr>
          <w:rFonts w:eastAsiaTheme="majorEastAsia"/>
        </w:rPr>
        <w:t xml:space="preserve"> </w:t>
      </w:r>
    </w:p>
    <w:p w14:paraId="78DF1B37" w14:textId="17D4EC1F" w:rsidR="00706CCA" w:rsidRPr="00706CCA" w:rsidRDefault="00706CCA" w:rsidP="66FB1DB0">
      <w:pPr>
        <w:rPr>
          <w:rFonts w:eastAsiaTheme="majorEastAsia"/>
        </w:rPr>
      </w:pPr>
      <w:r w:rsidRPr="66FB1DB0">
        <w:rPr>
          <w:rFonts w:eastAsiaTheme="majorEastAsia"/>
        </w:rPr>
        <w:t>Price and any financial data provided must be submitted in or converted into sterling.  Where official documents include financial data in a foreign currency, a sterling equivalent must be provided. The sterling figure will be used in the evaluation.</w:t>
      </w:r>
    </w:p>
    <w:p w14:paraId="5AC85FDB" w14:textId="3E6AB5F6" w:rsidR="00706CCA" w:rsidRPr="00706CCA" w:rsidRDefault="00706CCA" w:rsidP="66FB1DB0">
      <w:pPr>
        <w:rPr>
          <w:rFonts w:asciiTheme="majorHAnsi" w:eastAsiaTheme="majorEastAsia" w:hAnsiTheme="majorHAnsi" w:cstheme="majorBidi"/>
          <w:color w:val="2F5496" w:themeColor="accent1" w:themeShade="BF"/>
          <w:sz w:val="28"/>
          <w:szCs w:val="28"/>
        </w:rPr>
      </w:pPr>
      <w:r w:rsidRPr="66FB1DB0">
        <w:rPr>
          <w:rFonts w:eastAsiaTheme="majorEastAsia"/>
        </w:rPr>
        <w:t xml:space="preserve">Before analysing, it may be necessary for </w:t>
      </w:r>
      <w:r w:rsidR="00F64E42" w:rsidRPr="66FB1DB0">
        <w:rPr>
          <w:rFonts w:eastAsiaTheme="majorEastAsia"/>
        </w:rPr>
        <w:t>Barcud Shared Services</w:t>
      </w:r>
      <w:r w:rsidRPr="66FB1DB0">
        <w:rPr>
          <w:rFonts w:eastAsiaTheme="majorEastAsia"/>
        </w:rPr>
        <w:t xml:space="preserve"> to seek clarification of </w:t>
      </w:r>
      <w:proofErr w:type="gramStart"/>
      <w:r w:rsidRPr="66FB1DB0">
        <w:rPr>
          <w:rFonts w:eastAsiaTheme="majorEastAsia"/>
        </w:rPr>
        <w:t>particular details</w:t>
      </w:r>
      <w:proofErr w:type="gramEnd"/>
      <w:r w:rsidRPr="66FB1DB0">
        <w:rPr>
          <w:rFonts w:eastAsiaTheme="majorEastAsia"/>
        </w:rPr>
        <w:t xml:space="preserve"> in Tenderers’ ITT </w:t>
      </w:r>
      <w:proofErr w:type="gramStart"/>
      <w:r w:rsidRPr="66FB1DB0">
        <w:rPr>
          <w:rFonts w:eastAsiaTheme="majorEastAsia"/>
        </w:rPr>
        <w:t>submissions</w:t>
      </w:r>
      <w:proofErr w:type="gramEnd"/>
      <w:r w:rsidRPr="66FB1DB0">
        <w:rPr>
          <w:rFonts w:eastAsiaTheme="majorEastAsia"/>
        </w:rPr>
        <w:t xml:space="preserve"> and such clarifications will be made via email and should be responded to promptly.</w:t>
      </w:r>
    </w:p>
    <w:p w14:paraId="1E011F60" w14:textId="46F9A365" w:rsidR="6C856952" w:rsidRDefault="6C856952" w:rsidP="66FB1DB0">
      <w:pPr>
        <w:rPr>
          <w:rFonts w:eastAsiaTheme="majorEastAsia"/>
        </w:rPr>
      </w:pPr>
      <w:r w:rsidRPr="66FB1DB0">
        <w:rPr>
          <w:rFonts w:eastAsiaTheme="majorEastAsia"/>
        </w:rPr>
        <w:t>Barcud Shared Services may, at its own absolute discretion, extend the Return Date and the time for receipt of Tenders. Any extension granted will apply to all Tenderers.</w:t>
      </w:r>
    </w:p>
    <w:p w14:paraId="76AB3F22" w14:textId="0D649543" w:rsidR="00706CCA" w:rsidRPr="00612CBF" w:rsidRDefault="00706CCA" w:rsidP="00612CBF">
      <w:pPr>
        <w:pStyle w:val="Heading2"/>
        <w:numPr>
          <w:ilvl w:val="1"/>
          <w:numId w:val="1"/>
        </w:numPr>
        <w:spacing w:line="360" w:lineRule="auto"/>
        <w:rPr>
          <w:color w:val="1F4E79" w:themeColor="accent5" w:themeShade="80"/>
        </w:rPr>
      </w:pPr>
      <w:bookmarkStart w:id="11" w:name="_Toc1902403432"/>
      <w:r w:rsidRPr="7E950373">
        <w:rPr>
          <w:color w:val="1F4E79" w:themeColor="accent5" w:themeShade="80"/>
        </w:rPr>
        <w:t>Queries Relating to Tender</w:t>
      </w:r>
      <w:bookmarkEnd w:id="11"/>
    </w:p>
    <w:p w14:paraId="11C821F7" w14:textId="6A3D4598" w:rsidR="00760ECD" w:rsidRPr="00760ECD" w:rsidRDefault="00760ECD" w:rsidP="00760ECD">
      <w:pPr>
        <w:rPr>
          <w:rFonts w:eastAsiaTheme="majorEastAsia"/>
        </w:rPr>
      </w:pPr>
      <w:r w:rsidRPr="00760ECD">
        <w:rPr>
          <w:rFonts w:eastAsiaTheme="majorEastAsia"/>
        </w:rPr>
        <w:t xml:space="preserve">All queries regarding this ITT must be made in writing via the Questions and Answer facility </w:t>
      </w:r>
      <w:r w:rsidR="00886F5E">
        <w:rPr>
          <w:rFonts w:eastAsiaTheme="majorEastAsia"/>
        </w:rPr>
        <w:t xml:space="preserve">within </w:t>
      </w:r>
      <w:r w:rsidRPr="00760ECD">
        <w:rPr>
          <w:rFonts w:eastAsiaTheme="majorEastAsia"/>
        </w:rPr>
        <w:t>Sell2Wales.</w:t>
      </w:r>
      <w:r w:rsidR="00886F5E">
        <w:rPr>
          <w:rFonts w:eastAsiaTheme="majorEastAsia"/>
        </w:rPr>
        <w:t xml:space="preserve"> </w:t>
      </w:r>
      <w:r w:rsidRPr="00760ECD">
        <w:rPr>
          <w:rFonts w:eastAsiaTheme="majorEastAsia"/>
        </w:rPr>
        <w:t xml:space="preserve">Questions will only be received and responded to via Sell2Wales. </w:t>
      </w:r>
    </w:p>
    <w:p w14:paraId="45CBBB19" w14:textId="2BB9159E" w:rsidR="00760ECD" w:rsidRPr="00760ECD" w:rsidRDefault="00760ECD" w:rsidP="00760ECD">
      <w:pPr>
        <w:rPr>
          <w:rFonts w:eastAsiaTheme="majorEastAsia"/>
        </w:rPr>
      </w:pPr>
      <w:r w:rsidRPr="00760ECD">
        <w:rPr>
          <w:rFonts w:eastAsiaTheme="majorEastAsia"/>
        </w:rPr>
        <w:t xml:space="preserve">Questions should be submitted in line with the Q&amp;A deadline detailed in the indicative timeline. </w:t>
      </w:r>
    </w:p>
    <w:p w14:paraId="33D59B07" w14:textId="1CB23FE1" w:rsidR="00760ECD" w:rsidRPr="00760ECD" w:rsidRDefault="00760ECD" w:rsidP="00760ECD">
      <w:pPr>
        <w:rPr>
          <w:rFonts w:eastAsiaTheme="majorEastAsia"/>
        </w:rPr>
      </w:pPr>
      <w:proofErr w:type="gramStart"/>
      <w:r w:rsidRPr="00760ECD">
        <w:rPr>
          <w:rFonts w:eastAsiaTheme="majorEastAsia"/>
        </w:rPr>
        <w:t>In order to</w:t>
      </w:r>
      <w:proofErr w:type="gramEnd"/>
      <w:r w:rsidRPr="00760ECD">
        <w:rPr>
          <w:rFonts w:eastAsiaTheme="majorEastAsia"/>
        </w:rPr>
        <w:t xml:space="preserve"> ensure equality of treatment of Tenderers, </w:t>
      </w:r>
      <w:r w:rsidR="003A030A">
        <w:rPr>
          <w:rFonts w:eastAsiaTheme="majorEastAsia"/>
        </w:rPr>
        <w:t>Bar</w:t>
      </w:r>
      <w:r w:rsidR="009613A1">
        <w:rPr>
          <w:rFonts w:eastAsiaTheme="majorEastAsia"/>
        </w:rPr>
        <w:t>c</w:t>
      </w:r>
      <w:r w:rsidR="003A030A">
        <w:rPr>
          <w:rFonts w:eastAsiaTheme="majorEastAsia"/>
        </w:rPr>
        <w:t>ud Shared Services</w:t>
      </w:r>
      <w:r w:rsidRPr="00760ECD">
        <w:rPr>
          <w:rFonts w:eastAsiaTheme="majorEastAsia"/>
        </w:rPr>
        <w:t xml:space="preserve"> intends to publish all questions raised by Tenderers, together with </w:t>
      </w:r>
      <w:r w:rsidR="008A566F">
        <w:rPr>
          <w:rFonts w:eastAsiaTheme="majorEastAsia"/>
        </w:rPr>
        <w:t>Bar</w:t>
      </w:r>
      <w:r w:rsidR="009613A1">
        <w:rPr>
          <w:rFonts w:eastAsiaTheme="majorEastAsia"/>
        </w:rPr>
        <w:t>c</w:t>
      </w:r>
      <w:r w:rsidR="008A566F">
        <w:rPr>
          <w:rFonts w:eastAsiaTheme="majorEastAsia"/>
        </w:rPr>
        <w:t>ud Shared Services</w:t>
      </w:r>
      <w:r w:rsidR="008A566F" w:rsidRPr="00760ECD">
        <w:rPr>
          <w:rFonts w:eastAsiaTheme="majorEastAsia"/>
        </w:rPr>
        <w:t xml:space="preserve"> </w:t>
      </w:r>
      <w:r w:rsidRPr="00760ECD">
        <w:rPr>
          <w:rFonts w:eastAsiaTheme="majorEastAsia"/>
        </w:rPr>
        <w:t>responses (but not the source of the question), to all interested parties via sell2wales website.</w:t>
      </w:r>
    </w:p>
    <w:p w14:paraId="24A9396E" w14:textId="3B448202" w:rsidR="00760ECD" w:rsidRPr="00760ECD" w:rsidRDefault="00760ECD" w:rsidP="00760ECD">
      <w:pPr>
        <w:rPr>
          <w:rFonts w:eastAsiaTheme="majorEastAsia"/>
        </w:rPr>
      </w:pPr>
      <w:r w:rsidRPr="00760ECD">
        <w:rPr>
          <w:rFonts w:eastAsiaTheme="majorEastAsia"/>
        </w:rPr>
        <w:t xml:space="preserve">Tenderers should indicate if a query is of a commercially sensitive nature where disclosure of such query and the answer would, or would be likely to, prejudice its commercial interest.  However, if </w:t>
      </w:r>
      <w:r w:rsidR="008A566F" w:rsidRPr="008A566F">
        <w:rPr>
          <w:rFonts w:eastAsiaTheme="majorEastAsia"/>
        </w:rPr>
        <w:t>Bar</w:t>
      </w:r>
      <w:r w:rsidR="009613A1">
        <w:rPr>
          <w:rFonts w:eastAsiaTheme="majorEastAsia"/>
        </w:rPr>
        <w:t>c</w:t>
      </w:r>
      <w:r w:rsidR="008A566F" w:rsidRPr="008A566F">
        <w:rPr>
          <w:rFonts w:eastAsiaTheme="majorEastAsia"/>
        </w:rPr>
        <w:t>ud Shared Services</w:t>
      </w:r>
      <w:r w:rsidRPr="00760ECD">
        <w:rPr>
          <w:rFonts w:eastAsiaTheme="majorEastAsia"/>
        </w:rPr>
        <w:t xml:space="preserve">, at its sole discretion, does not either; consider the query to be of a commercially confidential nature, or one which all Tenderers would potentially benefit from seeing, </w:t>
      </w:r>
      <w:r w:rsidR="00411A86" w:rsidRPr="00411A86">
        <w:rPr>
          <w:rFonts w:eastAsiaTheme="majorEastAsia"/>
        </w:rPr>
        <w:t>Bar</w:t>
      </w:r>
      <w:r w:rsidR="009613A1">
        <w:rPr>
          <w:rFonts w:eastAsiaTheme="majorEastAsia"/>
        </w:rPr>
        <w:t>c</w:t>
      </w:r>
      <w:r w:rsidR="00411A86" w:rsidRPr="00411A86">
        <w:rPr>
          <w:rFonts w:eastAsiaTheme="majorEastAsia"/>
        </w:rPr>
        <w:t xml:space="preserve">ud Shared Services </w:t>
      </w:r>
      <w:proofErr w:type="gramStart"/>
      <w:r w:rsidRPr="00760ECD">
        <w:rPr>
          <w:rFonts w:eastAsiaTheme="majorEastAsia"/>
        </w:rPr>
        <w:t>will;</w:t>
      </w:r>
      <w:proofErr w:type="gramEnd"/>
    </w:p>
    <w:p w14:paraId="0B0CFB4B" w14:textId="4E3C551A" w:rsidR="00760ECD" w:rsidRPr="00BA480A" w:rsidRDefault="00760ECD" w:rsidP="00BA480A">
      <w:pPr>
        <w:pStyle w:val="ListParagraph"/>
        <w:numPr>
          <w:ilvl w:val="0"/>
          <w:numId w:val="23"/>
        </w:numPr>
        <w:rPr>
          <w:rFonts w:eastAsiaTheme="majorEastAsia"/>
        </w:rPr>
      </w:pPr>
      <w:r w:rsidRPr="00BA480A">
        <w:rPr>
          <w:rFonts w:eastAsiaTheme="majorEastAsia"/>
        </w:rPr>
        <w:t xml:space="preserve">invite the Tenderer submitting the query to either declassify the query and allow the query, along with </w:t>
      </w:r>
      <w:r w:rsidR="00F97AA5" w:rsidRPr="00BA480A">
        <w:rPr>
          <w:rFonts w:eastAsiaTheme="majorEastAsia"/>
        </w:rPr>
        <w:t>Bar</w:t>
      </w:r>
      <w:r w:rsidR="009613A1">
        <w:rPr>
          <w:rFonts w:eastAsiaTheme="majorEastAsia"/>
        </w:rPr>
        <w:t>c</w:t>
      </w:r>
      <w:r w:rsidR="00F97AA5" w:rsidRPr="00BA480A">
        <w:rPr>
          <w:rFonts w:eastAsiaTheme="majorEastAsia"/>
        </w:rPr>
        <w:t xml:space="preserve">ud Shared Services </w:t>
      </w:r>
      <w:r w:rsidRPr="00BA480A">
        <w:rPr>
          <w:rFonts w:eastAsiaTheme="majorEastAsia"/>
        </w:rPr>
        <w:t>response, to be circulated to all Tenderers; or</w:t>
      </w:r>
    </w:p>
    <w:p w14:paraId="0C1126EB" w14:textId="7D9AF6D1" w:rsidR="00760ECD" w:rsidRPr="00BA480A" w:rsidRDefault="00760ECD" w:rsidP="00BA480A">
      <w:pPr>
        <w:pStyle w:val="ListParagraph"/>
        <w:numPr>
          <w:ilvl w:val="0"/>
          <w:numId w:val="23"/>
        </w:numPr>
        <w:rPr>
          <w:rFonts w:eastAsiaTheme="majorEastAsia"/>
        </w:rPr>
      </w:pPr>
      <w:r w:rsidRPr="00BA480A">
        <w:rPr>
          <w:rFonts w:eastAsiaTheme="majorEastAsia"/>
        </w:rPr>
        <w:t>request the Tenderer, if it still considers the query to be of a commercially confidential nature, to withdraw the query.</w:t>
      </w:r>
    </w:p>
    <w:p w14:paraId="1472EB18" w14:textId="030AA5F9" w:rsidR="00760ECD" w:rsidRPr="00760ECD" w:rsidRDefault="00552363" w:rsidP="00760ECD">
      <w:pPr>
        <w:rPr>
          <w:rFonts w:eastAsiaTheme="majorEastAsia"/>
        </w:rPr>
      </w:pPr>
      <w:r w:rsidRPr="00552363">
        <w:rPr>
          <w:rFonts w:eastAsiaTheme="majorEastAsia"/>
        </w:rPr>
        <w:lastRenderedPageBreak/>
        <w:t>Bar</w:t>
      </w:r>
      <w:r w:rsidR="009613A1">
        <w:rPr>
          <w:rFonts w:eastAsiaTheme="majorEastAsia"/>
        </w:rPr>
        <w:t>c</w:t>
      </w:r>
      <w:r w:rsidRPr="00552363">
        <w:rPr>
          <w:rFonts w:eastAsiaTheme="majorEastAsia"/>
        </w:rPr>
        <w:t>ud Shared Services</w:t>
      </w:r>
      <w:r w:rsidR="00F96514">
        <w:rPr>
          <w:rFonts w:eastAsiaTheme="majorEastAsia"/>
        </w:rPr>
        <w:t xml:space="preserve"> will aim to respond to all clarification requests within 48hrs </w:t>
      </w:r>
      <w:r w:rsidR="00FC5792">
        <w:rPr>
          <w:rFonts w:eastAsiaTheme="majorEastAsia"/>
        </w:rPr>
        <w:t>however</w:t>
      </w:r>
      <w:r w:rsidRPr="00552363">
        <w:rPr>
          <w:rFonts w:eastAsiaTheme="majorEastAsia"/>
        </w:rPr>
        <w:t xml:space="preserve"> </w:t>
      </w:r>
      <w:r w:rsidR="00760ECD" w:rsidRPr="00760ECD">
        <w:rPr>
          <w:rFonts w:eastAsiaTheme="majorEastAsia"/>
        </w:rPr>
        <w:t>reserves the right not to respond to a request for clarification or to circulate such a request where it considers that the answer to that request would be likely to prejudice its commercial interest.</w:t>
      </w:r>
    </w:p>
    <w:p w14:paraId="2AE9232E" w14:textId="28F1FFFA" w:rsidR="00706CCA" w:rsidRPr="00612CBF" w:rsidRDefault="00706CCA" w:rsidP="00612CBF">
      <w:pPr>
        <w:pStyle w:val="Heading2"/>
        <w:numPr>
          <w:ilvl w:val="1"/>
          <w:numId w:val="1"/>
        </w:numPr>
        <w:spacing w:line="360" w:lineRule="auto"/>
        <w:rPr>
          <w:color w:val="1F4E79" w:themeColor="accent5" w:themeShade="80"/>
        </w:rPr>
      </w:pPr>
      <w:bookmarkStart w:id="12" w:name="_Toc197662227"/>
      <w:r w:rsidRPr="7E950373">
        <w:rPr>
          <w:color w:val="1F4E79" w:themeColor="accent5" w:themeShade="80"/>
        </w:rPr>
        <w:t>Amendments to Tender Documents</w:t>
      </w:r>
      <w:bookmarkEnd w:id="12"/>
    </w:p>
    <w:p w14:paraId="5CFD420B" w14:textId="41175C3A" w:rsidR="00760ECD" w:rsidRPr="00760ECD" w:rsidRDefault="00760ECD" w:rsidP="00760ECD">
      <w:pPr>
        <w:rPr>
          <w:rFonts w:eastAsiaTheme="majorEastAsia"/>
        </w:rPr>
      </w:pPr>
      <w:r w:rsidRPr="00760ECD">
        <w:rPr>
          <w:rFonts w:eastAsiaTheme="majorEastAsia"/>
        </w:rPr>
        <w:t xml:space="preserve">At any time prior to the deadline for the receipt of Tenders, </w:t>
      </w:r>
      <w:r w:rsidR="00552363" w:rsidRPr="00552363">
        <w:rPr>
          <w:rFonts w:eastAsiaTheme="majorEastAsia"/>
        </w:rPr>
        <w:t>Bar</w:t>
      </w:r>
      <w:r w:rsidR="009613A1">
        <w:rPr>
          <w:rFonts w:eastAsiaTheme="majorEastAsia"/>
        </w:rPr>
        <w:t>c</w:t>
      </w:r>
      <w:r w:rsidR="00552363" w:rsidRPr="00552363">
        <w:rPr>
          <w:rFonts w:eastAsiaTheme="majorEastAsia"/>
        </w:rPr>
        <w:t xml:space="preserve">ud Shared Services </w:t>
      </w:r>
      <w:r w:rsidRPr="00760ECD">
        <w:rPr>
          <w:rFonts w:eastAsiaTheme="majorEastAsia"/>
        </w:rPr>
        <w:t xml:space="preserve">can modify the ITT.  Any such amendment will be numbered and dated and issued by </w:t>
      </w:r>
      <w:r w:rsidR="00552363" w:rsidRPr="00552363">
        <w:rPr>
          <w:rFonts w:eastAsiaTheme="majorEastAsia"/>
        </w:rPr>
        <w:t>Bar</w:t>
      </w:r>
      <w:r w:rsidR="009613A1">
        <w:rPr>
          <w:rFonts w:eastAsiaTheme="majorEastAsia"/>
        </w:rPr>
        <w:t>c</w:t>
      </w:r>
      <w:r w:rsidR="00552363" w:rsidRPr="00552363">
        <w:rPr>
          <w:rFonts w:eastAsiaTheme="majorEastAsia"/>
        </w:rPr>
        <w:t xml:space="preserve">ud Shared Services </w:t>
      </w:r>
      <w:r w:rsidRPr="00760ECD">
        <w:rPr>
          <w:rFonts w:eastAsiaTheme="majorEastAsia"/>
        </w:rPr>
        <w:t xml:space="preserve">to all prospective Tenderers via Sell2Wales website.  </w:t>
      </w:r>
      <w:r w:rsidR="00552363">
        <w:rPr>
          <w:rFonts w:eastAsiaTheme="majorEastAsia"/>
        </w:rPr>
        <w:t xml:space="preserve"> </w:t>
      </w:r>
    </w:p>
    <w:p w14:paraId="179B925E" w14:textId="3839E8E6" w:rsidR="00760ECD" w:rsidRPr="00760ECD" w:rsidRDefault="00760ECD" w:rsidP="00760ECD">
      <w:pPr>
        <w:rPr>
          <w:rFonts w:eastAsiaTheme="majorEastAsia"/>
        </w:rPr>
      </w:pPr>
      <w:proofErr w:type="gramStart"/>
      <w:r w:rsidRPr="00760ECD">
        <w:rPr>
          <w:rFonts w:eastAsiaTheme="majorEastAsia"/>
        </w:rPr>
        <w:t>In order to</w:t>
      </w:r>
      <w:proofErr w:type="gramEnd"/>
      <w:r w:rsidRPr="00760ECD">
        <w:rPr>
          <w:rFonts w:eastAsiaTheme="majorEastAsia"/>
        </w:rPr>
        <w:t xml:space="preserve"> give prospective Tenderers reasonable time in which to take the amendment into account in preparing their Tenders, </w:t>
      </w:r>
      <w:r w:rsidR="00552363" w:rsidRPr="00552363">
        <w:rPr>
          <w:rFonts w:eastAsiaTheme="majorEastAsia"/>
        </w:rPr>
        <w:t>Bar</w:t>
      </w:r>
      <w:r w:rsidR="009613A1">
        <w:rPr>
          <w:rFonts w:eastAsiaTheme="majorEastAsia"/>
        </w:rPr>
        <w:t>c</w:t>
      </w:r>
      <w:r w:rsidR="00552363" w:rsidRPr="00552363">
        <w:rPr>
          <w:rFonts w:eastAsiaTheme="majorEastAsia"/>
        </w:rPr>
        <w:t xml:space="preserve">ud Shared Services </w:t>
      </w:r>
      <w:r w:rsidRPr="00760ECD">
        <w:rPr>
          <w:rFonts w:eastAsiaTheme="majorEastAsia"/>
        </w:rPr>
        <w:t>may, at its discretion, extend the Return Date and time for receipt of Tenders.</w:t>
      </w:r>
      <w:r w:rsidR="00552363">
        <w:rPr>
          <w:rFonts w:eastAsiaTheme="majorEastAsia"/>
        </w:rPr>
        <w:t xml:space="preserve"> </w:t>
      </w:r>
    </w:p>
    <w:p w14:paraId="1B6F2F86" w14:textId="552AE4A5" w:rsidR="00706CCA" w:rsidRPr="00612CBF" w:rsidRDefault="00706CCA" w:rsidP="00612CBF">
      <w:pPr>
        <w:pStyle w:val="Heading2"/>
        <w:numPr>
          <w:ilvl w:val="1"/>
          <w:numId w:val="1"/>
        </w:numPr>
        <w:spacing w:line="360" w:lineRule="auto"/>
        <w:rPr>
          <w:color w:val="1F4E79" w:themeColor="accent5" w:themeShade="80"/>
        </w:rPr>
      </w:pPr>
      <w:bookmarkStart w:id="13" w:name="_Toc1079966896"/>
      <w:r w:rsidRPr="7E950373">
        <w:rPr>
          <w:color w:val="1F4E79" w:themeColor="accent5" w:themeShade="80"/>
        </w:rPr>
        <w:t>Right to Reject/Disqualify</w:t>
      </w:r>
      <w:bookmarkEnd w:id="13"/>
      <w:r w:rsidRPr="7E950373">
        <w:rPr>
          <w:color w:val="1F4E79" w:themeColor="accent5" w:themeShade="80"/>
        </w:rPr>
        <w:t xml:space="preserve"> </w:t>
      </w:r>
      <w:r w:rsidR="00552363" w:rsidRPr="7E950373">
        <w:rPr>
          <w:color w:val="1F4E79" w:themeColor="accent5" w:themeShade="80"/>
        </w:rPr>
        <w:t xml:space="preserve"> </w:t>
      </w:r>
    </w:p>
    <w:p w14:paraId="1DBFE03F" w14:textId="20A89281" w:rsidR="00760ECD" w:rsidRPr="00760ECD" w:rsidRDefault="00552363" w:rsidP="00760ECD">
      <w:pPr>
        <w:rPr>
          <w:rFonts w:eastAsiaTheme="majorEastAsia"/>
        </w:rPr>
      </w:pPr>
      <w:r w:rsidRPr="00552363">
        <w:rPr>
          <w:rFonts w:eastAsiaTheme="majorEastAsia"/>
        </w:rPr>
        <w:t>Bar</w:t>
      </w:r>
      <w:r w:rsidR="009613A1">
        <w:rPr>
          <w:rFonts w:eastAsiaTheme="majorEastAsia"/>
        </w:rPr>
        <w:t>c</w:t>
      </w:r>
      <w:r w:rsidRPr="00552363">
        <w:rPr>
          <w:rFonts w:eastAsiaTheme="majorEastAsia"/>
        </w:rPr>
        <w:t xml:space="preserve">ud Shared Services </w:t>
      </w:r>
      <w:r w:rsidR="00760ECD" w:rsidRPr="00760ECD">
        <w:rPr>
          <w:rFonts w:eastAsiaTheme="majorEastAsia"/>
        </w:rPr>
        <w:t xml:space="preserve">reserves the right to reject or disqualify a Tenderer </w:t>
      </w:r>
      <w:proofErr w:type="gramStart"/>
      <w:r w:rsidR="00760ECD" w:rsidRPr="00760ECD">
        <w:rPr>
          <w:rFonts w:eastAsiaTheme="majorEastAsia"/>
        </w:rPr>
        <w:t>where;</w:t>
      </w:r>
      <w:proofErr w:type="gramEnd"/>
    </w:p>
    <w:p w14:paraId="61AC9CA0" w14:textId="15B03006" w:rsidR="00760ECD" w:rsidRPr="00BA480A" w:rsidRDefault="00760ECD" w:rsidP="00BA480A">
      <w:pPr>
        <w:pStyle w:val="ListParagraph"/>
        <w:numPr>
          <w:ilvl w:val="0"/>
          <w:numId w:val="3"/>
        </w:numPr>
        <w:rPr>
          <w:rFonts w:eastAsiaTheme="majorEastAsia"/>
        </w:rPr>
      </w:pPr>
      <w:r w:rsidRPr="00BA480A">
        <w:rPr>
          <w:rFonts w:eastAsiaTheme="majorEastAsia"/>
        </w:rPr>
        <w:t>the Tenderer fails to comply fully with the requirements of this Invitation to Tender or is guilty of a serious misrepresentation in supplying any information required in this document; or expression of interest; and or</w:t>
      </w:r>
    </w:p>
    <w:p w14:paraId="7DC328F2" w14:textId="2AF6936E" w:rsidR="00760ECD" w:rsidRDefault="00760ECD" w:rsidP="00760ECD">
      <w:pPr>
        <w:pStyle w:val="ListParagraph"/>
        <w:numPr>
          <w:ilvl w:val="0"/>
          <w:numId w:val="3"/>
        </w:numPr>
        <w:rPr>
          <w:rFonts w:eastAsiaTheme="majorEastAsia"/>
        </w:rPr>
      </w:pPr>
      <w:r w:rsidRPr="00760ECD">
        <w:rPr>
          <w:rFonts w:eastAsiaTheme="majorEastAsia"/>
        </w:rPr>
        <w:t>the Tenderer is guilty of serious misrepresentation in relation to its Tender; expression of interest; the Tender process; and/or</w:t>
      </w:r>
    </w:p>
    <w:p w14:paraId="2D0481D4" w14:textId="7BB90DA2" w:rsidR="00760ECD" w:rsidRDefault="00760ECD" w:rsidP="00760ECD">
      <w:pPr>
        <w:pStyle w:val="ListParagraph"/>
        <w:numPr>
          <w:ilvl w:val="0"/>
          <w:numId w:val="3"/>
        </w:numPr>
        <w:rPr>
          <w:rFonts w:eastAsiaTheme="majorEastAsia"/>
        </w:rPr>
      </w:pPr>
      <w:r w:rsidRPr="00760ECD">
        <w:rPr>
          <w:rFonts w:eastAsiaTheme="majorEastAsia"/>
        </w:rPr>
        <w:t>there is a change in identity, control, financial standing or other factor impacting on the selection and/or evaluation process affecting the Tenderer.</w:t>
      </w:r>
    </w:p>
    <w:p w14:paraId="76866524" w14:textId="77777777" w:rsidR="00760ECD" w:rsidRPr="00760ECD" w:rsidRDefault="00760ECD" w:rsidP="00760ECD">
      <w:pPr>
        <w:pStyle w:val="ListParagraph"/>
        <w:ind w:left="1080"/>
        <w:rPr>
          <w:rFonts w:eastAsiaTheme="majorEastAsia"/>
        </w:rPr>
      </w:pPr>
    </w:p>
    <w:p w14:paraId="37DE20EB" w14:textId="110ABA16" w:rsidR="00706CCA" w:rsidRPr="00612CBF" w:rsidRDefault="00706CCA" w:rsidP="00612CBF">
      <w:pPr>
        <w:pStyle w:val="Heading2"/>
        <w:numPr>
          <w:ilvl w:val="1"/>
          <w:numId w:val="1"/>
        </w:numPr>
        <w:spacing w:line="360" w:lineRule="auto"/>
        <w:rPr>
          <w:color w:val="1F4E79" w:themeColor="accent5" w:themeShade="80"/>
        </w:rPr>
      </w:pPr>
      <w:bookmarkStart w:id="14" w:name="_Toc354435483"/>
      <w:r w:rsidRPr="7E950373">
        <w:rPr>
          <w:color w:val="1F4E79" w:themeColor="accent5" w:themeShade="80"/>
        </w:rPr>
        <w:t>Right to Cancel, Clarify or Vary the Process</w:t>
      </w:r>
      <w:bookmarkEnd w:id="14"/>
    </w:p>
    <w:p w14:paraId="578E4743" w14:textId="7E091542" w:rsidR="00760ECD" w:rsidRPr="00760ECD" w:rsidRDefault="002B4109" w:rsidP="00760ECD">
      <w:pPr>
        <w:rPr>
          <w:rFonts w:eastAsiaTheme="majorEastAsia"/>
        </w:rPr>
      </w:pPr>
      <w:r w:rsidRPr="002B4109">
        <w:rPr>
          <w:rFonts w:eastAsiaTheme="majorEastAsia"/>
        </w:rPr>
        <w:t>Bar</w:t>
      </w:r>
      <w:r w:rsidR="009613A1">
        <w:rPr>
          <w:rFonts w:eastAsiaTheme="majorEastAsia"/>
        </w:rPr>
        <w:t>c</w:t>
      </w:r>
      <w:r w:rsidRPr="002B4109">
        <w:rPr>
          <w:rFonts w:eastAsiaTheme="majorEastAsia"/>
        </w:rPr>
        <w:t xml:space="preserve">ud Shared Services </w:t>
      </w:r>
      <w:r w:rsidR="00760ECD" w:rsidRPr="00760ECD">
        <w:rPr>
          <w:rFonts w:eastAsiaTheme="majorEastAsia"/>
        </w:rPr>
        <w:t xml:space="preserve">reserves the right </w:t>
      </w:r>
      <w:proofErr w:type="gramStart"/>
      <w:r w:rsidR="00760ECD" w:rsidRPr="00760ECD">
        <w:rPr>
          <w:rFonts w:eastAsiaTheme="majorEastAsia"/>
        </w:rPr>
        <w:t>to;</w:t>
      </w:r>
      <w:proofErr w:type="gramEnd"/>
    </w:p>
    <w:p w14:paraId="0850B10E" w14:textId="4C66DD83" w:rsidR="00760ECD" w:rsidRPr="00760ECD" w:rsidRDefault="00760ECD" w:rsidP="00760ECD">
      <w:pPr>
        <w:pStyle w:val="ListParagraph"/>
        <w:numPr>
          <w:ilvl w:val="0"/>
          <w:numId w:val="4"/>
        </w:numPr>
        <w:rPr>
          <w:rFonts w:eastAsiaTheme="majorEastAsia"/>
        </w:rPr>
      </w:pPr>
      <w:r w:rsidRPr="00760ECD">
        <w:rPr>
          <w:rFonts w:eastAsiaTheme="majorEastAsia"/>
        </w:rPr>
        <w:t xml:space="preserve">amend the terms and conditions of the Invitation to Tender </w:t>
      </w:r>
      <w:proofErr w:type="gramStart"/>
      <w:r w:rsidRPr="00760ECD">
        <w:rPr>
          <w:rFonts w:eastAsiaTheme="majorEastAsia"/>
        </w:rPr>
        <w:t>process;</w:t>
      </w:r>
      <w:proofErr w:type="gramEnd"/>
    </w:p>
    <w:p w14:paraId="7687A236" w14:textId="51D53647" w:rsidR="00760ECD" w:rsidRDefault="00760ECD" w:rsidP="00760ECD">
      <w:pPr>
        <w:pStyle w:val="ListParagraph"/>
        <w:numPr>
          <w:ilvl w:val="0"/>
          <w:numId w:val="4"/>
        </w:numPr>
        <w:rPr>
          <w:rFonts w:eastAsiaTheme="majorEastAsia"/>
        </w:rPr>
      </w:pPr>
      <w:r w:rsidRPr="00760ECD">
        <w:rPr>
          <w:rFonts w:eastAsiaTheme="majorEastAsia"/>
        </w:rPr>
        <w:t>cancel the Invitation to Tender process at any stage; and or</w:t>
      </w:r>
    </w:p>
    <w:p w14:paraId="76BD6EA8" w14:textId="07408DF9" w:rsidR="00760ECD" w:rsidRDefault="00760ECD" w:rsidP="00760ECD">
      <w:pPr>
        <w:pStyle w:val="ListParagraph"/>
        <w:numPr>
          <w:ilvl w:val="0"/>
          <w:numId w:val="4"/>
        </w:numPr>
        <w:rPr>
          <w:rFonts w:eastAsiaTheme="majorEastAsia"/>
        </w:rPr>
      </w:pPr>
      <w:r w:rsidRPr="00760ECD">
        <w:rPr>
          <w:rFonts w:eastAsiaTheme="majorEastAsia"/>
        </w:rPr>
        <w:t>require the tenderer to clarify its tender in writing and/or in person and/or provide additional information. Failure to respond adequately may result in the tenderer not being selected.</w:t>
      </w:r>
      <w:r w:rsidR="002B4109">
        <w:rPr>
          <w:rFonts w:eastAsiaTheme="majorEastAsia"/>
        </w:rPr>
        <w:t xml:space="preserve"> </w:t>
      </w:r>
    </w:p>
    <w:p w14:paraId="13C3D35C" w14:textId="77777777" w:rsidR="00760ECD" w:rsidRPr="00760ECD" w:rsidRDefault="00760ECD" w:rsidP="00760ECD">
      <w:pPr>
        <w:pStyle w:val="ListParagraph"/>
        <w:ind w:left="1080"/>
        <w:rPr>
          <w:rFonts w:eastAsiaTheme="majorEastAsia"/>
        </w:rPr>
      </w:pPr>
    </w:p>
    <w:p w14:paraId="4635B6CC" w14:textId="5579CC8C" w:rsidR="005D17C4" w:rsidRPr="00D951C3" w:rsidRDefault="008146D0" w:rsidP="005D17C4">
      <w:pPr>
        <w:pStyle w:val="Heading2"/>
        <w:numPr>
          <w:ilvl w:val="1"/>
          <w:numId w:val="1"/>
        </w:numPr>
        <w:spacing w:line="360" w:lineRule="auto"/>
        <w:rPr>
          <w:color w:val="1F4E79" w:themeColor="accent5" w:themeShade="80"/>
        </w:rPr>
      </w:pPr>
      <w:r w:rsidRPr="7E950373">
        <w:rPr>
          <w:color w:val="1F4E79" w:themeColor="accent5" w:themeShade="80"/>
        </w:rPr>
        <w:t xml:space="preserve"> </w:t>
      </w:r>
      <w:bookmarkStart w:id="15" w:name="_Toc1700619697"/>
      <w:r w:rsidR="00706CCA" w:rsidRPr="00D951C3">
        <w:rPr>
          <w:color w:val="1F4E79" w:themeColor="accent5" w:themeShade="80"/>
        </w:rPr>
        <w:t>Site Visit</w:t>
      </w:r>
      <w:r w:rsidR="005D17C4" w:rsidRPr="00D951C3">
        <w:rPr>
          <w:color w:val="1F4E79" w:themeColor="accent5" w:themeShade="80"/>
        </w:rPr>
        <w:t>s</w:t>
      </w:r>
      <w:bookmarkEnd w:id="15"/>
    </w:p>
    <w:p w14:paraId="14512ABA" w14:textId="403BE846" w:rsidR="00643B2F" w:rsidRPr="00643B2F" w:rsidRDefault="00643B2F" w:rsidP="63D56887">
      <w:pPr>
        <w:rPr>
          <w:rFonts w:eastAsiaTheme="majorEastAsia"/>
        </w:rPr>
      </w:pPr>
      <w:r w:rsidRPr="00D951C3">
        <w:rPr>
          <w:rFonts w:eastAsiaTheme="majorEastAsia"/>
        </w:rPr>
        <w:t>Site visits maybe offered as part of this process to help Tenderers ensure that they are completely comfortable with the scope of the requirements ahead of submitting their proposal. Tenderers are strongly encouraged to participate in the site visits if offered. To arrange a site visit Tenderers must contact Barcud Shared Services in advance through Sell2Wales, prior to the supplier questions deadline. Tenderers are only allowed access to the site by pre-arranged appointments with Barcud Shared Services. A representatives may accompany Tenderers when visiting and inspecting the site.</w:t>
      </w:r>
    </w:p>
    <w:p w14:paraId="69F56C88" w14:textId="370A9130" w:rsidR="00760ECD" w:rsidRPr="00612CBF" w:rsidRDefault="00760ECD" w:rsidP="00612CBF">
      <w:pPr>
        <w:pStyle w:val="Heading2"/>
        <w:numPr>
          <w:ilvl w:val="1"/>
          <w:numId w:val="1"/>
        </w:numPr>
        <w:spacing w:line="360" w:lineRule="auto"/>
        <w:rPr>
          <w:color w:val="1F4E79" w:themeColor="accent5" w:themeShade="80"/>
        </w:rPr>
      </w:pPr>
      <w:bookmarkStart w:id="16" w:name="_Toc293153485"/>
      <w:r w:rsidRPr="7E950373">
        <w:rPr>
          <w:color w:val="1F4E79" w:themeColor="accent5" w:themeShade="80"/>
        </w:rPr>
        <w:lastRenderedPageBreak/>
        <w:t>Corporate Policies</w:t>
      </w:r>
      <w:bookmarkEnd w:id="16"/>
    </w:p>
    <w:p w14:paraId="43FF3AC8" w14:textId="572791BE" w:rsidR="00760ECD" w:rsidRPr="00733607" w:rsidRDefault="00DF0136" w:rsidP="00733607">
      <w:pPr>
        <w:rPr>
          <w:rFonts w:eastAsiaTheme="majorEastAsia"/>
        </w:rPr>
      </w:pPr>
      <w:r w:rsidRPr="00DF0136">
        <w:rPr>
          <w:rFonts w:eastAsiaTheme="majorEastAsia"/>
        </w:rPr>
        <w:t xml:space="preserve">In addition to the requirements outlined in the Specification the appointed contractor will be required to comply with the relevant Barcud Shared Services Clients policies and codes of </w:t>
      </w:r>
      <w:proofErr w:type="gramStart"/>
      <w:r w:rsidRPr="00DF0136">
        <w:rPr>
          <w:rFonts w:eastAsiaTheme="majorEastAsia"/>
        </w:rPr>
        <w:t>practice,</w:t>
      </w:r>
      <w:proofErr w:type="gramEnd"/>
      <w:r w:rsidRPr="00DF0136">
        <w:rPr>
          <w:rFonts w:eastAsiaTheme="majorEastAsia"/>
        </w:rPr>
        <w:t xml:space="preserve"> these policies can be provided upon request.</w:t>
      </w:r>
    </w:p>
    <w:p w14:paraId="78F1BD0E" w14:textId="77777777" w:rsidR="00760ECD" w:rsidRPr="00612CBF" w:rsidRDefault="00760ECD" w:rsidP="00612CBF">
      <w:pPr>
        <w:pStyle w:val="Heading2"/>
        <w:numPr>
          <w:ilvl w:val="1"/>
          <w:numId w:val="1"/>
        </w:numPr>
        <w:spacing w:line="360" w:lineRule="auto"/>
        <w:rPr>
          <w:color w:val="1F4E79" w:themeColor="accent5" w:themeShade="80"/>
        </w:rPr>
      </w:pPr>
      <w:bookmarkStart w:id="17" w:name="_Toc1633762845"/>
      <w:r w:rsidRPr="7E950373">
        <w:rPr>
          <w:color w:val="1F4E79" w:themeColor="accent5" w:themeShade="80"/>
        </w:rPr>
        <w:t>Sub-Contracting Arrangements</w:t>
      </w:r>
      <w:bookmarkEnd w:id="17"/>
      <w:r w:rsidRPr="7E950373">
        <w:rPr>
          <w:color w:val="1F4E79" w:themeColor="accent5" w:themeShade="80"/>
        </w:rPr>
        <w:t xml:space="preserve"> </w:t>
      </w:r>
    </w:p>
    <w:p w14:paraId="6069856C" w14:textId="77777777" w:rsidR="00760ECD" w:rsidRPr="00057FA2" w:rsidRDefault="00760ECD" w:rsidP="00760ECD">
      <w:pPr>
        <w:rPr>
          <w:rFonts w:eastAsiaTheme="majorEastAsia"/>
        </w:rPr>
      </w:pPr>
      <w:r w:rsidRPr="00760ECD">
        <w:rPr>
          <w:rFonts w:eastAsiaTheme="majorEastAsia"/>
        </w:rPr>
        <w:t xml:space="preserve">Where a sub-contracting approach is proposed, all information requested should be given in respect </w:t>
      </w:r>
      <w:r w:rsidRPr="00057FA2">
        <w:rPr>
          <w:rFonts w:eastAsiaTheme="majorEastAsia"/>
        </w:rPr>
        <w:t xml:space="preserve">of the primary Supplier/Contractor. </w:t>
      </w:r>
    </w:p>
    <w:p w14:paraId="1AAE690C" w14:textId="1506A715" w:rsidR="00760ECD" w:rsidRPr="00057FA2" w:rsidRDefault="00760ECD" w:rsidP="00760ECD">
      <w:pPr>
        <w:rPr>
          <w:rFonts w:eastAsiaTheme="majorEastAsia"/>
        </w:rPr>
      </w:pPr>
      <w:r w:rsidRPr="00057FA2">
        <w:rPr>
          <w:rFonts w:eastAsiaTheme="majorEastAsia"/>
        </w:rPr>
        <w:t xml:space="preserve">Where sub-contractors will play a significant role in the delivery of the services or products under the Contract please indicate, in a separate appendix (by inserting the relevant company/organisation name), the composition of the supply chain, indicating which member of the supply chain will be responsible for the main elements of the Contract by producing a structure that proves to </w:t>
      </w:r>
      <w:r w:rsidR="00E841DE" w:rsidRPr="00057FA2">
        <w:rPr>
          <w:rFonts w:eastAsiaTheme="majorEastAsia"/>
        </w:rPr>
        <w:t>Bar</w:t>
      </w:r>
      <w:r w:rsidR="009613A1">
        <w:rPr>
          <w:rFonts w:eastAsiaTheme="majorEastAsia"/>
        </w:rPr>
        <w:t>c</w:t>
      </w:r>
      <w:r w:rsidR="00E841DE" w:rsidRPr="00057FA2">
        <w:rPr>
          <w:rFonts w:eastAsiaTheme="majorEastAsia"/>
        </w:rPr>
        <w:t xml:space="preserve">ud Shared Services </w:t>
      </w:r>
      <w:r w:rsidRPr="00057FA2">
        <w:rPr>
          <w:rFonts w:eastAsiaTheme="majorEastAsia"/>
        </w:rPr>
        <w:t>that the Tenderer will have at its disposal the resources necessary, with regard to criteria relating to economic and financial standing as set out under Regulation 58 (7) and the technical and professional ability as set out in Regulation 58 (15). It must be noted that ultimate responsibility will always rest with the primary Supplier/Contractor. Tenderers must demonstrate how they will secure and manage their supply chain to deliver contracts.</w:t>
      </w:r>
    </w:p>
    <w:p w14:paraId="168C13E8" w14:textId="3EA88918" w:rsidR="00760ECD" w:rsidRPr="00057FA2" w:rsidRDefault="00760ECD" w:rsidP="00760ECD">
      <w:pPr>
        <w:rPr>
          <w:rFonts w:eastAsiaTheme="majorEastAsia"/>
        </w:rPr>
      </w:pPr>
      <w:r w:rsidRPr="00057FA2">
        <w:rPr>
          <w:rFonts w:eastAsiaTheme="majorEastAsia"/>
        </w:rPr>
        <w:t xml:space="preserve">It is recognised that arrangements in relation to sub-contracting may be subject to future change. However, Tenderers should be aware that where sub-contractors are to play a significant role, any changes to those sub-contracting arrangements may constitute a material change and, therefore, may affect the ability of the Tenderer to proceed with the procurement process or to provide the goods.    </w:t>
      </w:r>
    </w:p>
    <w:p w14:paraId="29620CA4" w14:textId="77777777" w:rsidR="00760ECD" w:rsidRPr="00612CBF" w:rsidRDefault="00760ECD" w:rsidP="00612CBF">
      <w:pPr>
        <w:pStyle w:val="Heading2"/>
        <w:numPr>
          <w:ilvl w:val="1"/>
          <w:numId w:val="1"/>
        </w:numPr>
        <w:spacing w:line="360" w:lineRule="auto"/>
        <w:rPr>
          <w:color w:val="1F4E79" w:themeColor="accent5" w:themeShade="80"/>
        </w:rPr>
      </w:pPr>
      <w:bookmarkStart w:id="18" w:name="_Toc368828300"/>
      <w:r w:rsidRPr="7E950373">
        <w:rPr>
          <w:color w:val="1F4E79" w:themeColor="accent5" w:themeShade="80"/>
        </w:rPr>
        <w:t>Consortia Arrangements</w:t>
      </w:r>
      <w:bookmarkEnd w:id="18"/>
    </w:p>
    <w:p w14:paraId="2720A1BE" w14:textId="77777777" w:rsidR="00760ECD" w:rsidRPr="00760ECD" w:rsidRDefault="00760ECD" w:rsidP="00760ECD">
      <w:pPr>
        <w:rPr>
          <w:rFonts w:eastAsiaTheme="majorEastAsia"/>
        </w:rPr>
      </w:pPr>
      <w:r w:rsidRPr="00760ECD">
        <w:rPr>
          <w:rFonts w:eastAsiaTheme="majorEastAsia"/>
        </w:rPr>
        <w:t xml:space="preserve">If the Tenderer bidding for the Contract is a consortium, the following information must be </w:t>
      </w:r>
      <w:proofErr w:type="gramStart"/>
      <w:r w:rsidRPr="00760ECD">
        <w:rPr>
          <w:rFonts w:eastAsiaTheme="majorEastAsia"/>
        </w:rPr>
        <w:t>provided;</w:t>
      </w:r>
      <w:proofErr w:type="gramEnd"/>
    </w:p>
    <w:p w14:paraId="29E9BCC2" w14:textId="17B56B77" w:rsidR="00760ECD" w:rsidRPr="00760ECD" w:rsidRDefault="00760ECD" w:rsidP="00760ECD">
      <w:pPr>
        <w:pStyle w:val="ListParagraph"/>
        <w:numPr>
          <w:ilvl w:val="0"/>
          <w:numId w:val="7"/>
        </w:numPr>
        <w:rPr>
          <w:rFonts w:eastAsiaTheme="majorEastAsia"/>
        </w:rPr>
      </w:pPr>
      <w:r w:rsidRPr="00760ECD">
        <w:rPr>
          <w:rFonts w:eastAsiaTheme="majorEastAsia"/>
        </w:rPr>
        <w:t xml:space="preserve">full details of the </w:t>
      </w:r>
      <w:proofErr w:type="gramStart"/>
      <w:r w:rsidRPr="00760ECD">
        <w:rPr>
          <w:rFonts w:eastAsiaTheme="majorEastAsia"/>
        </w:rPr>
        <w:t>consortium;</w:t>
      </w:r>
      <w:proofErr w:type="gramEnd"/>
    </w:p>
    <w:p w14:paraId="06FB23F0" w14:textId="4FA4DB3F" w:rsidR="00760ECD" w:rsidRPr="00760ECD" w:rsidRDefault="00760ECD" w:rsidP="00760ECD">
      <w:pPr>
        <w:pStyle w:val="ListParagraph"/>
        <w:numPr>
          <w:ilvl w:val="0"/>
          <w:numId w:val="7"/>
        </w:numPr>
        <w:rPr>
          <w:rFonts w:eastAsiaTheme="majorEastAsia"/>
        </w:rPr>
      </w:pPr>
      <w:r w:rsidRPr="00760ECD">
        <w:rPr>
          <w:rFonts w:eastAsiaTheme="majorEastAsia"/>
        </w:rPr>
        <w:t xml:space="preserve">the proposed proportionate responsibility of each of the </w:t>
      </w:r>
      <w:proofErr w:type="gramStart"/>
      <w:r w:rsidRPr="00760ECD">
        <w:rPr>
          <w:rFonts w:eastAsiaTheme="majorEastAsia"/>
        </w:rPr>
        <w:t>members;</w:t>
      </w:r>
      <w:proofErr w:type="gramEnd"/>
    </w:p>
    <w:p w14:paraId="6B9E7046" w14:textId="22AD3FCB" w:rsidR="00760ECD" w:rsidRPr="00760ECD" w:rsidRDefault="00760ECD" w:rsidP="00760ECD">
      <w:pPr>
        <w:pStyle w:val="ListParagraph"/>
        <w:numPr>
          <w:ilvl w:val="0"/>
          <w:numId w:val="7"/>
        </w:numPr>
        <w:rPr>
          <w:rFonts w:eastAsiaTheme="majorEastAsia"/>
        </w:rPr>
      </w:pPr>
      <w:r w:rsidRPr="00760ECD">
        <w:rPr>
          <w:rFonts w:eastAsiaTheme="majorEastAsia"/>
        </w:rPr>
        <w:t xml:space="preserve">full details of the actual or proposed percentage shareholding of the constituent members within the </w:t>
      </w:r>
      <w:proofErr w:type="gramStart"/>
      <w:r w:rsidRPr="00760ECD">
        <w:rPr>
          <w:rFonts w:eastAsiaTheme="majorEastAsia"/>
        </w:rPr>
        <w:t>consortium;</w:t>
      </w:r>
      <w:proofErr w:type="gramEnd"/>
    </w:p>
    <w:p w14:paraId="38460F36" w14:textId="5DD3418B" w:rsidR="00760ECD" w:rsidRPr="00760ECD" w:rsidRDefault="00760ECD" w:rsidP="00760ECD">
      <w:pPr>
        <w:pStyle w:val="ListParagraph"/>
        <w:numPr>
          <w:ilvl w:val="0"/>
          <w:numId w:val="7"/>
        </w:numPr>
        <w:rPr>
          <w:rFonts w:eastAsiaTheme="majorEastAsia"/>
        </w:rPr>
      </w:pPr>
      <w:r w:rsidRPr="00760ECD">
        <w:rPr>
          <w:rFonts w:eastAsiaTheme="majorEastAsia"/>
        </w:rPr>
        <w:t>the lead member of the consortium who will be contractually responsible for delivery of the Contract (if a separate legal entity is not being created); and</w:t>
      </w:r>
    </w:p>
    <w:p w14:paraId="72C2661A" w14:textId="2436E704" w:rsidR="00760ECD" w:rsidRPr="00760ECD" w:rsidRDefault="00760ECD" w:rsidP="00760ECD">
      <w:pPr>
        <w:pStyle w:val="ListParagraph"/>
        <w:numPr>
          <w:ilvl w:val="0"/>
          <w:numId w:val="7"/>
        </w:numPr>
        <w:rPr>
          <w:rFonts w:eastAsiaTheme="majorEastAsia"/>
        </w:rPr>
      </w:pPr>
      <w:r w:rsidRPr="00760ECD">
        <w:rPr>
          <w:rFonts w:eastAsiaTheme="majorEastAsia"/>
        </w:rPr>
        <w:t>if the consortium is not proposing to form a legal entity, full details of proposed arrangements within a separate appendix.</w:t>
      </w:r>
    </w:p>
    <w:p w14:paraId="2AF7E755" w14:textId="20440A2D" w:rsidR="00760ECD" w:rsidRPr="00760ECD" w:rsidRDefault="00760ECD" w:rsidP="00760ECD">
      <w:pPr>
        <w:rPr>
          <w:rFonts w:eastAsiaTheme="majorEastAsia"/>
        </w:rPr>
      </w:pPr>
      <w:r w:rsidRPr="00760ECD">
        <w:rPr>
          <w:rFonts w:eastAsiaTheme="majorEastAsia"/>
        </w:rPr>
        <w:t xml:space="preserve">Please note </w:t>
      </w:r>
      <w:r w:rsidR="00CD0C1B" w:rsidRPr="00CD0C1B">
        <w:rPr>
          <w:rFonts w:eastAsiaTheme="majorEastAsia"/>
        </w:rPr>
        <w:t xml:space="preserve">Barcud Shared Services </w:t>
      </w:r>
      <w:r w:rsidRPr="00760ECD">
        <w:rPr>
          <w:rFonts w:eastAsiaTheme="majorEastAsia"/>
        </w:rPr>
        <w:t xml:space="preserve">reserves the right to require a successful consortium to form a single legal entity if awarded the Contract, to the extent that a specific legal form is deemed by </w:t>
      </w:r>
      <w:r w:rsidR="00CD0C1B" w:rsidRPr="00CD0C1B">
        <w:rPr>
          <w:rFonts w:eastAsiaTheme="majorEastAsia"/>
        </w:rPr>
        <w:t xml:space="preserve">Barcud Shared Services </w:t>
      </w:r>
      <w:r w:rsidRPr="00760ECD">
        <w:rPr>
          <w:rFonts w:eastAsiaTheme="majorEastAsia"/>
        </w:rPr>
        <w:t xml:space="preserve">as being necessary for the satisfactory performance of the Contract. </w:t>
      </w:r>
      <w:r w:rsidRPr="00E70590">
        <w:rPr>
          <w:rFonts w:eastAsiaTheme="majorEastAsia"/>
          <w:b/>
          <w:bCs/>
        </w:rPr>
        <w:t xml:space="preserve">All members of the consortium will be required to provide the information required in all sections of the Tender Award Stage as part of a single composite response to </w:t>
      </w:r>
      <w:r w:rsidR="00CD0C1B" w:rsidRPr="00E70590">
        <w:rPr>
          <w:rFonts w:eastAsiaTheme="majorEastAsia"/>
          <w:b/>
          <w:bCs/>
        </w:rPr>
        <w:t>Barcud Shared Services</w:t>
      </w:r>
      <w:r w:rsidRPr="00760ECD">
        <w:rPr>
          <w:rFonts w:eastAsiaTheme="majorEastAsia"/>
        </w:rPr>
        <w:t xml:space="preserve">, i.e. each member of the consortium is required to complete all sections of the Tender Award Stage. </w:t>
      </w:r>
    </w:p>
    <w:p w14:paraId="5A65E755" w14:textId="6E73D5FA" w:rsidR="00760ECD" w:rsidRPr="00760ECD" w:rsidRDefault="00760ECD" w:rsidP="00760ECD">
      <w:pPr>
        <w:rPr>
          <w:rFonts w:eastAsiaTheme="majorEastAsia"/>
        </w:rPr>
      </w:pPr>
      <w:r w:rsidRPr="00760ECD">
        <w:rPr>
          <w:rFonts w:eastAsiaTheme="majorEastAsia"/>
        </w:rPr>
        <w:t xml:space="preserve">The submissions of each consortium member will be scored in accordance with the weightings and rationale as described </w:t>
      </w:r>
      <w:r w:rsidR="00351398">
        <w:rPr>
          <w:rFonts w:eastAsiaTheme="majorEastAsia"/>
        </w:rPr>
        <w:t xml:space="preserve">within </w:t>
      </w:r>
      <w:r w:rsidR="00351398" w:rsidRPr="00351398">
        <w:rPr>
          <w:rFonts w:eastAsiaTheme="majorEastAsia"/>
        </w:rPr>
        <w:t>3.</w:t>
      </w:r>
      <w:r w:rsidR="00351398">
        <w:rPr>
          <w:rFonts w:eastAsiaTheme="majorEastAsia"/>
        </w:rPr>
        <w:t xml:space="preserve"> </w:t>
      </w:r>
      <w:r w:rsidR="00351398" w:rsidRPr="00351398">
        <w:rPr>
          <w:rFonts w:eastAsiaTheme="majorEastAsia"/>
        </w:rPr>
        <w:t>Evaluation and Selection</w:t>
      </w:r>
      <w:r w:rsidR="00351398">
        <w:rPr>
          <w:rFonts w:eastAsiaTheme="majorEastAsia"/>
        </w:rPr>
        <w:t>.</w:t>
      </w:r>
    </w:p>
    <w:p w14:paraId="52FF6B12" w14:textId="3626FFAD" w:rsidR="00760ECD" w:rsidRPr="00760ECD" w:rsidRDefault="00760ECD" w:rsidP="00760ECD">
      <w:pPr>
        <w:rPr>
          <w:rFonts w:eastAsiaTheme="majorEastAsia"/>
        </w:rPr>
      </w:pPr>
      <w:r w:rsidRPr="00760ECD">
        <w:rPr>
          <w:rFonts w:eastAsiaTheme="majorEastAsia"/>
        </w:rPr>
        <w:lastRenderedPageBreak/>
        <w:t>The total overall score of each consortium member will be added together and divided by the total number of consortium members. For example, if there are 3 consortium members, the total overall score of each consortium member will be added together and divided by 3.</w:t>
      </w:r>
    </w:p>
    <w:p w14:paraId="4EB7698F" w14:textId="5333CC22" w:rsidR="00760ECD" w:rsidRPr="00760ECD" w:rsidRDefault="00760ECD" w:rsidP="00760ECD">
      <w:pPr>
        <w:rPr>
          <w:rFonts w:eastAsiaTheme="majorEastAsia"/>
        </w:rPr>
      </w:pPr>
      <w:r w:rsidRPr="00760ECD">
        <w:rPr>
          <w:rFonts w:eastAsiaTheme="majorEastAsia"/>
        </w:rPr>
        <w:t xml:space="preserve">If one, or more, members fail one of the Pass/Fail questions then </w:t>
      </w:r>
      <w:r w:rsidR="00CD0C1B" w:rsidRPr="00CD0C1B">
        <w:rPr>
          <w:rFonts w:eastAsiaTheme="majorEastAsia"/>
        </w:rPr>
        <w:t>Barcud Shared Services</w:t>
      </w:r>
      <w:r w:rsidR="00CD0C1B" w:rsidRPr="00760ECD">
        <w:rPr>
          <w:rFonts w:eastAsiaTheme="majorEastAsia"/>
        </w:rPr>
        <w:t xml:space="preserve"> </w:t>
      </w:r>
      <w:r w:rsidRPr="00760ECD">
        <w:rPr>
          <w:rFonts w:eastAsiaTheme="majorEastAsia"/>
        </w:rPr>
        <w:t xml:space="preserve">reserves the right to seek clarification from the lead member of the consortium to allow them to provide an adequate explanation of why the consortium member has failed the question. If the lead member cannot provide an adequate explanation, </w:t>
      </w:r>
      <w:r w:rsidR="00CD0C1B" w:rsidRPr="00CD0C1B">
        <w:rPr>
          <w:rFonts w:eastAsiaTheme="majorEastAsia"/>
        </w:rPr>
        <w:t xml:space="preserve">Barcud Shared Services </w:t>
      </w:r>
      <w:r w:rsidRPr="00760ECD">
        <w:rPr>
          <w:rFonts w:eastAsiaTheme="majorEastAsia"/>
        </w:rPr>
        <w:t xml:space="preserve">reserves the right to apply a Fail for this question, and therefore, </w:t>
      </w:r>
      <w:r w:rsidR="00CD0C1B" w:rsidRPr="00CD0C1B">
        <w:rPr>
          <w:rFonts w:eastAsiaTheme="majorEastAsia"/>
        </w:rPr>
        <w:t xml:space="preserve">Barcud Shared Services </w:t>
      </w:r>
      <w:r w:rsidRPr="00760ECD">
        <w:rPr>
          <w:rFonts w:eastAsiaTheme="majorEastAsia"/>
        </w:rPr>
        <w:t>reserves the right to apply a Fail for the whole consortium, which will result in the consortium not proceeding further in the tender process.</w:t>
      </w:r>
    </w:p>
    <w:p w14:paraId="35585374" w14:textId="1BBC9F4A" w:rsidR="00760ECD" w:rsidRPr="00760ECD" w:rsidRDefault="00CD0C1B" w:rsidP="00760ECD">
      <w:pPr>
        <w:rPr>
          <w:rFonts w:asciiTheme="majorHAnsi" w:eastAsiaTheme="majorEastAsia" w:hAnsiTheme="majorHAnsi" w:cstheme="majorBidi"/>
          <w:color w:val="2F5496" w:themeColor="accent1" w:themeShade="BF"/>
          <w:sz w:val="28"/>
          <w:szCs w:val="28"/>
        </w:rPr>
      </w:pPr>
      <w:r w:rsidRPr="00CD0C1B">
        <w:rPr>
          <w:rFonts w:eastAsiaTheme="majorEastAsia"/>
        </w:rPr>
        <w:t xml:space="preserve">Barcud Shared Services </w:t>
      </w:r>
      <w:r w:rsidR="00760ECD" w:rsidRPr="00760ECD">
        <w:rPr>
          <w:rFonts w:eastAsiaTheme="majorEastAsia"/>
        </w:rPr>
        <w:t xml:space="preserve">recognises that arrangements in relation to consortia may (within limits) be subject to future change. Tenderers should therefore respond in the light of the arrangements as currently envisaged. Potential suppliers are reminded that any future proposed change in relation to consortia must be notified to </w:t>
      </w:r>
      <w:r w:rsidRPr="00CD0C1B">
        <w:rPr>
          <w:rFonts w:eastAsiaTheme="majorEastAsia"/>
        </w:rPr>
        <w:t xml:space="preserve">Barcud Shared Services </w:t>
      </w:r>
      <w:r w:rsidR="00760ECD" w:rsidRPr="00760ECD">
        <w:rPr>
          <w:rFonts w:eastAsiaTheme="majorEastAsia"/>
        </w:rPr>
        <w:t>so that it can make a further assessment by applying the Award Criteria to the new information provided.</w:t>
      </w:r>
    </w:p>
    <w:p w14:paraId="45AF2F14" w14:textId="77777777" w:rsidR="00070406" w:rsidRDefault="00070406" w:rsidP="00760ECD">
      <w:pPr>
        <w:pStyle w:val="ListParagraph"/>
        <w:numPr>
          <w:ilvl w:val="0"/>
          <w:numId w:val="1"/>
        </w:numPr>
        <w:rPr>
          <w:rFonts w:asciiTheme="majorHAnsi" w:eastAsiaTheme="majorEastAsia" w:hAnsiTheme="majorHAnsi" w:cstheme="majorBidi"/>
          <w:color w:val="2F5496" w:themeColor="accent1" w:themeShade="BF"/>
          <w:sz w:val="28"/>
          <w:szCs w:val="28"/>
        </w:rPr>
        <w:sectPr w:rsidR="00070406" w:rsidSect="00D44EE8">
          <w:pgSz w:w="11906" w:h="16838"/>
          <w:pgMar w:top="2268" w:right="1440" w:bottom="1440" w:left="1440" w:header="709" w:footer="709" w:gutter="0"/>
          <w:pgNumType w:start="2"/>
          <w:cols w:space="708"/>
          <w:docGrid w:linePitch="360"/>
        </w:sectPr>
      </w:pPr>
    </w:p>
    <w:p w14:paraId="6C87B8F2" w14:textId="32382B79" w:rsidR="00A52185" w:rsidRPr="00612CBF" w:rsidRDefault="00C36FDB" w:rsidP="00612CBF">
      <w:pPr>
        <w:pStyle w:val="Heading1"/>
        <w:numPr>
          <w:ilvl w:val="0"/>
          <w:numId w:val="1"/>
        </w:numPr>
        <w:spacing w:line="360" w:lineRule="auto"/>
        <w:rPr>
          <w:color w:val="1F4E79" w:themeColor="accent5" w:themeShade="80"/>
          <w:sz w:val="32"/>
          <w:szCs w:val="32"/>
        </w:rPr>
      </w:pPr>
      <w:bookmarkStart w:id="19" w:name="_Ref147841046"/>
      <w:bookmarkStart w:id="20" w:name="_Ref147841058"/>
      <w:bookmarkStart w:id="21" w:name="_Ref147841082"/>
      <w:bookmarkStart w:id="22" w:name="_Ref147841092"/>
      <w:bookmarkStart w:id="23" w:name="_Ref147841126"/>
      <w:bookmarkStart w:id="24" w:name="_Ref147841130"/>
      <w:bookmarkStart w:id="25" w:name="_Toc209572336"/>
      <w:r w:rsidRPr="7E950373">
        <w:rPr>
          <w:color w:val="1F4E79" w:themeColor="accent5" w:themeShade="80"/>
          <w:sz w:val="32"/>
          <w:szCs w:val="32"/>
        </w:rPr>
        <w:lastRenderedPageBreak/>
        <w:t>Evaluation and Selection</w:t>
      </w:r>
      <w:bookmarkEnd w:id="19"/>
      <w:bookmarkEnd w:id="20"/>
      <w:bookmarkEnd w:id="21"/>
      <w:bookmarkEnd w:id="22"/>
      <w:bookmarkEnd w:id="23"/>
      <w:bookmarkEnd w:id="24"/>
      <w:bookmarkEnd w:id="25"/>
    </w:p>
    <w:p w14:paraId="50007937" w14:textId="1F15C857" w:rsidR="00FD37F3" w:rsidRPr="00612CBF" w:rsidRDefault="009B3BB0" w:rsidP="00612CBF">
      <w:pPr>
        <w:pStyle w:val="Heading2"/>
        <w:numPr>
          <w:ilvl w:val="1"/>
          <w:numId w:val="1"/>
        </w:numPr>
        <w:spacing w:line="360" w:lineRule="auto"/>
        <w:rPr>
          <w:color w:val="1F4E79" w:themeColor="accent5" w:themeShade="80"/>
        </w:rPr>
      </w:pPr>
      <w:bookmarkStart w:id="26" w:name="_Toc148378112"/>
      <w:r w:rsidRPr="7E950373">
        <w:rPr>
          <w:color w:val="1F4E79" w:themeColor="accent5" w:themeShade="80"/>
        </w:rPr>
        <w:t>Award Criteria</w:t>
      </w:r>
      <w:bookmarkEnd w:id="26"/>
    </w:p>
    <w:p w14:paraId="075718DB" w14:textId="6435164C" w:rsidR="00FD37F3" w:rsidRPr="00FD37F3" w:rsidRDefault="00FD37F3" w:rsidP="00FD37F3">
      <w:pPr>
        <w:rPr>
          <w:rFonts w:eastAsiaTheme="majorEastAsia"/>
        </w:rPr>
      </w:pPr>
      <w:r w:rsidRPr="00FD37F3">
        <w:rPr>
          <w:rFonts w:eastAsiaTheme="majorEastAsia"/>
        </w:rPr>
        <w:t xml:space="preserve">The Tender Evaluation Stage is used to evaluate the responses submitted by Tenders against the Award Criteria in terms of Price and Quality to ascertain the ‘Most Advantageous Tender’ (MAT). </w:t>
      </w:r>
    </w:p>
    <w:p w14:paraId="33613CE3" w14:textId="77777777" w:rsidR="00FD37F3" w:rsidRPr="00FD37F3" w:rsidRDefault="00FD37F3" w:rsidP="00FD37F3">
      <w:pPr>
        <w:rPr>
          <w:rFonts w:eastAsiaTheme="majorEastAsia"/>
        </w:rPr>
      </w:pPr>
      <w:r w:rsidRPr="00FD37F3">
        <w:rPr>
          <w:rFonts w:eastAsiaTheme="majorEastAsia"/>
        </w:rPr>
        <w:t>The Award Criteria for this contract has been weighted as follows:</w:t>
      </w:r>
    </w:p>
    <w:tbl>
      <w:tblPr>
        <w:tblStyle w:val="TableGrid"/>
        <w:tblW w:w="0" w:type="auto"/>
        <w:jc w:val="center"/>
        <w:tblLook w:val="04A0" w:firstRow="1" w:lastRow="0" w:firstColumn="1" w:lastColumn="0" w:noHBand="0" w:noVBand="1"/>
      </w:tblPr>
      <w:tblGrid>
        <w:gridCol w:w="1984"/>
        <w:gridCol w:w="1814"/>
      </w:tblGrid>
      <w:tr w:rsidR="00FD37F3" w14:paraId="0294D460" w14:textId="77777777" w:rsidTr="00E8198B">
        <w:trPr>
          <w:trHeight w:val="340"/>
          <w:jc w:val="center"/>
        </w:trPr>
        <w:tc>
          <w:tcPr>
            <w:tcW w:w="1984" w:type="dxa"/>
            <w:shd w:val="clear" w:color="auto" w:fill="1F3864" w:themeFill="accent1" w:themeFillShade="80"/>
          </w:tcPr>
          <w:p w14:paraId="34699433" w14:textId="77777777" w:rsidR="00FD37F3" w:rsidRPr="00917839" w:rsidRDefault="00FD37F3" w:rsidP="00E8198B">
            <w:pPr>
              <w:rPr>
                <w:b/>
                <w:bCs/>
              </w:rPr>
            </w:pPr>
            <w:r w:rsidRPr="00917839">
              <w:rPr>
                <w:b/>
                <w:bCs/>
              </w:rPr>
              <w:t>Element</w:t>
            </w:r>
          </w:p>
        </w:tc>
        <w:tc>
          <w:tcPr>
            <w:tcW w:w="1814" w:type="dxa"/>
            <w:shd w:val="clear" w:color="auto" w:fill="1F3864" w:themeFill="accent1" w:themeFillShade="80"/>
          </w:tcPr>
          <w:p w14:paraId="51674A28" w14:textId="77777777" w:rsidR="00FD37F3" w:rsidRPr="00917839" w:rsidRDefault="00FD37F3" w:rsidP="00E8198B">
            <w:pPr>
              <w:rPr>
                <w:b/>
                <w:bCs/>
              </w:rPr>
            </w:pPr>
            <w:r w:rsidRPr="00917839">
              <w:rPr>
                <w:b/>
                <w:bCs/>
              </w:rPr>
              <w:t>Weighting</w:t>
            </w:r>
          </w:p>
        </w:tc>
      </w:tr>
      <w:tr w:rsidR="004C1937" w14:paraId="1D6CE4D2" w14:textId="77777777" w:rsidTr="00E8198B">
        <w:trPr>
          <w:trHeight w:val="340"/>
          <w:jc w:val="center"/>
        </w:trPr>
        <w:tc>
          <w:tcPr>
            <w:tcW w:w="1984" w:type="dxa"/>
          </w:tcPr>
          <w:p w14:paraId="22A4134F" w14:textId="140ACD4C" w:rsidR="004C1937" w:rsidRPr="004C1937" w:rsidRDefault="004C1937" w:rsidP="004C1937">
            <w:r w:rsidRPr="004C1937">
              <w:t>Price</w:t>
            </w:r>
          </w:p>
        </w:tc>
        <w:tc>
          <w:tcPr>
            <w:tcW w:w="1814" w:type="dxa"/>
          </w:tcPr>
          <w:p w14:paraId="0B858C88" w14:textId="31D47939" w:rsidR="004C1937" w:rsidRPr="004C1937" w:rsidRDefault="004C1937" w:rsidP="004C1937">
            <w:r w:rsidRPr="004C1937">
              <w:t>60%</w:t>
            </w:r>
          </w:p>
        </w:tc>
      </w:tr>
      <w:tr w:rsidR="004C1937" w14:paraId="14C60F5F" w14:textId="77777777" w:rsidTr="00E8198B">
        <w:trPr>
          <w:trHeight w:val="340"/>
          <w:jc w:val="center"/>
        </w:trPr>
        <w:tc>
          <w:tcPr>
            <w:tcW w:w="1984" w:type="dxa"/>
          </w:tcPr>
          <w:p w14:paraId="75931498" w14:textId="61FB6C22" w:rsidR="004C1937" w:rsidRPr="004C1937" w:rsidRDefault="004C1937" w:rsidP="004C1937">
            <w:r w:rsidRPr="004C1937">
              <w:t>Quality</w:t>
            </w:r>
          </w:p>
        </w:tc>
        <w:tc>
          <w:tcPr>
            <w:tcW w:w="1814" w:type="dxa"/>
          </w:tcPr>
          <w:p w14:paraId="2689EFED" w14:textId="403DAAB5" w:rsidR="004C1937" w:rsidRPr="004C1937" w:rsidRDefault="004C1937" w:rsidP="004C1937">
            <w:r w:rsidRPr="004C1937">
              <w:t>40%</w:t>
            </w:r>
          </w:p>
        </w:tc>
      </w:tr>
    </w:tbl>
    <w:p w14:paraId="5B8FB21B" w14:textId="088FD81E" w:rsidR="0066157D" w:rsidRPr="00F108F4" w:rsidRDefault="0066157D" w:rsidP="0066157D">
      <w:pPr>
        <w:spacing w:line="360" w:lineRule="auto"/>
        <w:jc w:val="right"/>
        <w:rPr>
          <w:rFonts w:eastAsiaTheme="majorEastAsia"/>
          <w:sz w:val="20"/>
          <w:szCs w:val="20"/>
        </w:rPr>
      </w:pPr>
      <w:r w:rsidRPr="000025BF">
        <w:rPr>
          <w:rFonts w:eastAsiaTheme="majorEastAsia"/>
          <w:sz w:val="20"/>
          <w:szCs w:val="20"/>
        </w:rPr>
        <w:t xml:space="preserve">Table 2 </w:t>
      </w:r>
      <w:r w:rsidR="00F108F4" w:rsidRPr="000025BF">
        <w:rPr>
          <w:rFonts w:eastAsiaTheme="majorEastAsia"/>
          <w:sz w:val="20"/>
          <w:szCs w:val="20"/>
        </w:rPr>
        <w:t>–</w:t>
      </w:r>
      <w:r w:rsidRPr="000025BF">
        <w:rPr>
          <w:rFonts w:eastAsiaTheme="majorEastAsia"/>
          <w:sz w:val="20"/>
          <w:szCs w:val="20"/>
        </w:rPr>
        <w:t xml:space="preserve"> </w:t>
      </w:r>
      <w:r w:rsidR="00F108F4" w:rsidRPr="000025BF">
        <w:rPr>
          <w:rFonts w:eastAsiaTheme="majorEastAsia"/>
          <w:sz w:val="20"/>
          <w:szCs w:val="20"/>
        </w:rPr>
        <w:t>Award Criteria</w:t>
      </w:r>
    </w:p>
    <w:p w14:paraId="6AA69176" w14:textId="2B2C3F93" w:rsidR="0066157D" w:rsidRPr="0066157D" w:rsidRDefault="0066157D" w:rsidP="00F108F4">
      <w:pPr>
        <w:spacing w:line="240" w:lineRule="auto"/>
        <w:rPr>
          <w:rFonts w:eastAsiaTheme="majorEastAsia"/>
        </w:rPr>
      </w:pPr>
      <w:r w:rsidRPr="0066157D">
        <w:rPr>
          <w:rFonts w:eastAsiaTheme="majorEastAsia"/>
        </w:rPr>
        <w:t xml:space="preserve">Please note the Tenderer must be able to ‘pass’ </w:t>
      </w:r>
      <w:proofErr w:type="gramStart"/>
      <w:r w:rsidRPr="0066157D">
        <w:rPr>
          <w:rFonts w:eastAsiaTheme="majorEastAsia"/>
        </w:rPr>
        <w:t>all of</w:t>
      </w:r>
      <w:proofErr w:type="gramEnd"/>
      <w:r w:rsidRPr="0066157D">
        <w:rPr>
          <w:rFonts w:eastAsiaTheme="majorEastAsia"/>
        </w:rPr>
        <w:t xml:space="preserve"> the Pass/Fail questions shown in the table below </w:t>
      </w:r>
      <w:proofErr w:type="gramStart"/>
      <w:r w:rsidRPr="0066157D">
        <w:rPr>
          <w:rFonts w:eastAsiaTheme="majorEastAsia"/>
        </w:rPr>
        <w:t>in order for</w:t>
      </w:r>
      <w:proofErr w:type="gramEnd"/>
      <w:r w:rsidRPr="0066157D">
        <w:rPr>
          <w:rFonts w:eastAsiaTheme="majorEastAsia"/>
        </w:rPr>
        <w:t xml:space="preserve"> their bid to be valid.</w:t>
      </w:r>
    </w:p>
    <w:p w14:paraId="49EC7E75" w14:textId="080A3B6B" w:rsidR="00360D8B" w:rsidRPr="00612CBF" w:rsidRDefault="00360D8B" w:rsidP="00612CBF">
      <w:pPr>
        <w:pStyle w:val="Heading2"/>
        <w:numPr>
          <w:ilvl w:val="1"/>
          <w:numId w:val="1"/>
        </w:numPr>
        <w:spacing w:line="360" w:lineRule="auto"/>
        <w:rPr>
          <w:color w:val="1F4E79" w:themeColor="accent5" w:themeShade="80"/>
        </w:rPr>
      </w:pPr>
      <w:bookmarkStart w:id="27" w:name="_Toc1542742392"/>
      <w:r w:rsidRPr="7E950373">
        <w:rPr>
          <w:color w:val="1F4E79" w:themeColor="accent5" w:themeShade="80"/>
        </w:rPr>
        <w:t>Foundation Questions</w:t>
      </w:r>
      <w:bookmarkEnd w:id="27"/>
      <w:r w:rsidRPr="7E950373">
        <w:rPr>
          <w:color w:val="1F4E79" w:themeColor="accent5" w:themeShade="80"/>
        </w:rPr>
        <w:t xml:space="preserve"> </w:t>
      </w:r>
    </w:p>
    <w:p w14:paraId="793C970E" w14:textId="4BDFDCE6" w:rsidR="00C46E1A" w:rsidRPr="00C46E1A" w:rsidRDefault="00BF4119" w:rsidP="00C46E1A">
      <w:pPr>
        <w:rPr>
          <w:rFonts w:eastAsiaTheme="majorEastAsia"/>
        </w:rPr>
      </w:pPr>
      <w:r w:rsidRPr="00BF4119">
        <w:rPr>
          <w:rFonts w:eastAsiaTheme="majorEastAsia"/>
        </w:rPr>
        <w:t xml:space="preserve">As part of the </w:t>
      </w:r>
      <w:r w:rsidR="00907E3B">
        <w:rPr>
          <w:rFonts w:eastAsiaTheme="majorEastAsia"/>
        </w:rPr>
        <w:t>evaluation process</w:t>
      </w:r>
      <w:r w:rsidR="00673E1F">
        <w:rPr>
          <w:rFonts w:eastAsiaTheme="majorEastAsia"/>
        </w:rPr>
        <w:t xml:space="preserve"> a preset bank of foundation questions are required to be completed</w:t>
      </w:r>
      <w:r w:rsidR="00574899">
        <w:rPr>
          <w:rFonts w:eastAsiaTheme="majorEastAsia"/>
        </w:rPr>
        <w:t>, further to this</w:t>
      </w:r>
      <w:r w:rsidR="00C46E1A">
        <w:rPr>
          <w:rFonts w:eastAsiaTheme="majorEastAsia"/>
        </w:rPr>
        <w:t xml:space="preserve"> </w:t>
      </w:r>
      <w:r w:rsidR="00C46E1A" w:rsidRPr="00C46E1A">
        <w:rPr>
          <w:rFonts w:eastAsiaTheme="majorEastAsia"/>
        </w:rPr>
        <w:t>Tenderers are required to ‘self-declare’ that they meet the relevant Pass/Fail criteria detailed in the Tender Response Questionnaire.</w:t>
      </w:r>
    </w:p>
    <w:p w14:paraId="2CE72DD7" w14:textId="3EA8B70D" w:rsidR="00360D8B" w:rsidRPr="00BF4119" w:rsidRDefault="00C46E1A" w:rsidP="00C46E1A">
      <w:pPr>
        <w:rPr>
          <w:rFonts w:eastAsiaTheme="majorEastAsia"/>
        </w:rPr>
      </w:pPr>
      <w:r w:rsidRPr="00C46E1A">
        <w:rPr>
          <w:rFonts w:eastAsiaTheme="majorEastAsia"/>
        </w:rPr>
        <w:t>The successful Tenderer will then be asked to submit all necessary documentation to prove evidence of self-declaration. If the successful Tenderer fails to provide the required evidence within set timeframes, or the evidence proves unsatisfactory, the award of the contract will not proceed.</w:t>
      </w:r>
    </w:p>
    <w:tbl>
      <w:tblPr>
        <w:tblStyle w:val="TableGrid"/>
        <w:tblW w:w="0" w:type="auto"/>
        <w:jc w:val="center"/>
        <w:tblLayout w:type="fixed"/>
        <w:tblLook w:val="04A0" w:firstRow="1" w:lastRow="0" w:firstColumn="1" w:lastColumn="0" w:noHBand="0" w:noVBand="1"/>
      </w:tblPr>
      <w:tblGrid>
        <w:gridCol w:w="4390"/>
        <w:gridCol w:w="1417"/>
        <w:gridCol w:w="2126"/>
      </w:tblGrid>
      <w:tr w:rsidR="00D73E49" w:rsidRPr="00917839" w14:paraId="7D1AA50E" w14:textId="77777777" w:rsidTr="00D73E49">
        <w:trPr>
          <w:jc w:val="center"/>
        </w:trPr>
        <w:tc>
          <w:tcPr>
            <w:tcW w:w="4390" w:type="dxa"/>
            <w:shd w:val="clear" w:color="auto" w:fill="1F3864" w:themeFill="accent1" w:themeFillShade="80"/>
          </w:tcPr>
          <w:p w14:paraId="0CC18002" w14:textId="77777777" w:rsidR="00D73E49" w:rsidRPr="00917839" w:rsidRDefault="00D73E49" w:rsidP="00E8198B">
            <w:pPr>
              <w:rPr>
                <w:b/>
                <w:bCs/>
                <w:color w:val="FFFFFF" w:themeColor="background1"/>
              </w:rPr>
            </w:pPr>
            <w:r>
              <w:rPr>
                <w:b/>
                <w:bCs/>
                <w:color w:val="FFFFFF" w:themeColor="background1"/>
              </w:rPr>
              <w:t>Section</w:t>
            </w:r>
          </w:p>
        </w:tc>
        <w:tc>
          <w:tcPr>
            <w:tcW w:w="1417" w:type="dxa"/>
            <w:shd w:val="clear" w:color="auto" w:fill="1F3864" w:themeFill="accent1" w:themeFillShade="80"/>
          </w:tcPr>
          <w:p w14:paraId="7658951B" w14:textId="77777777" w:rsidR="00D73E49" w:rsidRPr="00917839" w:rsidRDefault="00D73E49" w:rsidP="00E8198B">
            <w:pPr>
              <w:rPr>
                <w:b/>
                <w:bCs/>
                <w:color w:val="FFFFFF" w:themeColor="background1"/>
              </w:rPr>
            </w:pPr>
            <w:r w:rsidRPr="00917839">
              <w:rPr>
                <w:b/>
                <w:bCs/>
                <w:color w:val="FFFFFF" w:themeColor="background1"/>
              </w:rPr>
              <w:t>Question</w:t>
            </w:r>
          </w:p>
        </w:tc>
        <w:tc>
          <w:tcPr>
            <w:tcW w:w="2126" w:type="dxa"/>
            <w:shd w:val="clear" w:color="auto" w:fill="1F3864" w:themeFill="accent1" w:themeFillShade="80"/>
          </w:tcPr>
          <w:p w14:paraId="71810145" w14:textId="77777777" w:rsidR="00D73E49" w:rsidRPr="00917839" w:rsidRDefault="00D73E49" w:rsidP="00E8198B">
            <w:pPr>
              <w:rPr>
                <w:b/>
                <w:bCs/>
                <w:color w:val="FFFFFF" w:themeColor="background1"/>
              </w:rPr>
            </w:pPr>
            <w:r w:rsidRPr="00917839">
              <w:rPr>
                <w:b/>
                <w:bCs/>
                <w:color w:val="FFFFFF" w:themeColor="background1"/>
              </w:rPr>
              <w:t>Weighting Allocation</w:t>
            </w:r>
          </w:p>
        </w:tc>
      </w:tr>
      <w:tr w:rsidR="00D73E49" w14:paraId="04CD1B84" w14:textId="77777777" w:rsidTr="00D73E49">
        <w:trPr>
          <w:jc w:val="center"/>
        </w:trPr>
        <w:tc>
          <w:tcPr>
            <w:tcW w:w="4390" w:type="dxa"/>
          </w:tcPr>
          <w:p w14:paraId="023B06FF" w14:textId="77777777" w:rsidR="00D73E49" w:rsidRDefault="00D73E49" w:rsidP="00E8198B">
            <w:pPr>
              <w:rPr>
                <w:b/>
              </w:rPr>
            </w:pPr>
          </w:p>
          <w:p w14:paraId="2D881052" w14:textId="77777777" w:rsidR="00D73E49" w:rsidRPr="004D0E42" w:rsidRDefault="00D73E49" w:rsidP="00E8198B">
            <w:pPr>
              <w:rPr>
                <w:b/>
              </w:rPr>
            </w:pPr>
            <w:r w:rsidRPr="004D0E42">
              <w:rPr>
                <w:b/>
              </w:rPr>
              <w:t>A - Organisation Details</w:t>
            </w:r>
          </w:p>
          <w:p w14:paraId="57E6EFA8" w14:textId="77777777" w:rsidR="00D73E49" w:rsidRPr="004D0E42" w:rsidRDefault="00D73E49" w:rsidP="00E8198B">
            <w:pPr>
              <w:rPr>
                <w:b/>
              </w:rPr>
            </w:pPr>
          </w:p>
        </w:tc>
        <w:tc>
          <w:tcPr>
            <w:tcW w:w="1417" w:type="dxa"/>
            <w:vAlign w:val="center"/>
          </w:tcPr>
          <w:p w14:paraId="75053F5F" w14:textId="77777777" w:rsidR="00D73E49" w:rsidRPr="004D0E42" w:rsidRDefault="00D73E49" w:rsidP="00AE6D79">
            <w:pPr>
              <w:pStyle w:val="NoSpacing"/>
              <w:jc w:val="center"/>
            </w:pPr>
            <w:r w:rsidRPr="004D0E42">
              <w:t>A</w:t>
            </w:r>
            <w:r>
              <w:t xml:space="preserve">ll </w:t>
            </w:r>
            <w:r w:rsidRPr="004D0E42">
              <w:t>questions</w:t>
            </w:r>
          </w:p>
        </w:tc>
        <w:tc>
          <w:tcPr>
            <w:tcW w:w="2126" w:type="dxa"/>
            <w:vAlign w:val="center"/>
          </w:tcPr>
          <w:p w14:paraId="79DBEAD6" w14:textId="77777777" w:rsidR="00D73E49" w:rsidRDefault="00D73E49" w:rsidP="00AE6D79">
            <w:pPr>
              <w:jc w:val="center"/>
            </w:pPr>
            <w:r>
              <w:t>Information only</w:t>
            </w:r>
          </w:p>
        </w:tc>
      </w:tr>
      <w:tr w:rsidR="00D73E49" w14:paraId="0CDA804E" w14:textId="77777777" w:rsidTr="00D73E49">
        <w:trPr>
          <w:jc w:val="center"/>
        </w:trPr>
        <w:tc>
          <w:tcPr>
            <w:tcW w:w="4390" w:type="dxa"/>
          </w:tcPr>
          <w:p w14:paraId="4BA54F86" w14:textId="77777777" w:rsidR="00D73E49" w:rsidRDefault="00D73E49" w:rsidP="00E8198B">
            <w:pPr>
              <w:rPr>
                <w:b/>
              </w:rPr>
            </w:pPr>
          </w:p>
          <w:p w14:paraId="1FE8A6D7" w14:textId="77777777" w:rsidR="00D73E49" w:rsidRPr="004D0E42" w:rsidRDefault="00D73E49" w:rsidP="00E8198B">
            <w:pPr>
              <w:rPr>
                <w:b/>
              </w:rPr>
            </w:pPr>
            <w:r w:rsidRPr="004D0E42">
              <w:rPr>
                <w:b/>
              </w:rPr>
              <w:t>B – Financial Information</w:t>
            </w:r>
          </w:p>
          <w:p w14:paraId="3B5553CF" w14:textId="77777777" w:rsidR="00D73E49" w:rsidRPr="004D0E42" w:rsidRDefault="00D73E49" w:rsidP="00E8198B">
            <w:pPr>
              <w:rPr>
                <w:b/>
              </w:rPr>
            </w:pPr>
          </w:p>
        </w:tc>
        <w:tc>
          <w:tcPr>
            <w:tcW w:w="1417" w:type="dxa"/>
          </w:tcPr>
          <w:p w14:paraId="537CED89" w14:textId="77777777" w:rsidR="00D73E49" w:rsidRDefault="00D73E49" w:rsidP="00E8198B">
            <w:pPr>
              <w:pStyle w:val="NoSpacing"/>
              <w:jc w:val="center"/>
            </w:pPr>
            <w:r>
              <w:t>B – 1.</w:t>
            </w:r>
          </w:p>
          <w:p w14:paraId="7AB18997" w14:textId="77777777" w:rsidR="00D73E49" w:rsidRDefault="00D73E49" w:rsidP="00E8198B">
            <w:pPr>
              <w:pStyle w:val="NoSpacing"/>
              <w:jc w:val="center"/>
            </w:pPr>
            <w:r>
              <w:t>B – 2.</w:t>
            </w:r>
          </w:p>
          <w:p w14:paraId="07F86A7B" w14:textId="77777777" w:rsidR="00D73E49" w:rsidRDefault="00D73E49" w:rsidP="00E8198B">
            <w:pPr>
              <w:pStyle w:val="NoSpacing"/>
              <w:jc w:val="center"/>
            </w:pPr>
            <w:r>
              <w:t>B – 3.</w:t>
            </w:r>
          </w:p>
          <w:p w14:paraId="6019B7A4" w14:textId="77777777" w:rsidR="00D73E49" w:rsidRDefault="00D73E49" w:rsidP="00E8198B">
            <w:pPr>
              <w:pStyle w:val="NoSpacing"/>
              <w:jc w:val="center"/>
            </w:pPr>
            <w:r>
              <w:t>B – 4.</w:t>
            </w:r>
          </w:p>
        </w:tc>
        <w:tc>
          <w:tcPr>
            <w:tcW w:w="2126" w:type="dxa"/>
          </w:tcPr>
          <w:p w14:paraId="2E60FEA3" w14:textId="77777777" w:rsidR="00D73E49" w:rsidRDefault="00D73E49" w:rsidP="00E8198B">
            <w:pPr>
              <w:jc w:val="center"/>
            </w:pPr>
            <w:r>
              <w:t>Pass/Fail</w:t>
            </w:r>
          </w:p>
          <w:p w14:paraId="5A158868" w14:textId="77777777" w:rsidR="00D73E49" w:rsidRDefault="00D73E49" w:rsidP="00E8198B">
            <w:pPr>
              <w:jc w:val="center"/>
            </w:pPr>
            <w:r>
              <w:t>Pass/Fail</w:t>
            </w:r>
          </w:p>
          <w:p w14:paraId="071EEBC8" w14:textId="77777777" w:rsidR="00D73E49" w:rsidRDefault="00D73E49" w:rsidP="00E8198B">
            <w:pPr>
              <w:jc w:val="center"/>
            </w:pPr>
            <w:r>
              <w:t>Pass/Fail</w:t>
            </w:r>
          </w:p>
          <w:p w14:paraId="4847FDA5" w14:textId="77777777" w:rsidR="00D73E49" w:rsidRDefault="00D73E49" w:rsidP="00E8198B">
            <w:pPr>
              <w:jc w:val="center"/>
            </w:pPr>
            <w:r>
              <w:t>Pass/Fail</w:t>
            </w:r>
          </w:p>
        </w:tc>
      </w:tr>
      <w:tr w:rsidR="00D73E49" w14:paraId="303D1075" w14:textId="77777777" w:rsidTr="00D73E49">
        <w:trPr>
          <w:jc w:val="center"/>
        </w:trPr>
        <w:tc>
          <w:tcPr>
            <w:tcW w:w="4390" w:type="dxa"/>
          </w:tcPr>
          <w:p w14:paraId="3578F040" w14:textId="77777777" w:rsidR="00D73E49" w:rsidRDefault="00D73E49" w:rsidP="00E8198B">
            <w:pPr>
              <w:rPr>
                <w:rFonts w:cstheme="minorHAnsi"/>
                <w:b/>
              </w:rPr>
            </w:pPr>
          </w:p>
          <w:p w14:paraId="7BA59EC3" w14:textId="77777777" w:rsidR="00D73E49" w:rsidRPr="004D0E42" w:rsidRDefault="00D73E49" w:rsidP="00E8198B">
            <w:pPr>
              <w:rPr>
                <w:rFonts w:cstheme="minorHAnsi"/>
                <w:b/>
              </w:rPr>
            </w:pPr>
            <w:r w:rsidRPr="004D0E42">
              <w:rPr>
                <w:rFonts w:cstheme="minorHAnsi"/>
                <w:b/>
              </w:rPr>
              <w:t>C- Quality Systems, Accreditations and Policies</w:t>
            </w:r>
          </w:p>
        </w:tc>
        <w:tc>
          <w:tcPr>
            <w:tcW w:w="1417" w:type="dxa"/>
          </w:tcPr>
          <w:p w14:paraId="1BC8A50A" w14:textId="77777777" w:rsidR="00D73E49" w:rsidRDefault="00D73E49" w:rsidP="00E8198B">
            <w:pPr>
              <w:pStyle w:val="NoSpacing"/>
              <w:jc w:val="center"/>
            </w:pPr>
            <w:r>
              <w:t>C – 1.</w:t>
            </w:r>
          </w:p>
          <w:p w14:paraId="7B703065" w14:textId="77777777" w:rsidR="00D73E49" w:rsidRPr="000025BF" w:rsidRDefault="00D73E49" w:rsidP="00E8198B">
            <w:pPr>
              <w:pStyle w:val="NoSpacing"/>
              <w:jc w:val="center"/>
            </w:pPr>
            <w:r w:rsidRPr="000025BF">
              <w:t>C – 2.</w:t>
            </w:r>
          </w:p>
          <w:p w14:paraId="19FD82A3" w14:textId="77777777" w:rsidR="00D73E49" w:rsidRPr="000025BF" w:rsidRDefault="00D73E49" w:rsidP="00E8198B">
            <w:pPr>
              <w:pStyle w:val="NoSpacing"/>
              <w:jc w:val="center"/>
            </w:pPr>
            <w:r w:rsidRPr="000025BF">
              <w:t>C – 3.</w:t>
            </w:r>
          </w:p>
          <w:p w14:paraId="2D896914" w14:textId="77777777" w:rsidR="00D73E49" w:rsidRDefault="00D73E49" w:rsidP="00E8198B">
            <w:pPr>
              <w:pStyle w:val="NoSpacing"/>
              <w:jc w:val="center"/>
            </w:pPr>
            <w:r>
              <w:t>C – 4.</w:t>
            </w:r>
          </w:p>
        </w:tc>
        <w:tc>
          <w:tcPr>
            <w:tcW w:w="2126" w:type="dxa"/>
          </w:tcPr>
          <w:p w14:paraId="461F14E8" w14:textId="77777777" w:rsidR="00D73E49" w:rsidRDefault="00D73E49" w:rsidP="00E8198B">
            <w:pPr>
              <w:jc w:val="center"/>
            </w:pPr>
            <w:r>
              <w:t>Pass/Fail</w:t>
            </w:r>
          </w:p>
          <w:p w14:paraId="3171D130" w14:textId="77777777" w:rsidR="00D73E49" w:rsidRPr="000025BF" w:rsidRDefault="00D73E49" w:rsidP="00E8198B">
            <w:pPr>
              <w:jc w:val="center"/>
            </w:pPr>
            <w:r w:rsidRPr="000025BF">
              <w:t>Pass/Fail</w:t>
            </w:r>
          </w:p>
          <w:p w14:paraId="32277EED" w14:textId="0D15BBD1" w:rsidR="00D73E49" w:rsidRDefault="00D73E49" w:rsidP="00E8198B">
            <w:pPr>
              <w:jc w:val="center"/>
            </w:pPr>
            <w:r w:rsidRPr="000025BF">
              <w:t>Information only</w:t>
            </w:r>
            <w:r>
              <w:t xml:space="preserve"> Pass/Fail</w:t>
            </w:r>
          </w:p>
        </w:tc>
      </w:tr>
      <w:tr w:rsidR="00D73E49" w14:paraId="689E4279" w14:textId="77777777" w:rsidTr="00D73E49">
        <w:trPr>
          <w:jc w:val="center"/>
        </w:trPr>
        <w:tc>
          <w:tcPr>
            <w:tcW w:w="4390" w:type="dxa"/>
          </w:tcPr>
          <w:p w14:paraId="31AD217C" w14:textId="77777777" w:rsidR="00D73E49" w:rsidRDefault="00D73E49" w:rsidP="00E8198B">
            <w:pPr>
              <w:rPr>
                <w:rFonts w:cstheme="minorHAnsi"/>
                <w:b/>
                <w:bCs/>
              </w:rPr>
            </w:pPr>
          </w:p>
          <w:p w14:paraId="59EA68BD" w14:textId="77777777" w:rsidR="00D73E49" w:rsidRPr="001A4891" w:rsidRDefault="00D73E49" w:rsidP="00E8198B">
            <w:pPr>
              <w:rPr>
                <w:rFonts w:cstheme="minorHAnsi"/>
                <w:b/>
                <w:bCs/>
              </w:rPr>
            </w:pPr>
            <w:r w:rsidRPr="001A4891">
              <w:rPr>
                <w:rFonts w:cstheme="minorHAnsi"/>
                <w:b/>
                <w:bCs/>
              </w:rPr>
              <w:t>D - Health and Safety</w:t>
            </w:r>
          </w:p>
          <w:p w14:paraId="10C0FA92" w14:textId="77777777" w:rsidR="00D73E49" w:rsidRPr="001A4891" w:rsidRDefault="00D73E49" w:rsidP="00E8198B">
            <w:pPr>
              <w:rPr>
                <w:rFonts w:cstheme="minorHAnsi"/>
                <w:b/>
                <w:bCs/>
              </w:rPr>
            </w:pPr>
          </w:p>
        </w:tc>
        <w:tc>
          <w:tcPr>
            <w:tcW w:w="1417" w:type="dxa"/>
          </w:tcPr>
          <w:p w14:paraId="565979B2" w14:textId="77777777" w:rsidR="00D73E49" w:rsidRDefault="00D73E49" w:rsidP="00E8198B">
            <w:pPr>
              <w:pStyle w:val="NoSpacing"/>
              <w:jc w:val="center"/>
            </w:pPr>
            <w:r>
              <w:t>D – 1.</w:t>
            </w:r>
          </w:p>
          <w:p w14:paraId="419E8685" w14:textId="77777777" w:rsidR="00D73E49" w:rsidRDefault="00D73E49" w:rsidP="00E8198B">
            <w:pPr>
              <w:pStyle w:val="NoSpacing"/>
              <w:jc w:val="center"/>
            </w:pPr>
            <w:r>
              <w:t>D – 2.</w:t>
            </w:r>
          </w:p>
          <w:p w14:paraId="799B6285" w14:textId="77777777" w:rsidR="00D73E49" w:rsidRDefault="00D73E49" w:rsidP="00E8198B">
            <w:pPr>
              <w:pStyle w:val="NoSpacing"/>
              <w:jc w:val="center"/>
            </w:pPr>
            <w:r>
              <w:t>D – 3.</w:t>
            </w:r>
          </w:p>
          <w:p w14:paraId="591F9016" w14:textId="77777777" w:rsidR="00D73E49" w:rsidRDefault="00D73E49" w:rsidP="00E8198B">
            <w:pPr>
              <w:pStyle w:val="NoSpacing"/>
              <w:jc w:val="center"/>
            </w:pPr>
            <w:r>
              <w:t>D – 4.</w:t>
            </w:r>
          </w:p>
          <w:p w14:paraId="2AE77AEE" w14:textId="77777777" w:rsidR="00D73E49" w:rsidRPr="00E56EEA" w:rsidRDefault="00D73E49" w:rsidP="00E8198B">
            <w:pPr>
              <w:pStyle w:val="NoSpacing"/>
              <w:jc w:val="center"/>
            </w:pPr>
            <w:r>
              <w:t>D – 5.</w:t>
            </w:r>
          </w:p>
        </w:tc>
        <w:tc>
          <w:tcPr>
            <w:tcW w:w="2126" w:type="dxa"/>
          </w:tcPr>
          <w:p w14:paraId="1159846C" w14:textId="77777777" w:rsidR="00D73E49" w:rsidRDefault="00D73E49" w:rsidP="00E8198B">
            <w:pPr>
              <w:jc w:val="center"/>
            </w:pPr>
            <w:r>
              <w:t>Pass/Fail</w:t>
            </w:r>
          </w:p>
          <w:p w14:paraId="3239EBB1" w14:textId="77777777" w:rsidR="00D73E49" w:rsidRDefault="00D73E49" w:rsidP="00E8198B">
            <w:pPr>
              <w:jc w:val="center"/>
            </w:pPr>
            <w:r>
              <w:t>Pass/Fail</w:t>
            </w:r>
          </w:p>
          <w:p w14:paraId="7313B193" w14:textId="77777777" w:rsidR="00D73E49" w:rsidRDefault="00D73E49" w:rsidP="00E8198B">
            <w:pPr>
              <w:jc w:val="center"/>
            </w:pPr>
            <w:r>
              <w:t>Pass/Fail</w:t>
            </w:r>
          </w:p>
          <w:p w14:paraId="55905128" w14:textId="77777777" w:rsidR="00D73E49" w:rsidRDefault="00D73E49" w:rsidP="00E8198B">
            <w:pPr>
              <w:jc w:val="center"/>
            </w:pPr>
            <w:r>
              <w:t>Pass/Fail</w:t>
            </w:r>
          </w:p>
          <w:p w14:paraId="1C865602" w14:textId="77777777" w:rsidR="00D73E49" w:rsidRDefault="00D73E49" w:rsidP="00E8198B">
            <w:pPr>
              <w:jc w:val="center"/>
            </w:pPr>
            <w:r>
              <w:t>Pass/Fail</w:t>
            </w:r>
          </w:p>
        </w:tc>
      </w:tr>
      <w:tr w:rsidR="00D73E49" w14:paraId="05155780" w14:textId="77777777" w:rsidTr="00D73E49">
        <w:trPr>
          <w:jc w:val="center"/>
        </w:trPr>
        <w:tc>
          <w:tcPr>
            <w:tcW w:w="4390" w:type="dxa"/>
          </w:tcPr>
          <w:p w14:paraId="1A68FB32" w14:textId="77777777" w:rsidR="00D73E49" w:rsidRPr="001A4891" w:rsidRDefault="00D73E49" w:rsidP="00E8198B">
            <w:pPr>
              <w:rPr>
                <w:rFonts w:cstheme="minorHAnsi"/>
                <w:b/>
              </w:rPr>
            </w:pPr>
            <w:r w:rsidRPr="001A4891">
              <w:rPr>
                <w:rFonts w:cstheme="minorHAnsi"/>
                <w:b/>
              </w:rPr>
              <w:t>E - Sustainability and Environment</w:t>
            </w:r>
          </w:p>
        </w:tc>
        <w:tc>
          <w:tcPr>
            <w:tcW w:w="1417" w:type="dxa"/>
          </w:tcPr>
          <w:p w14:paraId="48795B78" w14:textId="77777777" w:rsidR="00D73E49" w:rsidRDefault="00D73E49" w:rsidP="00E8198B">
            <w:pPr>
              <w:pStyle w:val="NoSpacing"/>
              <w:jc w:val="center"/>
            </w:pPr>
            <w:r>
              <w:t>E – 1.</w:t>
            </w:r>
          </w:p>
          <w:p w14:paraId="72B6EE2C" w14:textId="77777777" w:rsidR="00D73E49" w:rsidRDefault="00D73E49" w:rsidP="00E8198B">
            <w:pPr>
              <w:pStyle w:val="NoSpacing"/>
              <w:jc w:val="center"/>
            </w:pPr>
            <w:r>
              <w:t>E – 2.</w:t>
            </w:r>
          </w:p>
        </w:tc>
        <w:tc>
          <w:tcPr>
            <w:tcW w:w="2126" w:type="dxa"/>
          </w:tcPr>
          <w:p w14:paraId="1E742434" w14:textId="77777777" w:rsidR="00D73E49" w:rsidRDefault="00D73E49" w:rsidP="00E8198B">
            <w:pPr>
              <w:jc w:val="center"/>
            </w:pPr>
            <w:r>
              <w:t>Pass/Fail</w:t>
            </w:r>
          </w:p>
          <w:p w14:paraId="689DB428" w14:textId="77777777" w:rsidR="00D73E49" w:rsidRDefault="00D73E49" w:rsidP="00E8198B">
            <w:pPr>
              <w:jc w:val="center"/>
            </w:pPr>
            <w:r>
              <w:t>Pass/Fail</w:t>
            </w:r>
          </w:p>
        </w:tc>
      </w:tr>
      <w:tr w:rsidR="00D73E49" w14:paraId="2EB7ED88" w14:textId="77777777" w:rsidTr="00D73E49">
        <w:trPr>
          <w:jc w:val="center"/>
        </w:trPr>
        <w:tc>
          <w:tcPr>
            <w:tcW w:w="4390" w:type="dxa"/>
          </w:tcPr>
          <w:p w14:paraId="1ECA6B5F" w14:textId="77777777" w:rsidR="00D73E49" w:rsidRDefault="00D73E49" w:rsidP="00E8198B">
            <w:pPr>
              <w:rPr>
                <w:rFonts w:cstheme="minorHAnsi"/>
                <w:b/>
              </w:rPr>
            </w:pPr>
          </w:p>
          <w:p w14:paraId="5685D2E2" w14:textId="77777777" w:rsidR="00D73E49" w:rsidRPr="001A4891" w:rsidRDefault="00D73E49" w:rsidP="00E8198B">
            <w:pPr>
              <w:rPr>
                <w:rFonts w:cstheme="minorHAnsi"/>
                <w:b/>
              </w:rPr>
            </w:pPr>
            <w:r w:rsidRPr="001A4891">
              <w:rPr>
                <w:rFonts w:cstheme="minorHAnsi"/>
                <w:b/>
              </w:rPr>
              <w:lastRenderedPageBreak/>
              <w:t>F - Equal Opportunities and Modern Slavery</w:t>
            </w:r>
          </w:p>
          <w:p w14:paraId="66F80ADB" w14:textId="77777777" w:rsidR="00D73E49" w:rsidRPr="001A4891" w:rsidRDefault="00D73E49" w:rsidP="00E8198B">
            <w:pPr>
              <w:rPr>
                <w:rFonts w:cstheme="minorHAnsi"/>
                <w:b/>
              </w:rPr>
            </w:pPr>
          </w:p>
        </w:tc>
        <w:tc>
          <w:tcPr>
            <w:tcW w:w="1417" w:type="dxa"/>
          </w:tcPr>
          <w:p w14:paraId="54C55CD5" w14:textId="77777777" w:rsidR="00D73E49" w:rsidRDefault="00D73E49" w:rsidP="00E8198B">
            <w:pPr>
              <w:pStyle w:val="NoSpacing"/>
              <w:jc w:val="center"/>
            </w:pPr>
            <w:r>
              <w:lastRenderedPageBreak/>
              <w:t>F – 1.</w:t>
            </w:r>
          </w:p>
          <w:p w14:paraId="32873916" w14:textId="77777777" w:rsidR="00D73E49" w:rsidRDefault="00D73E49" w:rsidP="00E8198B">
            <w:pPr>
              <w:pStyle w:val="NoSpacing"/>
              <w:jc w:val="center"/>
            </w:pPr>
            <w:r>
              <w:lastRenderedPageBreak/>
              <w:t>F – 2.</w:t>
            </w:r>
          </w:p>
          <w:p w14:paraId="08A5D571" w14:textId="77777777" w:rsidR="00D73E49" w:rsidRDefault="00D73E49" w:rsidP="00E8198B">
            <w:pPr>
              <w:pStyle w:val="NoSpacing"/>
              <w:jc w:val="center"/>
            </w:pPr>
            <w:r>
              <w:t>F – 3.</w:t>
            </w:r>
          </w:p>
          <w:p w14:paraId="5CF9F85C" w14:textId="77777777" w:rsidR="00D73E49" w:rsidRDefault="00D73E49" w:rsidP="00E8198B">
            <w:pPr>
              <w:pStyle w:val="NoSpacing"/>
              <w:jc w:val="center"/>
            </w:pPr>
            <w:r>
              <w:t>F – 4.</w:t>
            </w:r>
          </w:p>
          <w:p w14:paraId="7CB9D6FB" w14:textId="77777777" w:rsidR="00D73E49" w:rsidRPr="00E56EEA" w:rsidRDefault="00D73E49" w:rsidP="00E8198B">
            <w:pPr>
              <w:pStyle w:val="NoSpacing"/>
              <w:jc w:val="center"/>
            </w:pPr>
            <w:r>
              <w:t>F – 5.</w:t>
            </w:r>
          </w:p>
        </w:tc>
        <w:tc>
          <w:tcPr>
            <w:tcW w:w="2126" w:type="dxa"/>
          </w:tcPr>
          <w:p w14:paraId="3BFEC436" w14:textId="77777777" w:rsidR="00D73E49" w:rsidRDefault="00D73E49" w:rsidP="00E8198B">
            <w:pPr>
              <w:jc w:val="center"/>
            </w:pPr>
            <w:r>
              <w:lastRenderedPageBreak/>
              <w:t>Pass/Fail</w:t>
            </w:r>
          </w:p>
          <w:p w14:paraId="37BA1379" w14:textId="77777777" w:rsidR="00D73E49" w:rsidRDefault="00D73E49" w:rsidP="00E8198B">
            <w:pPr>
              <w:jc w:val="center"/>
            </w:pPr>
            <w:r>
              <w:lastRenderedPageBreak/>
              <w:t>Pass/Fail</w:t>
            </w:r>
          </w:p>
          <w:p w14:paraId="5DEB10FA" w14:textId="66D39A0D" w:rsidR="00D73E49" w:rsidRDefault="00D73E49" w:rsidP="00E8198B">
            <w:pPr>
              <w:jc w:val="center"/>
            </w:pPr>
            <w:r>
              <w:t>Information only Pass/Fail</w:t>
            </w:r>
          </w:p>
          <w:p w14:paraId="1DF72E4C" w14:textId="77777777" w:rsidR="00D73E49" w:rsidRDefault="00D73E49" w:rsidP="00E8198B">
            <w:pPr>
              <w:jc w:val="center"/>
            </w:pPr>
            <w:r>
              <w:t>Pass/Fail</w:t>
            </w:r>
          </w:p>
        </w:tc>
      </w:tr>
    </w:tbl>
    <w:p w14:paraId="39D07266" w14:textId="23A2B6E0" w:rsidR="00AE6D79" w:rsidRPr="00AE1207" w:rsidRDefault="00494C31" w:rsidP="00494C31">
      <w:pPr>
        <w:jc w:val="right"/>
        <w:rPr>
          <w:rFonts w:eastAsiaTheme="majorEastAsia"/>
          <w:sz w:val="20"/>
          <w:szCs w:val="20"/>
        </w:rPr>
      </w:pPr>
      <w:r w:rsidRPr="00AE1207">
        <w:rPr>
          <w:rFonts w:eastAsiaTheme="majorEastAsia"/>
          <w:sz w:val="20"/>
          <w:szCs w:val="20"/>
        </w:rPr>
        <w:t xml:space="preserve">Table </w:t>
      </w:r>
      <w:r w:rsidR="00F108F4" w:rsidRPr="00AE1207">
        <w:rPr>
          <w:rFonts w:eastAsiaTheme="majorEastAsia"/>
          <w:sz w:val="20"/>
          <w:szCs w:val="20"/>
        </w:rPr>
        <w:t>3 - Foundation Questions</w:t>
      </w:r>
    </w:p>
    <w:p w14:paraId="4F8A8FEF" w14:textId="13DBD757" w:rsidR="009326EF" w:rsidRPr="00AE1207" w:rsidRDefault="00967402" w:rsidP="00612CBF">
      <w:pPr>
        <w:pStyle w:val="Heading2"/>
        <w:numPr>
          <w:ilvl w:val="1"/>
          <w:numId w:val="1"/>
        </w:numPr>
        <w:spacing w:line="360" w:lineRule="auto"/>
        <w:rPr>
          <w:color w:val="1F4E79" w:themeColor="accent5" w:themeShade="80"/>
        </w:rPr>
      </w:pPr>
      <w:bookmarkStart w:id="28" w:name="_Toc238369958"/>
      <w:r w:rsidRPr="7E950373">
        <w:rPr>
          <w:color w:val="1F4E79" w:themeColor="accent5" w:themeShade="80"/>
        </w:rPr>
        <w:t xml:space="preserve">Evaluation </w:t>
      </w:r>
      <w:r w:rsidR="00FD37F3" w:rsidRPr="7E950373">
        <w:rPr>
          <w:color w:val="1F4E79" w:themeColor="accent5" w:themeShade="80"/>
        </w:rPr>
        <w:t>Questions</w:t>
      </w:r>
      <w:bookmarkEnd w:id="28"/>
    </w:p>
    <w:p w14:paraId="52A8D56D" w14:textId="1973A978" w:rsidR="00B53547" w:rsidRPr="00AE1207" w:rsidRDefault="007F366B" w:rsidP="007F366B">
      <w:pPr>
        <w:rPr>
          <w:rFonts w:eastAsiaTheme="majorEastAsia"/>
        </w:rPr>
      </w:pPr>
      <w:r w:rsidRPr="00AE1207">
        <w:rPr>
          <w:rFonts w:eastAsiaTheme="majorEastAsia"/>
        </w:rPr>
        <w:t xml:space="preserve">As part of the evaluation process Barcud Shared Services </w:t>
      </w:r>
      <w:r w:rsidR="00B53547" w:rsidRPr="00AE1207">
        <w:rPr>
          <w:rFonts w:eastAsiaTheme="majorEastAsia"/>
        </w:rPr>
        <w:t xml:space="preserve">has established a set of qualitative </w:t>
      </w:r>
      <w:r w:rsidRPr="00AE1207">
        <w:rPr>
          <w:rFonts w:eastAsiaTheme="majorEastAsia"/>
        </w:rPr>
        <w:t xml:space="preserve">questions </w:t>
      </w:r>
      <w:r w:rsidR="00B53547" w:rsidRPr="00AE1207">
        <w:rPr>
          <w:rFonts w:eastAsiaTheme="majorEastAsia"/>
        </w:rPr>
        <w:t xml:space="preserve">that are </w:t>
      </w:r>
      <w:r w:rsidRPr="00AE1207">
        <w:rPr>
          <w:rFonts w:eastAsiaTheme="majorEastAsia"/>
        </w:rPr>
        <w:t>required to be completed</w:t>
      </w:r>
      <w:r w:rsidR="007D1D48" w:rsidRPr="00AE1207">
        <w:rPr>
          <w:rFonts w:eastAsiaTheme="majorEastAsia"/>
        </w:rPr>
        <w:t xml:space="preserve"> by all Tenderers</w:t>
      </w:r>
      <w:r w:rsidR="007D2922" w:rsidRPr="00AE1207">
        <w:rPr>
          <w:rFonts w:eastAsiaTheme="majorEastAsia"/>
        </w:rPr>
        <w:t>. These questions, listed in Table 4 - Evaluation Questions</w:t>
      </w:r>
      <w:r w:rsidR="007D1D48" w:rsidRPr="00AE1207">
        <w:rPr>
          <w:rFonts w:eastAsiaTheme="majorEastAsia"/>
        </w:rPr>
        <w:t>,</w:t>
      </w:r>
      <w:r w:rsidR="0007115C" w:rsidRPr="00AE1207">
        <w:rPr>
          <w:rFonts w:eastAsiaTheme="majorEastAsia"/>
        </w:rPr>
        <w:t xml:space="preserve"> will be used by the evaluation team to evaluate Tenderers criteria to </w:t>
      </w:r>
      <w:r w:rsidR="00E701A4" w:rsidRPr="00AE1207">
        <w:rPr>
          <w:rFonts w:eastAsiaTheme="majorEastAsia"/>
        </w:rPr>
        <w:t xml:space="preserve">deliver the Most Advantageous Tender. </w:t>
      </w:r>
      <w:r w:rsidR="007D1D48" w:rsidRPr="00AE1207">
        <w:rPr>
          <w:rFonts w:eastAsiaTheme="majorEastAsia"/>
        </w:rPr>
        <w:t xml:space="preserve"> </w:t>
      </w:r>
    </w:p>
    <w:p w14:paraId="01140BF5" w14:textId="7D820DE6" w:rsidR="00967402" w:rsidRPr="00AE1207" w:rsidRDefault="00157278" w:rsidP="00A05BA2">
      <w:pPr>
        <w:rPr>
          <w:rFonts w:eastAsiaTheme="majorEastAsia"/>
        </w:rPr>
      </w:pPr>
      <w:r w:rsidRPr="00AE1207">
        <w:rPr>
          <w:rFonts w:eastAsiaTheme="majorEastAsia"/>
        </w:rPr>
        <w:t xml:space="preserve">The Quality </w:t>
      </w:r>
      <w:r w:rsidR="00A23755" w:rsidRPr="00AE1207">
        <w:rPr>
          <w:rFonts w:eastAsiaTheme="majorEastAsia"/>
        </w:rPr>
        <w:t xml:space="preserve">weighting </w:t>
      </w:r>
      <w:r w:rsidR="008302C9" w:rsidRPr="00AE1207">
        <w:rPr>
          <w:rFonts w:eastAsiaTheme="majorEastAsia"/>
        </w:rPr>
        <w:t xml:space="preserve">of each question </w:t>
      </w:r>
      <w:r w:rsidR="00AB7D14" w:rsidRPr="00AE1207">
        <w:rPr>
          <w:rFonts w:eastAsiaTheme="majorEastAsia"/>
        </w:rPr>
        <w:t xml:space="preserve">has been stated in </w:t>
      </w:r>
      <w:r w:rsidR="008302C9" w:rsidRPr="00AE1207">
        <w:rPr>
          <w:rFonts w:eastAsiaTheme="majorEastAsia"/>
        </w:rPr>
        <w:t xml:space="preserve">Table 4 - </w:t>
      </w:r>
      <w:r w:rsidR="00090249" w:rsidRPr="00AE1207">
        <w:rPr>
          <w:rFonts w:eastAsiaTheme="majorEastAsia"/>
        </w:rPr>
        <w:t xml:space="preserve">Evaluation Questions, </w:t>
      </w:r>
      <w:r w:rsidR="00A23755" w:rsidRPr="00AE1207">
        <w:rPr>
          <w:rFonts w:eastAsiaTheme="majorEastAsia"/>
        </w:rPr>
        <w:t>Quality Weighting Allocation.</w:t>
      </w:r>
    </w:p>
    <w:tbl>
      <w:tblPr>
        <w:tblStyle w:val="TableGrid"/>
        <w:tblW w:w="0" w:type="auto"/>
        <w:jc w:val="center"/>
        <w:tblLayout w:type="fixed"/>
        <w:tblLook w:val="04A0" w:firstRow="1" w:lastRow="0" w:firstColumn="1" w:lastColumn="0" w:noHBand="0" w:noVBand="1"/>
      </w:tblPr>
      <w:tblGrid>
        <w:gridCol w:w="4395"/>
        <w:gridCol w:w="1417"/>
        <w:gridCol w:w="2127"/>
      </w:tblGrid>
      <w:tr w:rsidR="006A7581" w:rsidRPr="00AE1207" w14:paraId="76EC1B4B" w14:textId="77777777" w:rsidTr="2E407347">
        <w:trPr>
          <w:jc w:val="center"/>
        </w:trPr>
        <w:tc>
          <w:tcPr>
            <w:tcW w:w="4395" w:type="dxa"/>
            <w:shd w:val="clear" w:color="auto" w:fill="1F3864" w:themeFill="accent1" w:themeFillShade="80"/>
          </w:tcPr>
          <w:p w14:paraId="2C31E275" w14:textId="09C4F2A0" w:rsidR="006A7581" w:rsidRPr="00AE1207" w:rsidRDefault="006A7581" w:rsidP="006A7581">
            <w:pPr>
              <w:rPr>
                <w:b/>
                <w:bCs/>
                <w:color w:val="FFFFFF" w:themeColor="background1"/>
              </w:rPr>
            </w:pPr>
            <w:r w:rsidRPr="00AE1207">
              <w:rPr>
                <w:b/>
                <w:bCs/>
                <w:color w:val="FFFFFF" w:themeColor="background1"/>
              </w:rPr>
              <w:t>Section</w:t>
            </w:r>
          </w:p>
        </w:tc>
        <w:tc>
          <w:tcPr>
            <w:tcW w:w="1417" w:type="dxa"/>
            <w:shd w:val="clear" w:color="auto" w:fill="1F3864" w:themeFill="accent1" w:themeFillShade="80"/>
          </w:tcPr>
          <w:p w14:paraId="10C9602D" w14:textId="07151BC8" w:rsidR="006A7581" w:rsidRPr="00AE1207" w:rsidRDefault="006A7581" w:rsidP="006A7581">
            <w:pPr>
              <w:rPr>
                <w:b/>
                <w:bCs/>
                <w:color w:val="FFFFFF" w:themeColor="background1"/>
              </w:rPr>
            </w:pPr>
            <w:r w:rsidRPr="00AE1207">
              <w:rPr>
                <w:b/>
                <w:bCs/>
                <w:color w:val="FFFFFF" w:themeColor="background1"/>
              </w:rPr>
              <w:t>Question</w:t>
            </w:r>
          </w:p>
        </w:tc>
        <w:tc>
          <w:tcPr>
            <w:tcW w:w="2127" w:type="dxa"/>
            <w:shd w:val="clear" w:color="auto" w:fill="1F3864" w:themeFill="accent1" w:themeFillShade="80"/>
          </w:tcPr>
          <w:p w14:paraId="4CC9DB3A" w14:textId="1600B708" w:rsidR="006A7581" w:rsidRPr="00AE1207" w:rsidRDefault="006A7581" w:rsidP="006A7581">
            <w:pPr>
              <w:rPr>
                <w:b/>
                <w:bCs/>
                <w:color w:val="FFFFFF" w:themeColor="background1"/>
              </w:rPr>
            </w:pPr>
            <w:r w:rsidRPr="00AE1207">
              <w:rPr>
                <w:b/>
                <w:bCs/>
                <w:color w:val="FFFFFF" w:themeColor="background1"/>
              </w:rPr>
              <w:t>Total Weighting Allocation</w:t>
            </w:r>
          </w:p>
        </w:tc>
      </w:tr>
      <w:tr w:rsidR="006A7581" w:rsidRPr="00AE1207" w14:paraId="0E9C2420" w14:textId="77777777" w:rsidTr="2E407347">
        <w:trPr>
          <w:jc w:val="center"/>
        </w:trPr>
        <w:tc>
          <w:tcPr>
            <w:tcW w:w="4395" w:type="dxa"/>
            <w:vAlign w:val="center"/>
          </w:tcPr>
          <w:p w14:paraId="0976E6F4" w14:textId="55728439" w:rsidR="006A7581" w:rsidRPr="00AE1207" w:rsidRDefault="006A7581" w:rsidP="006A7581">
            <w:pPr>
              <w:rPr>
                <w:rFonts w:cstheme="minorHAnsi"/>
                <w:b/>
              </w:rPr>
            </w:pPr>
            <w:r w:rsidRPr="00E61EBE">
              <w:rPr>
                <w:rFonts w:cstheme="minorHAnsi"/>
                <w:b/>
              </w:rPr>
              <w:t>G – Community Benefits</w:t>
            </w:r>
          </w:p>
        </w:tc>
        <w:tc>
          <w:tcPr>
            <w:tcW w:w="1417" w:type="dxa"/>
          </w:tcPr>
          <w:p w14:paraId="3CB54930" w14:textId="77777777" w:rsidR="006A7581" w:rsidRPr="00E61EBE" w:rsidRDefault="006A7581" w:rsidP="006A7581">
            <w:pPr>
              <w:pStyle w:val="NoSpacing"/>
              <w:jc w:val="center"/>
              <w:rPr>
                <w:rFonts w:cstheme="minorHAnsi"/>
              </w:rPr>
            </w:pPr>
            <w:r w:rsidRPr="00E61EBE">
              <w:rPr>
                <w:rFonts w:cstheme="minorHAnsi"/>
              </w:rPr>
              <w:t>G – 1.</w:t>
            </w:r>
          </w:p>
          <w:p w14:paraId="11C58ABC" w14:textId="77777777" w:rsidR="006A7581" w:rsidRPr="00E61EBE" w:rsidRDefault="006A7581" w:rsidP="006A7581">
            <w:pPr>
              <w:pStyle w:val="NoSpacing"/>
              <w:jc w:val="center"/>
              <w:rPr>
                <w:rFonts w:cstheme="minorHAnsi"/>
              </w:rPr>
            </w:pPr>
            <w:r w:rsidRPr="00E61EBE">
              <w:rPr>
                <w:rFonts w:cstheme="minorHAnsi"/>
              </w:rPr>
              <w:t>G – 2.</w:t>
            </w:r>
          </w:p>
          <w:p w14:paraId="3186C588" w14:textId="62680F08" w:rsidR="006A7581" w:rsidRPr="00AE1207" w:rsidRDefault="006A7581" w:rsidP="006A7581">
            <w:pPr>
              <w:pStyle w:val="NoSpacing"/>
              <w:jc w:val="center"/>
            </w:pPr>
            <w:r w:rsidRPr="00E61EBE">
              <w:rPr>
                <w:rFonts w:cstheme="minorHAnsi"/>
              </w:rPr>
              <w:t>G – 3.</w:t>
            </w:r>
          </w:p>
        </w:tc>
        <w:tc>
          <w:tcPr>
            <w:tcW w:w="2127" w:type="dxa"/>
          </w:tcPr>
          <w:p w14:paraId="523655FB" w14:textId="77777777" w:rsidR="006A7581" w:rsidRPr="00E61EBE" w:rsidRDefault="006A7581" w:rsidP="006A7581">
            <w:pPr>
              <w:jc w:val="center"/>
            </w:pPr>
            <w:r w:rsidRPr="00E61EBE">
              <w:t>Pass/Fail</w:t>
            </w:r>
          </w:p>
          <w:p w14:paraId="098D685C" w14:textId="5D786EFF" w:rsidR="006A7581" w:rsidRPr="00E61EBE" w:rsidRDefault="00561881" w:rsidP="006A7581">
            <w:pPr>
              <w:jc w:val="center"/>
              <w:rPr>
                <w:b/>
                <w:bCs/>
              </w:rPr>
            </w:pPr>
            <w:r>
              <w:rPr>
                <w:b/>
                <w:bCs/>
              </w:rPr>
              <w:t>4</w:t>
            </w:r>
            <w:r w:rsidR="006A7581" w:rsidRPr="00E61EBE">
              <w:rPr>
                <w:b/>
                <w:bCs/>
              </w:rPr>
              <w:t>%</w:t>
            </w:r>
          </w:p>
          <w:p w14:paraId="3DFC2ECC" w14:textId="10E953A9" w:rsidR="006A7581" w:rsidRPr="00AE1207" w:rsidRDefault="006A7581" w:rsidP="006A7581">
            <w:pPr>
              <w:jc w:val="center"/>
              <w:rPr>
                <w:highlight w:val="yellow"/>
              </w:rPr>
            </w:pPr>
            <w:r w:rsidRPr="00E61EBE">
              <w:t>Pass/Fail</w:t>
            </w:r>
          </w:p>
        </w:tc>
      </w:tr>
      <w:tr w:rsidR="006A7581" w:rsidRPr="00AE1207" w14:paraId="40CAEEFC" w14:textId="77777777" w:rsidTr="2E407347">
        <w:trPr>
          <w:jc w:val="center"/>
        </w:trPr>
        <w:tc>
          <w:tcPr>
            <w:tcW w:w="4395" w:type="dxa"/>
          </w:tcPr>
          <w:p w14:paraId="623B43BF" w14:textId="77777777" w:rsidR="006A7581" w:rsidRPr="00E61EBE" w:rsidRDefault="006A7581" w:rsidP="006A7581">
            <w:pPr>
              <w:rPr>
                <w:rFonts w:cstheme="minorHAnsi"/>
                <w:b/>
              </w:rPr>
            </w:pPr>
          </w:p>
          <w:p w14:paraId="16A2EFEC" w14:textId="77777777" w:rsidR="006A7581" w:rsidRPr="00E61EBE" w:rsidRDefault="006A7581" w:rsidP="006A7581">
            <w:pPr>
              <w:rPr>
                <w:rFonts w:cstheme="minorHAnsi"/>
                <w:b/>
              </w:rPr>
            </w:pPr>
            <w:r w:rsidRPr="00E61EBE">
              <w:rPr>
                <w:rFonts w:cstheme="minorHAnsi"/>
                <w:b/>
              </w:rPr>
              <w:t>H – Previous Experience</w:t>
            </w:r>
          </w:p>
          <w:p w14:paraId="0D4CDB4E" w14:textId="77777777" w:rsidR="006A7581" w:rsidRPr="00AE1207" w:rsidRDefault="006A7581" w:rsidP="006A7581">
            <w:pPr>
              <w:rPr>
                <w:rFonts w:cstheme="minorHAnsi"/>
                <w:b/>
              </w:rPr>
            </w:pPr>
          </w:p>
        </w:tc>
        <w:tc>
          <w:tcPr>
            <w:tcW w:w="1417" w:type="dxa"/>
          </w:tcPr>
          <w:p w14:paraId="0303D42B" w14:textId="77777777" w:rsidR="006A7581" w:rsidRPr="00E61EBE" w:rsidRDefault="006A7581" w:rsidP="006A7581">
            <w:pPr>
              <w:pStyle w:val="NoSpacing"/>
              <w:jc w:val="center"/>
            </w:pPr>
            <w:r w:rsidRPr="00E61EBE">
              <w:t>H – 1.</w:t>
            </w:r>
          </w:p>
          <w:p w14:paraId="44EF2281" w14:textId="77777777" w:rsidR="006A7581" w:rsidRPr="00E61EBE" w:rsidRDefault="006A7581" w:rsidP="006A7581">
            <w:pPr>
              <w:pStyle w:val="NoSpacing"/>
              <w:jc w:val="center"/>
            </w:pPr>
            <w:r w:rsidRPr="00E61EBE">
              <w:t>H – 2.</w:t>
            </w:r>
          </w:p>
          <w:p w14:paraId="29BFA19F" w14:textId="250B8124" w:rsidR="006A7581" w:rsidRPr="00AE1207" w:rsidRDefault="006A7581" w:rsidP="006A7581">
            <w:pPr>
              <w:pStyle w:val="NoSpacing"/>
              <w:jc w:val="center"/>
            </w:pPr>
            <w:r w:rsidRPr="00E61EBE">
              <w:t>H– 3.</w:t>
            </w:r>
          </w:p>
        </w:tc>
        <w:tc>
          <w:tcPr>
            <w:tcW w:w="2127" w:type="dxa"/>
          </w:tcPr>
          <w:p w14:paraId="73C6778A" w14:textId="77777777" w:rsidR="006A7581" w:rsidRPr="00E61EBE" w:rsidRDefault="006A7581" w:rsidP="006A7581">
            <w:pPr>
              <w:jc w:val="center"/>
              <w:rPr>
                <w:b/>
                <w:bCs/>
              </w:rPr>
            </w:pPr>
            <w:r w:rsidRPr="00E61EBE">
              <w:rPr>
                <w:b/>
                <w:bCs/>
              </w:rPr>
              <w:t>4%</w:t>
            </w:r>
          </w:p>
          <w:p w14:paraId="1FE4DF12" w14:textId="77777777" w:rsidR="006A7581" w:rsidRPr="00E61EBE" w:rsidRDefault="006A7581" w:rsidP="006A7581">
            <w:pPr>
              <w:jc w:val="center"/>
              <w:rPr>
                <w:b/>
                <w:bCs/>
              </w:rPr>
            </w:pPr>
            <w:r w:rsidRPr="00E61EBE">
              <w:rPr>
                <w:b/>
                <w:bCs/>
              </w:rPr>
              <w:t>4%</w:t>
            </w:r>
          </w:p>
          <w:p w14:paraId="3AB159B3" w14:textId="2A4E8BC8" w:rsidR="006A7581" w:rsidRPr="00AE1207" w:rsidRDefault="006A7581" w:rsidP="006A7581">
            <w:pPr>
              <w:jc w:val="center"/>
              <w:rPr>
                <w:b/>
                <w:highlight w:val="yellow"/>
              </w:rPr>
            </w:pPr>
            <w:r w:rsidRPr="00E61EBE">
              <w:rPr>
                <w:b/>
                <w:bCs/>
              </w:rPr>
              <w:t>4%</w:t>
            </w:r>
          </w:p>
        </w:tc>
      </w:tr>
      <w:tr w:rsidR="006A7581" w:rsidRPr="00AE1207" w14:paraId="4CFE0D95" w14:textId="77777777" w:rsidTr="2E407347">
        <w:trPr>
          <w:jc w:val="center"/>
        </w:trPr>
        <w:tc>
          <w:tcPr>
            <w:tcW w:w="4395" w:type="dxa"/>
            <w:tcBorders>
              <w:bottom w:val="single" w:sz="4" w:space="0" w:color="auto"/>
            </w:tcBorders>
          </w:tcPr>
          <w:p w14:paraId="42EBADBB" w14:textId="245DC6C4" w:rsidR="006A7581" w:rsidRPr="00AE1207" w:rsidRDefault="006A7581" w:rsidP="006A7581">
            <w:pPr>
              <w:rPr>
                <w:rFonts w:cstheme="minorHAnsi"/>
                <w:b/>
              </w:rPr>
            </w:pPr>
            <w:r w:rsidRPr="00E61EBE">
              <w:rPr>
                <w:rFonts w:cstheme="minorHAnsi"/>
                <w:b/>
              </w:rPr>
              <w:t>I – Contract Delivery</w:t>
            </w:r>
          </w:p>
        </w:tc>
        <w:tc>
          <w:tcPr>
            <w:tcW w:w="1417" w:type="dxa"/>
          </w:tcPr>
          <w:p w14:paraId="69BC9DFE" w14:textId="3B23624C" w:rsidR="006A7581" w:rsidRPr="00AE1207" w:rsidRDefault="006A7581" w:rsidP="006A7581">
            <w:pPr>
              <w:pStyle w:val="NoSpacing"/>
              <w:jc w:val="center"/>
            </w:pPr>
            <w:r w:rsidRPr="00E61EBE">
              <w:t>I – 1.</w:t>
            </w:r>
          </w:p>
        </w:tc>
        <w:tc>
          <w:tcPr>
            <w:tcW w:w="2127" w:type="dxa"/>
            <w:vAlign w:val="center"/>
          </w:tcPr>
          <w:p w14:paraId="66830FB2" w14:textId="3730730E" w:rsidR="006A7581" w:rsidRPr="00AE1207" w:rsidRDefault="006A7581" w:rsidP="006A7581">
            <w:pPr>
              <w:jc w:val="center"/>
              <w:rPr>
                <w:b/>
                <w:highlight w:val="yellow"/>
              </w:rPr>
            </w:pPr>
            <w:r w:rsidRPr="00E61EBE">
              <w:rPr>
                <w:b/>
                <w:bCs/>
              </w:rPr>
              <w:t>8%</w:t>
            </w:r>
          </w:p>
        </w:tc>
      </w:tr>
      <w:tr w:rsidR="006A7581" w:rsidRPr="00AE1207" w14:paraId="123BE41A" w14:textId="77777777" w:rsidTr="2E407347">
        <w:trPr>
          <w:jc w:val="center"/>
        </w:trPr>
        <w:tc>
          <w:tcPr>
            <w:tcW w:w="4395" w:type="dxa"/>
            <w:tcBorders>
              <w:bottom w:val="single" w:sz="4" w:space="0" w:color="auto"/>
            </w:tcBorders>
          </w:tcPr>
          <w:p w14:paraId="303230E0" w14:textId="0D509839" w:rsidR="006A7581" w:rsidRPr="00B1340C" w:rsidRDefault="006A7581" w:rsidP="006A7581">
            <w:pPr>
              <w:rPr>
                <w:rFonts w:cstheme="minorHAnsi"/>
                <w:b/>
              </w:rPr>
            </w:pPr>
            <w:r w:rsidRPr="00E61EBE">
              <w:rPr>
                <w:rFonts w:cstheme="minorHAnsi"/>
                <w:b/>
              </w:rPr>
              <w:t xml:space="preserve">J – Health, Safety and Site Management </w:t>
            </w:r>
          </w:p>
        </w:tc>
        <w:tc>
          <w:tcPr>
            <w:tcW w:w="1417" w:type="dxa"/>
          </w:tcPr>
          <w:p w14:paraId="1089C0C4" w14:textId="766A7023" w:rsidR="006A7581" w:rsidRPr="000A17D3" w:rsidRDefault="006A7581" w:rsidP="006A7581">
            <w:pPr>
              <w:pStyle w:val="NoSpacing"/>
              <w:jc w:val="center"/>
              <w:rPr>
                <w:highlight w:val="yellow"/>
              </w:rPr>
            </w:pPr>
            <w:r w:rsidRPr="00E61EBE">
              <w:t>J – 1.</w:t>
            </w:r>
          </w:p>
        </w:tc>
        <w:tc>
          <w:tcPr>
            <w:tcW w:w="2127" w:type="dxa"/>
            <w:vAlign w:val="center"/>
          </w:tcPr>
          <w:p w14:paraId="2ADA42A8" w14:textId="454EF338" w:rsidR="006A7581" w:rsidRPr="00AE1207" w:rsidRDefault="006A7581" w:rsidP="006A7581">
            <w:pPr>
              <w:jc w:val="center"/>
              <w:rPr>
                <w:b/>
                <w:highlight w:val="yellow"/>
              </w:rPr>
            </w:pPr>
            <w:r w:rsidRPr="00E61EBE">
              <w:rPr>
                <w:b/>
              </w:rPr>
              <w:t>8%</w:t>
            </w:r>
          </w:p>
        </w:tc>
      </w:tr>
      <w:tr w:rsidR="006A7581" w:rsidRPr="00AE1207" w14:paraId="4972B85B" w14:textId="77777777" w:rsidTr="00A1431C">
        <w:trPr>
          <w:jc w:val="center"/>
        </w:trPr>
        <w:tc>
          <w:tcPr>
            <w:tcW w:w="4395" w:type="dxa"/>
            <w:tcBorders>
              <w:left w:val="single" w:sz="4" w:space="0" w:color="BFBFBF" w:themeColor="background1" w:themeShade="BF"/>
            </w:tcBorders>
          </w:tcPr>
          <w:p w14:paraId="495BF8E0" w14:textId="00D59047" w:rsidR="006A7581" w:rsidRPr="00AE1207" w:rsidRDefault="006A7581" w:rsidP="006A7581">
            <w:pPr>
              <w:rPr>
                <w:rFonts w:cstheme="minorHAnsi"/>
                <w:b/>
              </w:rPr>
            </w:pPr>
            <w:r w:rsidRPr="00E61EBE">
              <w:rPr>
                <w:rFonts w:cstheme="minorHAnsi"/>
                <w:b/>
              </w:rPr>
              <w:t>K – Quality Assurance</w:t>
            </w:r>
          </w:p>
        </w:tc>
        <w:tc>
          <w:tcPr>
            <w:tcW w:w="1417" w:type="dxa"/>
          </w:tcPr>
          <w:p w14:paraId="68678ADB" w14:textId="2A940999" w:rsidR="006A7581" w:rsidRPr="00AE1207" w:rsidRDefault="006A7581" w:rsidP="006A7581">
            <w:pPr>
              <w:jc w:val="center"/>
              <w:rPr>
                <w:rFonts w:cstheme="minorHAnsi"/>
                <w:b/>
                <w:bCs/>
              </w:rPr>
            </w:pPr>
            <w:r w:rsidRPr="00E61EBE">
              <w:t xml:space="preserve">K- 1. </w:t>
            </w:r>
          </w:p>
        </w:tc>
        <w:tc>
          <w:tcPr>
            <w:tcW w:w="2127" w:type="dxa"/>
            <w:vAlign w:val="center"/>
          </w:tcPr>
          <w:p w14:paraId="24115EE8" w14:textId="3351B1D4" w:rsidR="006A7581" w:rsidRPr="00AE1207" w:rsidRDefault="006A7581" w:rsidP="006A7581">
            <w:pPr>
              <w:jc w:val="center"/>
              <w:rPr>
                <w:b/>
                <w:highlight w:val="yellow"/>
              </w:rPr>
            </w:pPr>
            <w:r w:rsidRPr="00E61EBE">
              <w:rPr>
                <w:b/>
                <w:bCs/>
              </w:rPr>
              <w:t>8%</w:t>
            </w:r>
          </w:p>
        </w:tc>
      </w:tr>
      <w:tr w:rsidR="00A1431C" w:rsidRPr="00AE1207" w14:paraId="23EB50BD" w14:textId="77777777" w:rsidTr="006A3B6E">
        <w:trPr>
          <w:jc w:val="center"/>
        </w:trPr>
        <w:tc>
          <w:tcPr>
            <w:tcW w:w="4395" w:type="dxa"/>
            <w:tcBorders>
              <w:left w:val="single" w:sz="4" w:space="0" w:color="BFBFBF" w:themeColor="background1" w:themeShade="BF"/>
              <w:bottom w:val="single" w:sz="4" w:space="0" w:color="BFBFBF" w:themeColor="background1" w:themeShade="BF"/>
            </w:tcBorders>
          </w:tcPr>
          <w:p w14:paraId="55C35C42" w14:textId="77777777" w:rsidR="00A1431C" w:rsidRPr="00E61EBE" w:rsidRDefault="00A1431C" w:rsidP="006A7581">
            <w:pPr>
              <w:rPr>
                <w:rFonts w:cstheme="minorHAnsi"/>
                <w:b/>
              </w:rPr>
            </w:pPr>
          </w:p>
        </w:tc>
        <w:tc>
          <w:tcPr>
            <w:tcW w:w="1417" w:type="dxa"/>
          </w:tcPr>
          <w:p w14:paraId="42B7247F" w14:textId="69052502" w:rsidR="00A1431C" w:rsidRPr="00A1431C" w:rsidRDefault="00A1431C" w:rsidP="006A7581">
            <w:pPr>
              <w:jc w:val="center"/>
              <w:rPr>
                <w:b/>
                <w:bCs/>
              </w:rPr>
            </w:pPr>
            <w:r w:rsidRPr="00A1431C">
              <w:rPr>
                <w:b/>
                <w:bCs/>
              </w:rPr>
              <w:t>Total</w:t>
            </w:r>
          </w:p>
        </w:tc>
        <w:tc>
          <w:tcPr>
            <w:tcW w:w="2127" w:type="dxa"/>
            <w:vAlign w:val="center"/>
          </w:tcPr>
          <w:p w14:paraId="06FFF1C9" w14:textId="724F251F" w:rsidR="00A1431C" w:rsidRPr="00A1431C" w:rsidRDefault="00A1431C" w:rsidP="006A7581">
            <w:pPr>
              <w:jc w:val="center"/>
              <w:rPr>
                <w:b/>
                <w:bCs/>
              </w:rPr>
            </w:pPr>
            <w:r w:rsidRPr="00A1431C">
              <w:rPr>
                <w:b/>
                <w:bCs/>
              </w:rPr>
              <w:t>40%</w:t>
            </w:r>
          </w:p>
        </w:tc>
      </w:tr>
    </w:tbl>
    <w:p w14:paraId="28CA8677" w14:textId="136A07B9" w:rsidR="00967402" w:rsidRPr="00AE1207" w:rsidRDefault="00947AEE" w:rsidP="00A23755">
      <w:pPr>
        <w:jc w:val="right"/>
        <w:rPr>
          <w:rFonts w:eastAsiaTheme="majorEastAsia"/>
          <w:sz w:val="20"/>
          <w:szCs w:val="20"/>
        </w:rPr>
      </w:pPr>
      <w:r w:rsidRPr="00AE1207">
        <w:rPr>
          <w:rFonts w:eastAsiaTheme="majorEastAsia"/>
          <w:sz w:val="20"/>
          <w:szCs w:val="20"/>
        </w:rPr>
        <w:t>Table 4 - Evaluation Questions</w:t>
      </w:r>
    </w:p>
    <w:p w14:paraId="56C23611" w14:textId="3E49BEB3" w:rsidR="00366023" w:rsidRPr="00AE1207" w:rsidRDefault="00281861" w:rsidP="00612CBF">
      <w:pPr>
        <w:pStyle w:val="Heading2"/>
        <w:numPr>
          <w:ilvl w:val="1"/>
          <w:numId w:val="1"/>
        </w:numPr>
        <w:spacing w:line="360" w:lineRule="auto"/>
        <w:rPr>
          <w:color w:val="1F4E79" w:themeColor="accent5" w:themeShade="80"/>
        </w:rPr>
      </w:pPr>
      <w:bookmarkStart w:id="29" w:name="_Toc722400447"/>
      <w:r w:rsidRPr="7E950373">
        <w:rPr>
          <w:color w:val="1F4E79" w:themeColor="accent5" w:themeShade="80"/>
        </w:rPr>
        <w:t>Tender Evaluation Process</w:t>
      </w:r>
      <w:bookmarkEnd w:id="29"/>
    </w:p>
    <w:p w14:paraId="5D84970F" w14:textId="61409F6B" w:rsidR="0033390E" w:rsidRPr="00AE1207" w:rsidRDefault="0033390E" w:rsidP="0033390E">
      <w:pPr>
        <w:rPr>
          <w:rFonts w:eastAsiaTheme="majorEastAsia"/>
        </w:rPr>
      </w:pPr>
      <w:r w:rsidRPr="00AE1207">
        <w:rPr>
          <w:rFonts w:eastAsiaTheme="majorEastAsia"/>
        </w:rPr>
        <w:t xml:space="preserve">The submitted Tenders will be subject to a </w:t>
      </w:r>
      <w:r w:rsidR="00D865ED" w:rsidRPr="00AE1207">
        <w:rPr>
          <w:rFonts w:eastAsiaTheme="majorEastAsia"/>
        </w:rPr>
        <w:t>three</w:t>
      </w:r>
      <w:r w:rsidRPr="00AE1207">
        <w:rPr>
          <w:rFonts w:eastAsiaTheme="majorEastAsia"/>
        </w:rPr>
        <w:t>-part evaluation process at Tender Evaluation Stage.</w:t>
      </w:r>
    </w:p>
    <w:p w14:paraId="3F19A69A" w14:textId="77777777" w:rsidR="002A43DA" w:rsidRPr="00AE1207" w:rsidRDefault="002A43DA" w:rsidP="00612CBF">
      <w:pPr>
        <w:pStyle w:val="Heading3"/>
        <w:numPr>
          <w:ilvl w:val="2"/>
          <w:numId w:val="1"/>
        </w:numPr>
        <w:spacing w:line="360" w:lineRule="auto"/>
        <w:rPr>
          <w:color w:val="1F4E79" w:themeColor="accent5" w:themeShade="80"/>
        </w:rPr>
      </w:pPr>
      <w:bookmarkStart w:id="30" w:name="_Toc110167895"/>
      <w:r w:rsidRPr="7E950373">
        <w:rPr>
          <w:color w:val="1F4E79" w:themeColor="accent5" w:themeShade="80"/>
        </w:rPr>
        <w:t>Part One – Initial Screening Assessment</w:t>
      </w:r>
      <w:bookmarkEnd w:id="30"/>
    </w:p>
    <w:p w14:paraId="29929298" w14:textId="77777777" w:rsidR="00B464C9" w:rsidRPr="00AE1207" w:rsidRDefault="00B464C9" w:rsidP="00B464C9">
      <w:pPr>
        <w:ind w:left="720"/>
        <w:rPr>
          <w:rFonts w:eastAsiaTheme="majorEastAsia"/>
        </w:rPr>
      </w:pPr>
      <w:r w:rsidRPr="00AE1207">
        <w:rPr>
          <w:rFonts w:eastAsiaTheme="majorEastAsia"/>
        </w:rPr>
        <w:t>Tenders will be subject to an initial screening assessment to confirm:</w:t>
      </w:r>
    </w:p>
    <w:p w14:paraId="050DBAEF" w14:textId="0B7F60E6" w:rsidR="00B464C9" w:rsidRPr="00AE1207" w:rsidRDefault="00B464C9" w:rsidP="00B464C9">
      <w:pPr>
        <w:pStyle w:val="ListParagraph"/>
        <w:numPr>
          <w:ilvl w:val="0"/>
          <w:numId w:val="8"/>
        </w:numPr>
        <w:rPr>
          <w:rFonts w:eastAsiaTheme="majorEastAsia"/>
        </w:rPr>
      </w:pPr>
      <w:r w:rsidRPr="00AE1207">
        <w:rPr>
          <w:rFonts w:eastAsiaTheme="majorEastAsia"/>
        </w:rPr>
        <w:t xml:space="preserve">the Tender has been submitted on time, is completed correctly, is materially complete and meets the requirements of the invitation </w:t>
      </w:r>
      <w:proofErr w:type="gramStart"/>
      <w:r w:rsidRPr="00AE1207">
        <w:rPr>
          <w:rFonts w:eastAsiaTheme="majorEastAsia"/>
        </w:rPr>
        <w:t>documents;</w:t>
      </w:r>
      <w:proofErr w:type="gramEnd"/>
    </w:p>
    <w:p w14:paraId="7AC904EA" w14:textId="1DF5BE76" w:rsidR="00B464C9" w:rsidRPr="00AE1207" w:rsidRDefault="00B464C9" w:rsidP="00B464C9">
      <w:pPr>
        <w:pStyle w:val="ListParagraph"/>
        <w:numPr>
          <w:ilvl w:val="0"/>
          <w:numId w:val="8"/>
        </w:numPr>
        <w:rPr>
          <w:rFonts w:eastAsiaTheme="majorEastAsia"/>
        </w:rPr>
      </w:pPr>
      <w:r w:rsidRPr="00AE1207">
        <w:rPr>
          <w:rFonts w:eastAsiaTheme="majorEastAsia"/>
        </w:rPr>
        <w:t>the Tender is sufficiently complete to enable it to be evaluated in accordance with the tender specification; and</w:t>
      </w:r>
    </w:p>
    <w:p w14:paraId="3226D13F" w14:textId="289C17F6" w:rsidR="002A43DA" w:rsidRPr="00AE1207" w:rsidRDefault="00B464C9" w:rsidP="00B464C9">
      <w:pPr>
        <w:pStyle w:val="ListParagraph"/>
        <w:numPr>
          <w:ilvl w:val="0"/>
          <w:numId w:val="8"/>
        </w:numPr>
        <w:rPr>
          <w:rFonts w:eastAsiaTheme="majorEastAsia"/>
        </w:rPr>
      </w:pPr>
      <w:r w:rsidRPr="00AE1207">
        <w:rPr>
          <w:rFonts w:eastAsiaTheme="majorEastAsia"/>
        </w:rPr>
        <w:t>The Tenderer has not contravened any of their terms and conditions of the tender process.</w:t>
      </w:r>
    </w:p>
    <w:p w14:paraId="553DA567" w14:textId="77777777" w:rsidR="00B464C9" w:rsidRPr="00AE1207" w:rsidRDefault="00B464C9" w:rsidP="00B464C9">
      <w:pPr>
        <w:pStyle w:val="ListParagraph"/>
        <w:ind w:left="1440"/>
        <w:rPr>
          <w:rFonts w:eastAsiaTheme="majorEastAsia"/>
        </w:rPr>
      </w:pPr>
    </w:p>
    <w:p w14:paraId="23B0C9BF" w14:textId="77777777" w:rsidR="00C71148" w:rsidRPr="00AE1207" w:rsidRDefault="00C71148" w:rsidP="00612CBF">
      <w:pPr>
        <w:pStyle w:val="Heading3"/>
        <w:numPr>
          <w:ilvl w:val="2"/>
          <w:numId w:val="1"/>
        </w:numPr>
        <w:spacing w:line="360" w:lineRule="auto"/>
        <w:rPr>
          <w:color w:val="1F4E79" w:themeColor="accent5" w:themeShade="80"/>
        </w:rPr>
      </w:pPr>
      <w:bookmarkStart w:id="31" w:name="_Toc1462591160"/>
      <w:r w:rsidRPr="7E950373">
        <w:rPr>
          <w:color w:val="1F4E79" w:themeColor="accent5" w:themeShade="80"/>
        </w:rPr>
        <w:t>Part Two – Qualification Pass/Fail Questions</w:t>
      </w:r>
      <w:bookmarkEnd w:id="31"/>
    </w:p>
    <w:p w14:paraId="56E5CAB6" w14:textId="7C5E6A9E" w:rsidR="0099235D" w:rsidRPr="00AE1207" w:rsidRDefault="0099235D" w:rsidP="0099235D">
      <w:pPr>
        <w:ind w:left="720"/>
        <w:rPr>
          <w:rFonts w:eastAsiaTheme="majorEastAsia"/>
        </w:rPr>
      </w:pPr>
      <w:r w:rsidRPr="00AE1207">
        <w:rPr>
          <w:rFonts w:eastAsiaTheme="majorEastAsia"/>
        </w:rPr>
        <w:t xml:space="preserve">If a Tenderer fails on any of the Qualification ‘Pass/Fail’ questions as set out in Table </w:t>
      </w:r>
      <w:r w:rsidR="00E65C6E" w:rsidRPr="00AE1207">
        <w:rPr>
          <w:rFonts w:eastAsiaTheme="majorEastAsia"/>
        </w:rPr>
        <w:t>3</w:t>
      </w:r>
      <w:r w:rsidR="00090249" w:rsidRPr="00AE1207">
        <w:rPr>
          <w:rFonts w:eastAsiaTheme="majorEastAsia"/>
        </w:rPr>
        <w:t xml:space="preserve"> - Foundation Questions</w:t>
      </w:r>
      <w:r w:rsidRPr="00AE1207">
        <w:rPr>
          <w:rFonts w:eastAsiaTheme="majorEastAsia"/>
        </w:rPr>
        <w:t xml:space="preserve">, </w:t>
      </w:r>
      <w:r w:rsidR="00CD0C1B" w:rsidRPr="00AE1207">
        <w:rPr>
          <w:rFonts w:eastAsiaTheme="majorEastAsia"/>
        </w:rPr>
        <w:t xml:space="preserve">Barcud Shared Services </w:t>
      </w:r>
      <w:r w:rsidRPr="00AE1207">
        <w:rPr>
          <w:rFonts w:eastAsiaTheme="majorEastAsia"/>
        </w:rPr>
        <w:t xml:space="preserve">will disqualify the Tenderer at this stage and </w:t>
      </w:r>
      <w:r w:rsidRPr="00AE1207">
        <w:rPr>
          <w:rFonts w:eastAsiaTheme="majorEastAsia"/>
        </w:rPr>
        <w:lastRenderedPageBreak/>
        <w:t xml:space="preserve">will not proceed to evaluate the Quality or Price submission. </w:t>
      </w:r>
      <w:r w:rsidR="00CD0C1B" w:rsidRPr="00AE1207">
        <w:rPr>
          <w:rFonts w:eastAsiaTheme="majorEastAsia"/>
        </w:rPr>
        <w:t xml:space="preserve">Barcud Shared Services </w:t>
      </w:r>
      <w:r w:rsidRPr="00AE1207">
        <w:rPr>
          <w:rFonts w:eastAsiaTheme="majorEastAsia"/>
        </w:rPr>
        <w:t xml:space="preserve">reserves the right to seek clarification from the Tenderer if any answer to the ‘Pass/Fail’ questions is not clear. </w:t>
      </w:r>
    </w:p>
    <w:p w14:paraId="64ABBA0B" w14:textId="085BD299" w:rsidR="002A43DA" w:rsidRPr="00AE1207" w:rsidRDefault="0099235D" w:rsidP="0099235D">
      <w:pPr>
        <w:ind w:left="720"/>
        <w:rPr>
          <w:rFonts w:eastAsiaTheme="majorEastAsia"/>
        </w:rPr>
      </w:pPr>
      <w:r w:rsidRPr="00AE1207">
        <w:rPr>
          <w:rFonts w:eastAsiaTheme="majorEastAsia"/>
        </w:rPr>
        <w:t xml:space="preserve">Tenderers must be aware that if they fail any of the ‘Pass/Fail’ questions then their bid will be </w:t>
      </w:r>
      <w:proofErr w:type="gramStart"/>
      <w:r w:rsidRPr="00AE1207">
        <w:rPr>
          <w:rFonts w:eastAsiaTheme="majorEastAsia"/>
        </w:rPr>
        <w:t>rejected</w:t>
      </w:r>
      <w:proofErr w:type="gramEnd"/>
      <w:r w:rsidRPr="00AE1207">
        <w:rPr>
          <w:rFonts w:eastAsiaTheme="majorEastAsia"/>
        </w:rPr>
        <w:t xml:space="preserve"> and they will not proceed further in the tender process.</w:t>
      </w:r>
    </w:p>
    <w:p w14:paraId="4A4CD116" w14:textId="462BEAEB" w:rsidR="00F76581" w:rsidRPr="00AE1207" w:rsidRDefault="00F76581" w:rsidP="00612CBF">
      <w:pPr>
        <w:pStyle w:val="Heading3"/>
        <w:numPr>
          <w:ilvl w:val="2"/>
          <w:numId w:val="1"/>
        </w:numPr>
        <w:spacing w:line="360" w:lineRule="auto"/>
        <w:rPr>
          <w:color w:val="1F4E79" w:themeColor="accent5" w:themeShade="80"/>
        </w:rPr>
      </w:pPr>
      <w:bookmarkStart w:id="32" w:name="_Toc930161976"/>
      <w:r w:rsidRPr="7E950373">
        <w:rPr>
          <w:color w:val="1F4E79" w:themeColor="accent5" w:themeShade="80"/>
        </w:rPr>
        <w:t>‘Self-cleaning’</w:t>
      </w:r>
      <w:bookmarkEnd w:id="32"/>
    </w:p>
    <w:p w14:paraId="4C1BBAFE" w14:textId="77777777" w:rsidR="00BE0CDD" w:rsidRPr="00AE1207" w:rsidRDefault="00BE0CDD" w:rsidP="00BE0CDD">
      <w:pPr>
        <w:ind w:left="720"/>
        <w:rPr>
          <w:rFonts w:eastAsiaTheme="majorEastAsia"/>
        </w:rPr>
      </w:pPr>
      <w:r w:rsidRPr="00AE1207">
        <w:rPr>
          <w:rFonts w:eastAsiaTheme="majorEastAsia"/>
        </w:rPr>
        <w:t xml:space="preserve">Any Tenderer that answers a question of the Qualification Pass/Fail Questions that would constitute a ‘Fail’ should provide sufficient evidence, in a separate appendix, that provides a summary of the circumstances and any remedial action that has taken place subsequently and effectively “self-cleans” the situation referred to in that question. </w:t>
      </w:r>
    </w:p>
    <w:p w14:paraId="05F01986" w14:textId="50061747" w:rsidR="00BE0CDD" w:rsidRPr="00AE1207" w:rsidRDefault="00BE0CDD" w:rsidP="00BE0CDD">
      <w:pPr>
        <w:ind w:left="720"/>
        <w:rPr>
          <w:rFonts w:eastAsiaTheme="majorEastAsia"/>
        </w:rPr>
      </w:pPr>
      <w:r w:rsidRPr="00AE1207">
        <w:rPr>
          <w:rFonts w:eastAsiaTheme="majorEastAsia"/>
        </w:rPr>
        <w:t xml:space="preserve">The Tenderer </w:t>
      </w:r>
      <w:proofErr w:type="gramStart"/>
      <w:r w:rsidRPr="00AE1207">
        <w:rPr>
          <w:rFonts w:eastAsiaTheme="majorEastAsia"/>
        </w:rPr>
        <w:t>has to</w:t>
      </w:r>
      <w:proofErr w:type="gramEnd"/>
      <w:r w:rsidRPr="00AE1207">
        <w:rPr>
          <w:rFonts w:eastAsiaTheme="majorEastAsia"/>
        </w:rPr>
        <w:t xml:space="preserve"> demonstrate it has taken such remedial action, to the satisfaction of </w:t>
      </w:r>
      <w:r w:rsidR="00CD0C1B" w:rsidRPr="00AE1207">
        <w:rPr>
          <w:rFonts w:eastAsiaTheme="majorEastAsia"/>
        </w:rPr>
        <w:t>Barcud Shared Services</w:t>
      </w:r>
      <w:r w:rsidRPr="00AE1207">
        <w:rPr>
          <w:rFonts w:eastAsiaTheme="majorEastAsia"/>
        </w:rPr>
        <w:t>, in each case.</w:t>
      </w:r>
    </w:p>
    <w:p w14:paraId="6473926B" w14:textId="3BB0DF4C" w:rsidR="00BE0CDD" w:rsidRPr="00AE1207" w:rsidRDefault="00BE0CDD" w:rsidP="00BE0CDD">
      <w:pPr>
        <w:ind w:left="720"/>
        <w:rPr>
          <w:rFonts w:eastAsiaTheme="majorEastAsia"/>
        </w:rPr>
      </w:pPr>
      <w:r w:rsidRPr="00AE1207">
        <w:rPr>
          <w:rFonts w:eastAsiaTheme="majorEastAsia"/>
        </w:rPr>
        <w:t xml:space="preserve">If such evidence is considered by </w:t>
      </w:r>
      <w:r w:rsidR="00CD0C1B" w:rsidRPr="00AE1207">
        <w:rPr>
          <w:rFonts w:eastAsiaTheme="majorEastAsia"/>
        </w:rPr>
        <w:t xml:space="preserve">Barcud Shared Services </w:t>
      </w:r>
      <w:r w:rsidRPr="00AE1207">
        <w:rPr>
          <w:rFonts w:eastAsiaTheme="majorEastAsia"/>
        </w:rPr>
        <w:t>(whose decision will be final) as sufficient, the Tenderer concerned shall be allowed to continue in the process.</w:t>
      </w:r>
    </w:p>
    <w:p w14:paraId="40C5109A" w14:textId="77777777" w:rsidR="00BE0CDD" w:rsidRPr="00AE1207" w:rsidRDefault="00BE0CDD" w:rsidP="00BE0CDD">
      <w:pPr>
        <w:ind w:left="720"/>
        <w:rPr>
          <w:rFonts w:eastAsiaTheme="majorEastAsia"/>
        </w:rPr>
      </w:pPr>
      <w:proofErr w:type="gramStart"/>
      <w:r w:rsidRPr="00AE1207">
        <w:rPr>
          <w:rFonts w:eastAsiaTheme="majorEastAsia"/>
        </w:rPr>
        <w:t>In order for</w:t>
      </w:r>
      <w:proofErr w:type="gramEnd"/>
      <w:r w:rsidRPr="00AE1207">
        <w:rPr>
          <w:rFonts w:eastAsiaTheme="majorEastAsia"/>
        </w:rPr>
        <w:t xml:space="preserve"> the evidence referred to above to be sufficient the Tenderer shall, as a minimum, prove that it has:</w:t>
      </w:r>
    </w:p>
    <w:p w14:paraId="631AB5D7" w14:textId="01E1A3AF" w:rsidR="00BE0CDD" w:rsidRPr="00AE1207" w:rsidRDefault="00BE0CDD" w:rsidP="00BE0CDD">
      <w:pPr>
        <w:pStyle w:val="ListParagraph"/>
        <w:numPr>
          <w:ilvl w:val="0"/>
          <w:numId w:val="10"/>
        </w:numPr>
        <w:rPr>
          <w:rFonts w:eastAsiaTheme="majorEastAsia"/>
        </w:rPr>
      </w:pPr>
      <w:r w:rsidRPr="00AE1207">
        <w:rPr>
          <w:rFonts w:eastAsiaTheme="majorEastAsia"/>
        </w:rPr>
        <w:t xml:space="preserve">Provided an adequate explanation of the circumstances why they have “failed” and/or any remedial action that has taken place subsequently that effectively “self-cleans” the situation referred to in that question which satisfies </w:t>
      </w:r>
      <w:r w:rsidR="00CD0C1B" w:rsidRPr="00AE1207">
        <w:rPr>
          <w:rFonts w:eastAsiaTheme="majorEastAsia"/>
        </w:rPr>
        <w:t xml:space="preserve">Barcud Shared Services </w:t>
      </w:r>
      <w:r w:rsidRPr="00AE1207">
        <w:rPr>
          <w:rFonts w:eastAsiaTheme="majorEastAsia"/>
        </w:rPr>
        <w:t>that they can proceed further in the process.</w:t>
      </w:r>
    </w:p>
    <w:p w14:paraId="12BEE767" w14:textId="510DC9D6" w:rsidR="00BE0CDD" w:rsidRPr="00AE1207" w:rsidRDefault="00BE0CDD" w:rsidP="00BE0CDD">
      <w:pPr>
        <w:pStyle w:val="ListParagraph"/>
        <w:numPr>
          <w:ilvl w:val="0"/>
          <w:numId w:val="10"/>
        </w:numPr>
        <w:rPr>
          <w:rFonts w:eastAsiaTheme="majorEastAsia"/>
        </w:rPr>
      </w:pPr>
      <w:r w:rsidRPr="00AE1207">
        <w:rPr>
          <w:rFonts w:eastAsiaTheme="majorEastAsia"/>
        </w:rPr>
        <w:t>Paid or undertaken to pay compensation in respect of any damage caused by the criminal offence or misconduct.</w:t>
      </w:r>
    </w:p>
    <w:p w14:paraId="40C01C48" w14:textId="7D33D464" w:rsidR="00BE0CDD" w:rsidRPr="00AE1207" w:rsidRDefault="00BE0CDD" w:rsidP="00BE0CDD">
      <w:pPr>
        <w:pStyle w:val="ListParagraph"/>
        <w:numPr>
          <w:ilvl w:val="0"/>
          <w:numId w:val="10"/>
        </w:numPr>
        <w:rPr>
          <w:rFonts w:eastAsiaTheme="majorEastAsia"/>
        </w:rPr>
      </w:pPr>
      <w:r w:rsidRPr="00AE1207">
        <w:rPr>
          <w:rFonts w:eastAsiaTheme="majorEastAsia"/>
        </w:rPr>
        <w:t>Clarified the facts and circumstances in a comprehensive manner by actively collaborating with the investigating authorities.</w:t>
      </w:r>
    </w:p>
    <w:p w14:paraId="028BF1B0" w14:textId="2FAC8A08" w:rsidR="00BE0CDD" w:rsidRPr="00AE1207" w:rsidRDefault="00BE0CDD" w:rsidP="00BE0CDD">
      <w:pPr>
        <w:pStyle w:val="ListParagraph"/>
        <w:numPr>
          <w:ilvl w:val="0"/>
          <w:numId w:val="10"/>
        </w:numPr>
        <w:rPr>
          <w:rFonts w:eastAsiaTheme="majorEastAsia"/>
        </w:rPr>
      </w:pPr>
      <w:r w:rsidRPr="00AE1207">
        <w:rPr>
          <w:rFonts w:eastAsiaTheme="majorEastAsia"/>
        </w:rPr>
        <w:t>Taken concrete technical, organisational and personnel measures that are appropriate to prevent further criminal offences or misconduct.</w:t>
      </w:r>
    </w:p>
    <w:p w14:paraId="62785081" w14:textId="0FBA1603" w:rsidR="00BE0CDD" w:rsidRPr="00AE1207" w:rsidRDefault="00BE0CDD" w:rsidP="00BE0CDD">
      <w:pPr>
        <w:ind w:left="720"/>
        <w:rPr>
          <w:rFonts w:eastAsiaTheme="majorEastAsia"/>
        </w:rPr>
      </w:pPr>
      <w:r w:rsidRPr="00AE1207">
        <w:rPr>
          <w:rFonts w:eastAsiaTheme="majorEastAsia"/>
        </w:rPr>
        <w:t xml:space="preserve">The measures taken by the Tenderer shall be evaluated </w:t>
      </w:r>
      <w:proofErr w:type="gramStart"/>
      <w:r w:rsidRPr="00AE1207">
        <w:rPr>
          <w:rFonts w:eastAsiaTheme="majorEastAsia"/>
        </w:rPr>
        <w:t>taking into account</w:t>
      </w:r>
      <w:proofErr w:type="gramEnd"/>
      <w:r w:rsidRPr="00AE1207">
        <w:rPr>
          <w:rFonts w:eastAsiaTheme="majorEastAsia"/>
        </w:rPr>
        <w:t xml:space="preserve"> the gravity and particular circumstances of the “</w:t>
      </w:r>
      <w:proofErr w:type="gramStart"/>
      <w:r w:rsidRPr="00AE1207">
        <w:rPr>
          <w:rFonts w:eastAsiaTheme="majorEastAsia"/>
        </w:rPr>
        <w:t>fail</w:t>
      </w:r>
      <w:proofErr w:type="gramEnd"/>
      <w:r w:rsidRPr="00AE1207">
        <w:rPr>
          <w:rFonts w:eastAsiaTheme="majorEastAsia"/>
        </w:rPr>
        <w:t xml:space="preserve">”, criminal offence or misconduct. </w:t>
      </w:r>
    </w:p>
    <w:p w14:paraId="23ED0052" w14:textId="709BF072" w:rsidR="00F76581" w:rsidRPr="00AE1207" w:rsidRDefault="00BE0CDD" w:rsidP="00BE0CDD">
      <w:pPr>
        <w:ind w:left="720"/>
        <w:rPr>
          <w:rFonts w:eastAsiaTheme="majorEastAsia"/>
        </w:rPr>
      </w:pPr>
      <w:r w:rsidRPr="00AE1207">
        <w:rPr>
          <w:rFonts w:eastAsiaTheme="majorEastAsia"/>
        </w:rPr>
        <w:t xml:space="preserve">Where the measures are considered by </w:t>
      </w:r>
      <w:r w:rsidR="00CD0C1B" w:rsidRPr="00AE1207">
        <w:rPr>
          <w:rFonts w:eastAsiaTheme="majorEastAsia"/>
        </w:rPr>
        <w:t xml:space="preserve">Barcud Shared Services </w:t>
      </w:r>
      <w:r w:rsidRPr="00AE1207">
        <w:rPr>
          <w:rFonts w:eastAsiaTheme="majorEastAsia"/>
        </w:rPr>
        <w:t>to be insufficient, the Tenderer shall be given a statement of the reasons for that decision.</w:t>
      </w:r>
    </w:p>
    <w:p w14:paraId="05233361" w14:textId="77777777" w:rsidR="00044344" w:rsidRPr="00AE1207" w:rsidRDefault="00044344" w:rsidP="00612CBF">
      <w:pPr>
        <w:pStyle w:val="Heading3"/>
        <w:numPr>
          <w:ilvl w:val="2"/>
          <w:numId w:val="1"/>
        </w:numPr>
        <w:spacing w:line="360" w:lineRule="auto"/>
        <w:rPr>
          <w:color w:val="1F4E79" w:themeColor="accent5" w:themeShade="80"/>
        </w:rPr>
      </w:pPr>
      <w:bookmarkStart w:id="33" w:name="_Toc691283778"/>
      <w:r w:rsidRPr="7E950373">
        <w:rPr>
          <w:color w:val="1F4E79" w:themeColor="accent5" w:themeShade="80"/>
        </w:rPr>
        <w:t>Part Three – Quality Evaluation</w:t>
      </w:r>
      <w:bookmarkEnd w:id="33"/>
    </w:p>
    <w:p w14:paraId="2361189F" w14:textId="60F72555" w:rsidR="0069741A" w:rsidRPr="00AE1207" w:rsidRDefault="0069741A" w:rsidP="0069741A">
      <w:pPr>
        <w:ind w:left="720"/>
        <w:rPr>
          <w:rFonts w:eastAsiaTheme="majorEastAsia"/>
        </w:rPr>
      </w:pPr>
      <w:r w:rsidRPr="00AE1207">
        <w:rPr>
          <w:rFonts w:eastAsiaTheme="majorEastAsia"/>
        </w:rPr>
        <w:t xml:space="preserve">Tenderers who successfully ‘Pass’ all ‘Pass/Fail’ Questions, will be subject to a detailed evaluation of the scored “Quality Questions” in accordance with the Award Criteria and weightings as set out in Table </w:t>
      </w:r>
      <w:r w:rsidR="003A28C9" w:rsidRPr="00AE1207">
        <w:rPr>
          <w:rFonts w:eastAsiaTheme="majorEastAsia"/>
        </w:rPr>
        <w:t>4</w:t>
      </w:r>
      <w:r w:rsidR="00090249" w:rsidRPr="00AE1207">
        <w:rPr>
          <w:rFonts w:eastAsiaTheme="majorEastAsia"/>
        </w:rPr>
        <w:t>- Evaluation Questions</w:t>
      </w:r>
      <w:r w:rsidRPr="00AE1207">
        <w:rPr>
          <w:rFonts w:eastAsiaTheme="majorEastAsia"/>
        </w:rPr>
        <w:t>.</w:t>
      </w:r>
    </w:p>
    <w:p w14:paraId="461BA1FF" w14:textId="77777777" w:rsidR="0069741A" w:rsidRDefault="0069741A" w:rsidP="0069741A">
      <w:pPr>
        <w:ind w:left="720"/>
        <w:rPr>
          <w:rFonts w:eastAsiaTheme="majorEastAsia"/>
        </w:rPr>
      </w:pPr>
      <w:r w:rsidRPr="00AE1207">
        <w:rPr>
          <w:rFonts w:eastAsiaTheme="majorEastAsia"/>
        </w:rPr>
        <w:t>Each quality question will be reviewed and scored based on the following rational:</w:t>
      </w:r>
    </w:p>
    <w:tbl>
      <w:tblPr>
        <w:tblStyle w:val="GridTable4-Accent1"/>
        <w:tblW w:w="8316" w:type="dxa"/>
        <w:tblInd w:w="704" w:type="dxa"/>
        <w:tblLook w:val="04A0" w:firstRow="1" w:lastRow="0" w:firstColumn="1" w:lastColumn="0" w:noHBand="0" w:noVBand="1"/>
      </w:tblPr>
      <w:tblGrid>
        <w:gridCol w:w="1650"/>
        <w:gridCol w:w="6666"/>
      </w:tblGrid>
      <w:tr w:rsidR="002C40DF" w:rsidRPr="002C40DF" w14:paraId="7046C9E6" w14:textId="77777777" w:rsidTr="4E83A0AA">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50" w:type="dxa"/>
            <w:shd w:val="clear" w:color="auto" w:fill="1F3864" w:themeFill="accent1" w:themeFillShade="80"/>
            <w:hideMark/>
          </w:tcPr>
          <w:p w14:paraId="167812C4" w14:textId="77777777" w:rsidR="002C40DF" w:rsidRPr="006F5993" w:rsidRDefault="002C40DF" w:rsidP="002C40DF">
            <w:pPr>
              <w:jc w:val="center"/>
              <w:rPr>
                <w:rFonts w:ascii="Calibri" w:eastAsia="Times New Roman" w:hAnsi="Calibri" w:cs="Calibri"/>
                <w:lang w:eastAsia="en-GB"/>
              </w:rPr>
            </w:pPr>
            <w:r w:rsidRPr="006F5993">
              <w:rPr>
                <w:rFonts w:ascii="Calibri" w:eastAsiaTheme="majorEastAsia" w:hAnsi="Calibri" w:cs="Calibri"/>
                <w:lang w:eastAsia="en-GB"/>
              </w:rPr>
              <w:t>Score</w:t>
            </w:r>
          </w:p>
        </w:tc>
        <w:tc>
          <w:tcPr>
            <w:tcW w:w="6666" w:type="dxa"/>
            <w:shd w:val="clear" w:color="auto" w:fill="1F3864" w:themeFill="accent1" w:themeFillShade="80"/>
            <w:hideMark/>
          </w:tcPr>
          <w:p w14:paraId="1774A0BA" w14:textId="77777777" w:rsidR="002C40DF" w:rsidRPr="006F5993" w:rsidRDefault="002C40DF" w:rsidP="002C40DF">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sidRPr="006F5993">
              <w:rPr>
                <w:rFonts w:ascii="Calibri" w:eastAsiaTheme="majorEastAsia" w:hAnsi="Calibri" w:cs="Calibri"/>
                <w:lang w:eastAsia="en-GB"/>
              </w:rPr>
              <w:t>Comment Guidance</w:t>
            </w:r>
          </w:p>
        </w:tc>
      </w:tr>
      <w:tr w:rsidR="002C40DF" w:rsidRPr="002C40DF" w14:paraId="5442888C" w14:textId="77777777" w:rsidTr="4E83A0AA">
        <w:trPr>
          <w:cnfStyle w:val="000000100000" w:firstRow="0" w:lastRow="0" w:firstColumn="0" w:lastColumn="0" w:oddVBand="0" w:evenVBand="0" w:oddHBand="1" w:evenHBand="0" w:firstRowFirstColumn="0" w:firstRowLastColumn="0" w:lastRowFirstColumn="0" w:lastRowLastColumn="0"/>
          <w:trHeight w:val="588"/>
        </w:trPr>
        <w:tc>
          <w:tcPr>
            <w:cnfStyle w:val="001000000000" w:firstRow="0" w:lastRow="0" w:firstColumn="1" w:lastColumn="0" w:oddVBand="0" w:evenVBand="0" w:oddHBand="0" w:evenHBand="0" w:firstRowFirstColumn="0" w:firstRowLastColumn="0" w:lastRowFirstColumn="0" w:lastRowLastColumn="0"/>
            <w:tcW w:w="1650" w:type="dxa"/>
            <w:shd w:val="clear" w:color="auto" w:fill="FFFFFF" w:themeFill="background1"/>
            <w:hideMark/>
          </w:tcPr>
          <w:p w14:paraId="66BC5D96" w14:textId="54460555" w:rsidR="002C40DF" w:rsidRPr="008D4E40" w:rsidRDefault="002C40DF" w:rsidP="00F364E8">
            <w:pPr>
              <w:jc w:val="center"/>
              <w:rPr>
                <w:rFonts w:ascii="Calibri" w:eastAsia="Times New Roman" w:hAnsi="Calibri" w:cs="Calibri"/>
                <w:color w:val="000000"/>
                <w:lang w:eastAsia="en-GB"/>
              </w:rPr>
            </w:pPr>
            <w:r w:rsidRPr="008D4E40">
              <w:rPr>
                <w:rFonts w:ascii="Calibri" w:eastAsiaTheme="majorEastAsia" w:hAnsi="Calibri" w:cs="Calibri"/>
                <w:color w:val="000000"/>
                <w:lang w:eastAsia="en-GB"/>
              </w:rPr>
              <w:lastRenderedPageBreak/>
              <w:t xml:space="preserve">0 – </w:t>
            </w:r>
            <w:r w:rsidR="006D2240">
              <w:rPr>
                <w:rFonts w:ascii="Calibri" w:eastAsiaTheme="majorEastAsia" w:hAnsi="Calibri" w:cs="Calibri"/>
                <w:color w:val="000000"/>
                <w:lang w:eastAsia="en-GB"/>
              </w:rPr>
              <w:t>In</w:t>
            </w:r>
            <w:r w:rsidR="00784AFD">
              <w:rPr>
                <w:rFonts w:ascii="Calibri" w:eastAsiaTheme="majorEastAsia" w:hAnsi="Calibri" w:cs="Calibri"/>
                <w:color w:val="000000"/>
                <w:lang w:eastAsia="en-GB"/>
              </w:rPr>
              <w:t>sufficient</w:t>
            </w:r>
          </w:p>
        </w:tc>
        <w:tc>
          <w:tcPr>
            <w:tcW w:w="6666" w:type="dxa"/>
            <w:shd w:val="clear" w:color="auto" w:fill="FFFFFF" w:themeFill="background1"/>
            <w:hideMark/>
          </w:tcPr>
          <w:p w14:paraId="635F2605" w14:textId="77777777" w:rsidR="002C40DF" w:rsidRPr="008D4E40" w:rsidRDefault="002C40DF" w:rsidP="002C40D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GB"/>
              </w:rPr>
            </w:pPr>
            <w:r w:rsidRPr="008D4E40">
              <w:rPr>
                <w:rFonts w:ascii="Calibri" w:eastAsiaTheme="majorEastAsia" w:hAnsi="Calibri" w:cs="Calibri"/>
                <w:color w:val="000000"/>
                <w:lang w:eastAsia="en-GB"/>
              </w:rPr>
              <w:t>Response is absent, irrelevant, or completely fails to address the requirement. No usable information or evidence provided.</w:t>
            </w:r>
          </w:p>
        </w:tc>
      </w:tr>
      <w:tr w:rsidR="002C40DF" w:rsidRPr="002C40DF" w14:paraId="53CA0AE5" w14:textId="77777777" w:rsidTr="4E83A0AA">
        <w:trPr>
          <w:trHeight w:val="588"/>
        </w:trPr>
        <w:tc>
          <w:tcPr>
            <w:cnfStyle w:val="001000000000" w:firstRow="0" w:lastRow="0" w:firstColumn="1" w:lastColumn="0" w:oddVBand="0" w:evenVBand="0" w:oddHBand="0" w:evenHBand="0" w:firstRowFirstColumn="0" w:firstRowLastColumn="0" w:lastRowFirstColumn="0" w:lastRowLastColumn="0"/>
            <w:tcW w:w="1650" w:type="dxa"/>
            <w:hideMark/>
          </w:tcPr>
          <w:p w14:paraId="177D50EF" w14:textId="77777777" w:rsidR="002C40DF" w:rsidRPr="002C40DF" w:rsidRDefault="002C40DF" w:rsidP="00F364E8">
            <w:pPr>
              <w:jc w:val="center"/>
              <w:rPr>
                <w:rFonts w:ascii="Calibri" w:eastAsia="Times New Roman" w:hAnsi="Calibri" w:cs="Calibri"/>
                <w:color w:val="000000"/>
                <w:lang w:eastAsia="en-GB"/>
              </w:rPr>
            </w:pPr>
            <w:r w:rsidRPr="002C40DF">
              <w:rPr>
                <w:rFonts w:ascii="Calibri" w:eastAsiaTheme="majorEastAsia" w:hAnsi="Calibri" w:cs="Calibri"/>
                <w:color w:val="000000"/>
                <w:lang w:eastAsia="en-GB"/>
              </w:rPr>
              <w:t>1 – Poor</w:t>
            </w:r>
          </w:p>
        </w:tc>
        <w:tc>
          <w:tcPr>
            <w:tcW w:w="6666" w:type="dxa"/>
            <w:hideMark/>
          </w:tcPr>
          <w:p w14:paraId="3D968DC8" w14:textId="77777777" w:rsidR="002C40DF" w:rsidRPr="002C40DF" w:rsidRDefault="002C40DF" w:rsidP="002C40D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2C40DF">
              <w:rPr>
                <w:rFonts w:ascii="Calibri" w:eastAsiaTheme="majorEastAsia" w:hAnsi="Calibri" w:cs="Calibri"/>
                <w:color w:val="000000"/>
                <w:lang w:eastAsia="en-GB"/>
              </w:rPr>
              <w:t xml:space="preserve">Response shows minimal understanding of the requirement. Significant gaps in relevance, clarity, or evidence. </w:t>
            </w:r>
          </w:p>
        </w:tc>
      </w:tr>
      <w:tr w:rsidR="002C40DF" w:rsidRPr="002C40DF" w14:paraId="25652B76" w14:textId="77777777" w:rsidTr="4E83A0AA">
        <w:trPr>
          <w:cnfStyle w:val="000000100000" w:firstRow="0" w:lastRow="0" w:firstColumn="0" w:lastColumn="0" w:oddVBand="0" w:evenVBand="0" w:oddHBand="1" w:evenHBand="0" w:firstRowFirstColumn="0" w:firstRowLastColumn="0" w:lastRowFirstColumn="0" w:lastRowLastColumn="0"/>
          <w:trHeight w:val="876"/>
        </w:trPr>
        <w:tc>
          <w:tcPr>
            <w:cnfStyle w:val="001000000000" w:firstRow="0" w:lastRow="0" w:firstColumn="1" w:lastColumn="0" w:oddVBand="0" w:evenVBand="0" w:oddHBand="0" w:evenHBand="0" w:firstRowFirstColumn="0" w:firstRowLastColumn="0" w:lastRowFirstColumn="0" w:lastRowLastColumn="0"/>
            <w:tcW w:w="1650" w:type="dxa"/>
            <w:shd w:val="clear" w:color="auto" w:fill="FFFFFF" w:themeFill="background1"/>
            <w:hideMark/>
          </w:tcPr>
          <w:p w14:paraId="0910D9D9" w14:textId="77777777" w:rsidR="002C40DF" w:rsidRPr="002C40DF" w:rsidRDefault="002C40DF" w:rsidP="00F364E8">
            <w:pPr>
              <w:jc w:val="center"/>
              <w:rPr>
                <w:rFonts w:ascii="Calibri" w:eastAsia="Times New Roman" w:hAnsi="Calibri" w:cs="Calibri"/>
                <w:color w:val="000000"/>
                <w:lang w:eastAsia="en-GB"/>
              </w:rPr>
            </w:pPr>
            <w:r w:rsidRPr="002C40DF">
              <w:rPr>
                <w:rFonts w:ascii="Calibri" w:eastAsiaTheme="majorEastAsia" w:hAnsi="Calibri" w:cs="Calibri"/>
                <w:color w:val="000000"/>
                <w:lang w:eastAsia="en-GB"/>
              </w:rPr>
              <w:t>2 – Weak</w:t>
            </w:r>
          </w:p>
        </w:tc>
        <w:tc>
          <w:tcPr>
            <w:tcW w:w="6666" w:type="dxa"/>
            <w:shd w:val="clear" w:color="auto" w:fill="FFFFFF" w:themeFill="background1"/>
            <w:hideMark/>
          </w:tcPr>
          <w:p w14:paraId="66820776" w14:textId="77777777" w:rsidR="002C40DF" w:rsidRPr="002C40DF" w:rsidRDefault="002C40DF" w:rsidP="002C40D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GB"/>
              </w:rPr>
            </w:pPr>
            <w:r w:rsidRPr="002C40DF">
              <w:rPr>
                <w:rFonts w:ascii="Calibri" w:eastAsiaTheme="majorEastAsia" w:hAnsi="Calibri" w:cs="Calibri"/>
                <w:color w:val="000000"/>
                <w:lang w:eastAsia="en-GB"/>
              </w:rPr>
              <w:t>Response partially addresses the requirement but lacks sufficient detail, clarity, or supporting evidence. Basic understanding shown, but several areas can be improved.</w:t>
            </w:r>
          </w:p>
        </w:tc>
      </w:tr>
      <w:tr w:rsidR="002C40DF" w:rsidRPr="002C40DF" w14:paraId="583A5669" w14:textId="77777777" w:rsidTr="4E83A0AA">
        <w:trPr>
          <w:trHeight w:val="876"/>
        </w:trPr>
        <w:tc>
          <w:tcPr>
            <w:cnfStyle w:val="001000000000" w:firstRow="0" w:lastRow="0" w:firstColumn="1" w:lastColumn="0" w:oddVBand="0" w:evenVBand="0" w:oddHBand="0" w:evenHBand="0" w:firstRowFirstColumn="0" w:firstRowLastColumn="0" w:lastRowFirstColumn="0" w:lastRowLastColumn="0"/>
            <w:tcW w:w="1650" w:type="dxa"/>
            <w:hideMark/>
          </w:tcPr>
          <w:p w14:paraId="35410F6E" w14:textId="77777777" w:rsidR="002C40DF" w:rsidRPr="002C40DF" w:rsidRDefault="002C40DF" w:rsidP="00F364E8">
            <w:pPr>
              <w:jc w:val="center"/>
              <w:rPr>
                <w:rFonts w:ascii="Calibri" w:eastAsia="Times New Roman" w:hAnsi="Calibri" w:cs="Calibri"/>
                <w:color w:val="000000"/>
                <w:lang w:eastAsia="en-GB"/>
              </w:rPr>
            </w:pPr>
            <w:r w:rsidRPr="002C40DF">
              <w:rPr>
                <w:rFonts w:ascii="Calibri" w:eastAsiaTheme="majorEastAsia" w:hAnsi="Calibri" w:cs="Calibri"/>
                <w:color w:val="000000"/>
                <w:lang w:eastAsia="en-GB"/>
              </w:rPr>
              <w:t>3 – Acceptable</w:t>
            </w:r>
          </w:p>
        </w:tc>
        <w:tc>
          <w:tcPr>
            <w:tcW w:w="6666" w:type="dxa"/>
            <w:hideMark/>
          </w:tcPr>
          <w:p w14:paraId="1BF9C654" w14:textId="201B2C6E" w:rsidR="002C40DF" w:rsidRPr="002C40DF" w:rsidRDefault="002C40DF" w:rsidP="002C40D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2C40DF">
              <w:rPr>
                <w:rFonts w:ascii="Calibri" w:eastAsiaTheme="majorEastAsia" w:hAnsi="Calibri" w:cs="Calibri"/>
                <w:color w:val="000000"/>
                <w:lang w:eastAsia="en-GB"/>
              </w:rPr>
              <w:t xml:space="preserve">Response meets the requirement to a satisfactory level. Demonstrates a reasonable understanding with adequate evidence, however response lacks </w:t>
            </w:r>
            <w:r w:rsidR="00200D7A" w:rsidRPr="002C40DF">
              <w:rPr>
                <w:rFonts w:ascii="Calibri" w:eastAsiaTheme="majorEastAsia" w:hAnsi="Calibri" w:cs="Calibri"/>
                <w:color w:val="000000"/>
                <w:lang w:eastAsia="en-GB"/>
              </w:rPr>
              <w:t>sufficient</w:t>
            </w:r>
            <w:r w:rsidRPr="002C40DF">
              <w:rPr>
                <w:rFonts w:ascii="Calibri" w:eastAsiaTheme="majorEastAsia" w:hAnsi="Calibri" w:cs="Calibri"/>
                <w:color w:val="000000"/>
                <w:lang w:eastAsia="en-GB"/>
              </w:rPr>
              <w:t xml:space="preserve"> detail</w:t>
            </w:r>
          </w:p>
        </w:tc>
      </w:tr>
      <w:tr w:rsidR="002C40DF" w:rsidRPr="002C40DF" w14:paraId="546FF5E2" w14:textId="77777777" w:rsidTr="4E83A0AA">
        <w:trPr>
          <w:cnfStyle w:val="000000100000" w:firstRow="0" w:lastRow="0" w:firstColumn="0" w:lastColumn="0" w:oddVBand="0" w:evenVBand="0" w:oddHBand="1" w:evenHBand="0" w:firstRowFirstColumn="0" w:firstRowLastColumn="0" w:lastRowFirstColumn="0" w:lastRowLastColumn="0"/>
          <w:trHeight w:val="876"/>
        </w:trPr>
        <w:tc>
          <w:tcPr>
            <w:cnfStyle w:val="001000000000" w:firstRow="0" w:lastRow="0" w:firstColumn="1" w:lastColumn="0" w:oddVBand="0" w:evenVBand="0" w:oddHBand="0" w:evenHBand="0" w:firstRowFirstColumn="0" w:firstRowLastColumn="0" w:lastRowFirstColumn="0" w:lastRowLastColumn="0"/>
            <w:tcW w:w="1650" w:type="dxa"/>
            <w:shd w:val="clear" w:color="auto" w:fill="FFFFFF" w:themeFill="background1"/>
            <w:hideMark/>
          </w:tcPr>
          <w:p w14:paraId="5111E870" w14:textId="77777777" w:rsidR="002C40DF" w:rsidRPr="002C40DF" w:rsidRDefault="002C40DF" w:rsidP="00F364E8">
            <w:pPr>
              <w:jc w:val="center"/>
              <w:rPr>
                <w:rFonts w:ascii="Calibri" w:eastAsia="Times New Roman" w:hAnsi="Calibri" w:cs="Calibri"/>
                <w:color w:val="000000"/>
                <w:lang w:eastAsia="en-GB"/>
              </w:rPr>
            </w:pPr>
            <w:r w:rsidRPr="002C40DF">
              <w:rPr>
                <w:rFonts w:ascii="Calibri" w:eastAsiaTheme="majorEastAsia" w:hAnsi="Calibri" w:cs="Calibri"/>
                <w:color w:val="000000"/>
                <w:lang w:eastAsia="en-GB"/>
              </w:rPr>
              <w:t>4 – Good</w:t>
            </w:r>
          </w:p>
        </w:tc>
        <w:tc>
          <w:tcPr>
            <w:tcW w:w="6666" w:type="dxa"/>
            <w:shd w:val="clear" w:color="auto" w:fill="FFFFFF" w:themeFill="background1"/>
            <w:hideMark/>
          </w:tcPr>
          <w:p w14:paraId="370EF8EA" w14:textId="4DBBC136" w:rsidR="002C40DF" w:rsidRPr="002C40DF" w:rsidRDefault="002C40DF" w:rsidP="002C40DF">
            <w:pPr>
              <w:cnfStyle w:val="000000100000" w:firstRow="0" w:lastRow="0" w:firstColumn="0" w:lastColumn="0" w:oddVBand="0" w:evenVBand="0" w:oddHBand="1" w:evenHBand="0" w:firstRowFirstColumn="0" w:firstRowLastColumn="0" w:lastRowFirstColumn="0" w:lastRowLastColumn="0"/>
              <w:rPr>
                <w:rFonts w:ascii="Calibri" w:eastAsiaTheme="majorEastAsia" w:hAnsi="Calibri" w:cs="Calibri"/>
                <w:color w:val="000000"/>
                <w:lang w:eastAsia="en-GB"/>
              </w:rPr>
            </w:pPr>
            <w:r w:rsidRPr="4E83A0AA">
              <w:rPr>
                <w:rFonts w:ascii="Calibri" w:eastAsiaTheme="majorEastAsia" w:hAnsi="Calibri" w:cs="Calibri"/>
                <w:color w:val="000000" w:themeColor="text1"/>
                <w:lang w:eastAsia="en-GB"/>
              </w:rPr>
              <w:t xml:space="preserve">Response clearly </w:t>
            </w:r>
            <w:r w:rsidR="00200D7A" w:rsidRPr="4E83A0AA">
              <w:rPr>
                <w:rFonts w:ascii="Calibri" w:eastAsiaTheme="majorEastAsia" w:hAnsi="Calibri" w:cs="Calibri"/>
                <w:color w:val="000000" w:themeColor="text1"/>
                <w:lang w:eastAsia="en-GB"/>
              </w:rPr>
              <w:t>meets</w:t>
            </w:r>
            <w:r w:rsidRPr="4E83A0AA">
              <w:rPr>
                <w:rFonts w:ascii="Calibri" w:eastAsiaTheme="majorEastAsia" w:hAnsi="Calibri" w:cs="Calibri"/>
                <w:color w:val="000000" w:themeColor="text1"/>
                <w:lang w:eastAsia="en-GB"/>
              </w:rPr>
              <w:t xml:space="preserve"> the requirement to a good level. Demonstrates a strong understanding</w:t>
            </w:r>
            <w:r w:rsidR="0C8725A5" w:rsidRPr="4E83A0AA">
              <w:rPr>
                <w:rFonts w:ascii="Calibri" w:eastAsiaTheme="majorEastAsia" w:hAnsi="Calibri" w:cs="Calibri"/>
                <w:color w:val="000000" w:themeColor="text1"/>
                <w:lang w:eastAsia="en-GB"/>
              </w:rPr>
              <w:t>.</w:t>
            </w:r>
          </w:p>
        </w:tc>
      </w:tr>
      <w:tr w:rsidR="002C40DF" w:rsidRPr="002C40DF" w14:paraId="48DF9EC2" w14:textId="77777777" w:rsidTr="4E83A0AA">
        <w:trPr>
          <w:trHeight w:val="588"/>
        </w:trPr>
        <w:tc>
          <w:tcPr>
            <w:cnfStyle w:val="001000000000" w:firstRow="0" w:lastRow="0" w:firstColumn="1" w:lastColumn="0" w:oddVBand="0" w:evenVBand="0" w:oddHBand="0" w:evenHBand="0" w:firstRowFirstColumn="0" w:firstRowLastColumn="0" w:lastRowFirstColumn="0" w:lastRowLastColumn="0"/>
            <w:tcW w:w="1650" w:type="dxa"/>
            <w:hideMark/>
          </w:tcPr>
          <w:p w14:paraId="6638C6E0" w14:textId="77777777" w:rsidR="002C40DF" w:rsidRPr="002C40DF" w:rsidRDefault="002C40DF" w:rsidP="00F364E8">
            <w:pPr>
              <w:jc w:val="center"/>
              <w:rPr>
                <w:rFonts w:ascii="Calibri" w:eastAsia="Times New Roman" w:hAnsi="Calibri" w:cs="Calibri"/>
                <w:color w:val="000000"/>
                <w:lang w:eastAsia="en-GB"/>
              </w:rPr>
            </w:pPr>
            <w:r w:rsidRPr="002C40DF">
              <w:rPr>
                <w:rFonts w:ascii="Calibri" w:eastAsiaTheme="majorEastAsia" w:hAnsi="Calibri" w:cs="Calibri"/>
                <w:color w:val="000000"/>
                <w:lang w:eastAsia="en-GB"/>
              </w:rPr>
              <w:t>5 – Excellent</w:t>
            </w:r>
          </w:p>
        </w:tc>
        <w:tc>
          <w:tcPr>
            <w:tcW w:w="6666" w:type="dxa"/>
            <w:hideMark/>
          </w:tcPr>
          <w:p w14:paraId="2B326F2B" w14:textId="65F6B7E6" w:rsidR="002C40DF" w:rsidRPr="002C40DF" w:rsidRDefault="002C40DF" w:rsidP="002C40DF">
            <w:pPr>
              <w:cnfStyle w:val="000000000000" w:firstRow="0" w:lastRow="0" w:firstColumn="0" w:lastColumn="0" w:oddVBand="0" w:evenVBand="0" w:oddHBand="0" w:evenHBand="0" w:firstRowFirstColumn="0" w:firstRowLastColumn="0" w:lastRowFirstColumn="0" w:lastRowLastColumn="0"/>
              <w:rPr>
                <w:rFonts w:ascii="Calibri" w:eastAsiaTheme="majorEastAsia" w:hAnsi="Calibri" w:cs="Calibri"/>
                <w:color w:val="000000"/>
                <w:lang w:eastAsia="en-GB"/>
              </w:rPr>
            </w:pPr>
            <w:r w:rsidRPr="4E83A0AA">
              <w:rPr>
                <w:rFonts w:ascii="Calibri" w:eastAsiaTheme="majorEastAsia" w:hAnsi="Calibri" w:cs="Calibri"/>
                <w:color w:val="000000" w:themeColor="text1"/>
                <w:lang w:eastAsia="en-GB"/>
              </w:rPr>
              <w:t xml:space="preserve">Response is comprehensive and exceeds expectations. Demonstrates exceptional understanding. </w:t>
            </w:r>
          </w:p>
        </w:tc>
      </w:tr>
    </w:tbl>
    <w:p w14:paraId="388FED51" w14:textId="1E938FE8" w:rsidR="00F76581" w:rsidRPr="00AE1207" w:rsidRDefault="0069741A" w:rsidP="008044D8">
      <w:pPr>
        <w:ind w:left="6480"/>
        <w:rPr>
          <w:rFonts w:eastAsiaTheme="majorEastAsia"/>
          <w:sz w:val="20"/>
          <w:szCs w:val="20"/>
        </w:rPr>
      </w:pPr>
      <w:r w:rsidRPr="00AE1207">
        <w:rPr>
          <w:rFonts w:eastAsiaTheme="majorEastAsia"/>
          <w:sz w:val="20"/>
          <w:szCs w:val="20"/>
        </w:rPr>
        <w:t xml:space="preserve">Table </w:t>
      </w:r>
      <w:r w:rsidR="00BA6458" w:rsidRPr="00AE1207">
        <w:rPr>
          <w:rFonts w:eastAsiaTheme="majorEastAsia"/>
          <w:sz w:val="20"/>
          <w:szCs w:val="20"/>
        </w:rPr>
        <w:t>5</w:t>
      </w:r>
      <w:r w:rsidRPr="00AE1207">
        <w:rPr>
          <w:rFonts w:eastAsiaTheme="majorEastAsia"/>
          <w:sz w:val="20"/>
          <w:szCs w:val="20"/>
        </w:rPr>
        <w:t xml:space="preserve"> – Scoring Rationale</w:t>
      </w:r>
    </w:p>
    <w:p w14:paraId="2CF00BA7" w14:textId="4E6C2EE5" w:rsidR="00F20EEC" w:rsidRPr="00AE1207" w:rsidRDefault="00F20EEC" w:rsidP="00F20EEC">
      <w:pPr>
        <w:ind w:left="720"/>
        <w:rPr>
          <w:rFonts w:eastAsiaTheme="majorEastAsia"/>
        </w:rPr>
      </w:pPr>
      <w:r w:rsidRPr="00AE1207">
        <w:rPr>
          <w:rFonts w:eastAsiaTheme="majorEastAsia"/>
        </w:rPr>
        <w:t xml:space="preserve">The answers provided by every Tenderer to each question of the Tender Evaluation Stage will be marked in accordance with Table </w:t>
      </w:r>
      <w:r w:rsidR="00BA6458" w:rsidRPr="00AE1207">
        <w:rPr>
          <w:rFonts w:eastAsiaTheme="majorEastAsia"/>
        </w:rPr>
        <w:t>5</w:t>
      </w:r>
      <w:r w:rsidR="00A95900" w:rsidRPr="00AE1207">
        <w:rPr>
          <w:rFonts w:eastAsiaTheme="majorEastAsia"/>
          <w:sz w:val="20"/>
          <w:szCs w:val="20"/>
        </w:rPr>
        <w:t xml:space="preserve"> </w:t>
      </w:r>
      <w:r w:rsidR="00A95900" w:rsidRPr="00AE1207">
        <w:rPr>
          <w:rFonts w:eastAsiaTheme="majorEastAsia"/>
        </w:rPr>
        <w:t>– Scoring Rationale</w:t>
      </w:r>
      <w:r w:rsidRPr="00AE1207">
        <w:rPr>
          <w:rFonts w:eastAsiaTheme="majorEastAsia"/>
        </w:rPr>
        <w:t>.</w:t>
      </w:r>
    </w:p>
    <w:p w14:paraId="4BE59978" w14:textId="1D96750B" w:rsidR="00F20EEC" w:rsidRPr="00AE1207" w:rsidRDefault="00F20EEC" w:rsidP="00F20EEC">
      <w:pPr>
        <w:ind w:left="720"/>
        <w:rPr>
          <w:rFonts w:eastAsiaTheme="majorEastAsia"/>
        </w:rPr>
      </w:pPr>
      <w:r w:rsidRPr="00AE1207">
        <w:rPr>
          <w:rFonts w:eastAsiaTheme="majorEastAsia"/>
        </w:rPr>
        <w:t xml:space="preserve">The score achieved and the weighing for each question will be used to calculate a weighted quality score </w:t>
      </w:r>
      <w:r w:rsidR="00C81E4B" w:rsidRPr="00AE1207">
        <w:rPr>
          <w:rFonts w:eastAsiaTheme="majorEastAsia"/>
        </w:rPr>
        <w:t>percentage</w:t>
      </w:r>
      <w:r w:rsidRPr="00AE1207">
        <w:rPr>
          <w:rFonts w:eastAsiaTheme="majorEastAsia"/>
        </w:rPr>
        <w:t>.</w:t>
      </w:r>
    </w:p>
    <w:p w14:paraId="423D6809" w14:textId="77777777" w:rsidR="00F20EEC" w:rsidRPr="00AE1207" w:rsidRDefault="00F20EEC" w:rsidP="00F20EEC">
      <w:pPr>
        <w:ind w:left="720"/>
        <w:rPr>
          <w:rFonts w:eastAsiaTheme="majorEastAsia"/>
        </w:rPr>
      </w:pPr>
      <w:r w:rsidRPr="00AE1207">
        <w:rPr>
          <w:rFonts w:eastAsiaTheme="majorEastAsia"/>
        </w:rPr>
        <w:t>Each weighted quality score will be added together to reach a Total Weighted Quality Score.</w:t>
      </w:r>
    </w:p>
    <w:p w14:paraId="7AA4D486" w14:textId="582F9317" w:rsidR="00F20EEC" w:rsidRPr="00AE1207" w:rsidRDefault="00F20EEC" w:rsidP="00F20EEC">
      <w:pPr>
        <w:ind w:left="720"/>
        <w:rPr>
          <w:rFonts w:eastAsiaTheme="majorEastAsia"/>
        </w:rPr>
      </w:pPr>
      <w:r w:rsidRPr="00AE1207">
        <w:rPr>
          <w:rFonts w:eastAsiaTheme="majorEastAsia"/>
        </w:rPr>
        <w:t xml:space="preserve">This will be multiplied by the quality section weighting to arrive at the Overall Quality Score </w:t>
      </w:r>
      <w:r w:rsidR="00C81E4B" w:rsidRPr="00AE1207">
        <w:rPr>
          <w:rFonts w:eastAsiaTheme="majorEastAsia"/>
        </w:rPr>
        <w:t>percent</w:t>
      </w:r>
      <w:r w:rsidR="0057482A" w:rsidRPr="00AE1207">
        <w:rPr>
          <w:rFonts w:eastAsiaTheme="majorEastAsia"/>
        </w:rPr>
        <w:t>age.</w:t>
      </w:r>
    </w:p>
    <w:p w14:paraId="207A0148" w14:textId="77777777" w:rsidR="00F20EEC" w:rsidRDefault="00F20EEC" w:rsidP="00F20EEC">
      <w:pPr>
        <w:ind w:left="720"/>
        <w:rPr>
          <w:rFonts w:eastAsiaTheme="majorEastAsia"/>
        </w:rPr>
      </w:pPr>
      <w:r w:rsidRPr="00AE1207">
        <w:rPr>
          <w:rFonts w:eastAsiaTheme="majorEastAsia"/>
        </w:rPr>
        <w:t>This weighted quality score will be used to identify the Tenderer’s relative positions.</w:t>
      </w:r>
    </w:p>
    <w:p w14:paraId="547FAA9D" w14:textId="1373F07C" w:rsidR="40B997D8" w:rsidRDefault="40B997D8" w:rsidP="4E83A0AA">
      <w:pPr>
        <w:ind w:left="720"/>
        <w:rPr>
          <w:rFonts w:ascii="Calibri" w:eastAsia="Calibri" w:hAnsi="Calibri" w:cs="Calibri"/>
        </w:rPr>
      </w:pPr>
      <w:r w:rsidRPr="4E83A0AA">
        <w:rPr>
          <w:rFonts w:ascii="Calibri" w:eastAsia="Calibri" w:hAnsi="Calibri" w:cs="Calibri"/>
          <w:color w:val="000000" w:themeColor="text1"/>
        </w:rPr>
        <w:t>Failure to provide a response to any question will result in a score of 0 for that question.</w:t>
      </w:r>
    </w:p>
    <w:p w14:paraId="6EA3AD05" w14:textId="1C46BD6D" w:rsidR="40B997D8" w:rsidRDefault="40B997D8" w:rsidP="4E83A0AA">
      <w:pPr>
        <w:pStyle w:val="NoSpacing"/>
        <w:ind w:firstLine="720"/>
        <w:jc w:val="both"/>
      </w:pPr>
      <w:r w:rsidRPr="4E83A0AA">
        <w:rPr>
          <w:rFonts w:ascii="Calibri" w:eastAsia="Calibri" w:hAnsi="Calibri" w:cs="Calibri"/>
          <w:color w:val="000000" w:themeColor="text1"/>
        </w:rPr>
        <w:t xml:space="preserve">Each question indicates a maximum word count, Tenderer are to indicate the number of </w:t>
      </w:r>
      <w:r>
        <w:tab/>
      </w:r>
      <w:r w:rsidRPr="4E83A0AA">
        <w:rPr>
          <w:rFonts w:ascii="Calibri" w:eastAsia="Calibri" w:hAnsi="Calibri" w:cs="Calibri"/>
          <w:color w:val="000000" w:themeColor="text1"/>
        </w:rPr>
        <w:t xml:space="preserve">words in each of their responses, any words which exceed the defined word count will be </w:t>
      </w:r>
      <w:r>
        <w:tab/>
      </w:r>
      <w:r w:rsidRPr="4E83A0AA">
        <w:rPr>
          <w:rFonts w:ascii="Calibri" w:eastAsia="Calibri" w:hAnsi="Calibri" w:cs="Calibri"/>
          <w:color w:val="000000" w:themeColor="text1"/>
        </w:rPr>
        <w:t xml:space="preserve">discounted from the evaluation.  </w:t>
      </w:r>
      <w:r w:rsidRPr="4E83A0AA">
        <w:rPr>
          <w:rFonts w:ascii="Calibri" w:eastAsia="Calibri" w:hAnsi="Calibri" w:cs="Calibri"/>
        </w:rPr>
        <w:t xml:space="preserve"> </w:t>
      </w:r>
    </w:p>
    <w:p w14:paraId="2389D06F" w14:textId="77873A97" w:rsidR="4E83A0AA" w:rsidRDefault="4E83A0AA" w:rsidP="4E83A0AA">
      <w:pPr>
        <w:pStyle w:val="NoSpacing"/>
        <w:ind w:firstLine="720"/>
        <w:jc w:val="both"/>
        <w:rPr>
          <w:rFonts w:ascii="Calibri" w:eastAsia="Calibri" w:hAnsi="Calibri" w:cs="Calibri"/>
        </w:rPr>
      </w:pPr>
    </w:p>
    <w:p w14:paraId="47844371" w14:textId="69DB2E5E" w:rsidR="40B997D8" w:rsidRDefault="40B997D8" w:rsidP="4E83A0AA">
      <w:pPr>
        <w:pStyle w:val="NoSpacing"/>
        <w:ind w:firstLine="720"/>
        <w:jc w:val="both"/>
        <w:rPr>
          <w:rFonts w:ascii="Calibri" w:eastAsia="Calibri" w:hAnsi="Calibri" w:cs="Calibri"/>
        </w:rPr>
      </w:pPr>
      <w:r w:rsidRPr="4E83A0AA">
        <w:rPr>
          <w:rFonts w:ascii="Calibri" w:eastAsia="Calibri" w:hAnsi="Calibri" w:cs="Calibri"/>
          <w:color w:val="000000" w:themeColor="text1"/>
        </w:rPr>
        <w:t xml:space="preserve">Tenderers may use tables/diagrams and attachments to support and/or demonstrate they </w:t>
      </w:r>
      <w:r>
        <w:tab/>
      </w:r>
      <w:r w:rsidRPr="4E83A0AA">
        <w:rPr>
          <w:rFonts w:ascii="Calibri" w:eastAsia="Calibri" w:hAnsi="Calibri" w:cs="Calibri"/>
          <w:color w:val="000000" w:themeColor="text1"/>
        </w:rPr>
        <w:t xml:space="preserve">meet the Requirement.  The word count does not apply to these sections; however, they </w:t>
      </w:r>
      <w:r>
        <w:tab/>
      </w:r>
      <w:r w:rsidRPr="4E83A0AA">
        <w:rPr>
          <w:rFonts w:ascii="Calibri" w:eastAsia="Calibri" w:hAnsi="Calibri" w:cs="Calibri"/>
          <w:color w:val="000000" w:themeColor="text1"/>
        </w:rPr>
        <w:t xml:space="preserve">must be relevant to the response, clearly referenced and not contain the detail of the </w:t>
      </w:r>
      <w:r>
        <w:tab/>
      </w:r>
      <w:r>
        <w:tab/>
      </w:r>
      <w:r w:rsidRPr="4E83A0AA">
        <w:rPr>
          <w:rFonts w:ascii="Calibri" w:eastAsia="Calibri" w:hAnsi="Calibri" w:cs="Calibri"/>
          <w:color w:val="000000" w:themeColor="text1"/>
        </w:rPr>
        <w:t xml:space="preserve">response Tenderers require considering for their score to be awarded.  To avoid doubt, they </w:t>
      </w:r>
      <w:r>
        <w:tab/>
      </w:r>
      <w:r w:rsidRPr="4E83A0AA">
        <w:rPr>
          <w:rFonts w:ascii="Calibri" w:eastAsia="Calibri" w:hAnsi="Calibri" w:cs="Calibri"/>
          <w:color w:val="000000" w:themeColor="text1"/>
        </w:rPr>
        <w:t>are purely to support/evidence the Tenderers word count response.</w:t>
      </w:r>
    </w:p>
    <w:p w14:paraId="1EBD8A8C" w14:textId="254084D1" w:rsidR="4E83A0AA" w:rsidRDefault="4E83A0AA" w:rsidP="4E83A0AA">
      <w:pPr>
        <w:pStyle w:val="NoSpacing"/>
        <w:ind w:firstLine="720"/>
        <w:jc w:val="both"/>
        <w:rPr>
          <w:rFonts w:ascii="Calibri" w:eastAsia="Calibri" w:hAnsi="Calibri" w:cs="Calibri"/>
          <w:color w:val="000000" w:themeColor="text1"/>
        </w:rPr>
      </w:pPr>
    </w:p>
    <w:p w14:paraId="5356484A" w14:textId="071013A8" w:rsidR="2748F72A" w:rsidRDefault="2748F72A" w:rsidP="76F3EC52">
      <w:pPr>
        <w:pStyle w:val="NoSpacing"/>
        <w:ind w:left="720"/>
        <w:jc w:val="both"/>
      </w:pPr>
      <w:r w:rsidRPr="76F3EC52">
        <w:rPr>
          <w:rFonts w:ascii="Calibri" w:eastAsia="Calibri" w:hAnsi="Calibri" w:cs="Calibri"/>
        </w:rPr>
        <w:t xml:space="preserve">If the evaluation panel determines that a Tenderer is using an excessive number of supporting documents, tables, or diagrams </w:t>
      </w:r>
      <w:proofErr w:type="gramStart"/>
      <w:r w:rsidRPr="76F3EC52">
        <w:rPr>
          <w:rFonts w:ascii="Calibri" w:eastAsia="Calibri" w:hAnsi="Calibri" w:cs="Calibri"/>
        </w:rPr>
        <w:t>in an attempt to</w:t>
      </w:r>
      <w:proofErr w:type="gramEnd"/>
      <w:r w:rsidRPr="76F3EC52">
        <w:rPr>
          <w:rFonts w:ascii="Calibri" w:eastAsia="Calibri" w:hAnsi="Calibri" w:cs="Calibri"/>
        </w:rPr>
        <w:t xml:space="preserve"> circumvent the stated word count limits, such materials may be excluded from the evaluation process.</w:t>
      </w:r>
    </w:p>
    <w:p w14:paraId="716AC861" w14:textId="5134AC1C" w:rsidR="4E83A0AA" w:rsidRDefault="4E83A0AA" w:rsidP="76F3EC52">
      <w:pPr>
        <w:pStyle w:val="NoSpacing"/>
        <w:ind w:firstLine="720"/>
        <w:jc w:val="both"/>
        <w:rPr>
          <w:rFonts w:ascii="Calibri" w:eastAsia="Calibri" w:hAnsi="Calibri" w:cs="Calibri"/>
          <w:color w:val="000000" w:themeColor="text1"/>
        </w:rPr>
      </w:pPr>
    </w:p>
    <w:p w14:paraId="64996A67" w14:textId="215B3285" w:rsidR="0033156C" w:rsidRPr="00AE1207" w:rsidRDefault="00213452" w:rsidP="00F20EEC">
      <w:pPr>
        <w:ind w:left="720"/>
        <w:rPr>
          <w:rFonts w:eastAsiaTheme="majorEastAsia"/>
        </w:rPr>
      </w:pPr>
      <w:r w:rsidRPr="00213452">
        <w:rPr>
          <w:rFonts w:eastAsiaTheme="majorEastAsia"/>
        </w:rPr>
        <w:t>Evaluators will provide independent scores</w:t>
      </w:r>
      <w:r w:rsidR="000E1994">
        <w:rPr>
          <w:rFonts w:eastAsiaTheme="majorEastAsia"/>
        </w:rPr>
        <w:t>,</w:t>
      </w:r>
      <w:r w:rsidRPr="00213452">
        <w:rPr>
          <w:rFonts w:eastAsiaTheme="majorEastAsia"/>
        </w:rPr>
        <w:t xml:space="preserve"> and a consensus score will be used when independent scores vary. </w:t>
      </w:r>
    </w:p>
    <w:tbl>
      <w:tblPr>
        <w:tblStyle w:val="ListTable3"/>
        <w:tblW w:w="8460" w:type="dxa"/>
        <w:tblInd w:w="607" w:type="dxa"/>
        <w:tblLook w:val="0000" w:firstRow="0" w:lastRow="0" w:firstColumn="0" w:lastColumn="0" w:noHBand="0" w:noVBand="0"/>
      </w:tblPr>
      <w:tblGrid>
        <w:gridCol w:w="1276"/>
        <w:gridCol w:w="1418"/>
        <w:gridCol w:w="1230"/>
        <w:gridCol w:w="1560"/>
        <w:gridCol w:w="1275"/>
        <w:gridCol w:w="1701"/>
      </w:tblGrid>
      <w:tr w:rsidR="00CC2C42" w:rsidRPr="0033156C" w14:paraId="5A1D8E9C" w14:textId="77777777" w:rsidTr="006F500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8460" w:type="dxa"/>
            <w:gridSpan w:val="6"/>
            <w:shd w:val="clear" w:color="auto" w:fill="1F3864" w:themeFill="accent1" w:themeFillShade="80"/>
          </w:tcPr>
          <w:p w14:paraId="5E541103" w14:textId="55AC192A" w:rsidR="00CC2C42" w:rsidRPr="00241318" w:rsidRDefault="00CC2C42" w:rsidP="00E8198B">
            <w:pPr>
              <w:pStyle w:val="NoSpacing"/>
              <w:rPr>
                <w:b/>
                <w:bCs/>
                <w:sz w:val="18"/>
                <w:szCs w:val="18"/>
                <w:u w:val="single"/>
              </w:rPr>
            </w:pPr>
            <w:r w:rsidRPr="00241318">
              <w:rPr>
                <w:b/>
                <w:bCs/>
              </w:rPr>
              <w:lastRenderedPageBreak/>
              <w:t xml:space="preserve">Worked Example </w:t>
            </w:r>
            <w:r w:rsidRPr="00241318">
              <w:t>(For example purposes only</w:t>
            </w:r>
            <w:r w:rsidR="00415285" w:rsidRPr="00241318">
              <w:t>, not related to this tender</w:t>
            </w:r>
            <w:r w:rsidRPr="00241318">
              <w:t>)</w:t>
            </w:r>
          </w:p>
        </w:tc>
      </w:tr>
      <w:tr w:rsidR="00CC2C42" w:rsidRPr="0033156C" w14:paraId="55730536" w14:textId="77777777" w:rsidTr="006F5008">
        <w:tc>
          <w:tcPr>
            <w:cnfStyle w:val="000010000000" w:firstRow="0" w:lastRow="0" w:firstColumn="0" w:lastColumn="0" w:oddVBand="1" w:evenVBand="0" w:oddHBand="0" w:evenHBand="0" w:firstRowFirstColumn="0" w:firstRowLastColumn="0" w:lastRowFirstColumn="0" w:lastRowLastColumn="0"/>
            <w:tcW w:w="8460" w:type="dxa"/>
            <w:gridSpan w:val="6"/>
          </w:tcPr>
          <w:p w14:paraId="3AF4CD71" w14:textId="77777777" w:rsidR="00CC2C42" w:rsidRPr="00241318" w:rsidRDefault="00CC2C42" w:rsidP="00E8198B">
            <w:pPr>
              <w:spacing w:after="160" w:line="259" w:lineRule="auto"/>
              <w:rPr>
                <w:b/>
                <w:bCs/>
                <w:sz w:val="18"/>
                <w:szCs w:val="18"/>
              </w:rPr>
            </w:pPr>
            <w:r w:rsidRPr="00241318">
              <w:rPr>
                <w:b/>
                <w:bCs/>
                <w:i/>
                <w:sz w:val="18"/>
                <w:szCs w:val="18"/>
              </w:rPr>
              <w:t>The formula</w:t>
            </w:r>
            <w:r w:rsidRPr="00241318">
              <w:rPr>
                <w:b/>
                <w:bCs/>
                <w:sz w:val="18"/>
                <w:szCs w:val="18"/>
              </w:rPr>
              <w:t>:</w:t>
            </w:r>
          </w:p>
          <w:p w14:paraId="5C7A2890" w14:textId="77777777" w:rsidR="00CC2C42" w:rsidRPr="00241318" w:rsidRDefault="00CC2C42" w:rsidP="00E8198B">
            <w:pPr>
              <w:spacing w:after="160" w:line="259" w:lineRule="auto"/>
              <w:rPr>
                <w:i/>
                <w:sz w:val="18"/>
                <w:szCs w:val="18"/>
                <w:u w:val="single"/>
              </w:rPr>
            </w:pPr>
            <w:r w:rsidRPr="00241318">
              <w:rPr>
                <w:i/>
                <w:sz w:val="18"/>
                <w:szCs w:val="18"/>
              </w:rPr>
              <w:t xml:space="preserve">(Score of question being evaluated/Maximum points available for question) x question weighing = Weighted score.  Sum of weighted scores * Quality section % weighing = </w:t>
            </w:r>
            <w:r w:rsidRPr="00241318">
              <w:rPr>
                <w:b/>
                <w:bCs/>
                <w:i/>
                <w:sz w:val="18"/>
                <w:szCs w:val="18"/>
              </w:rPr>
              <w:t>Overall Quality Score %</w:t>
            </w:r>
          </w:p>
        </w:tc>
      </w:tr>
      <w:tr w:rsidR="00CC2C42" w:rsidRPr="0033156C" w14:paraId="58E20EB4" w14:textId="77777777" w:rsidTr="006F5008">
        <w:trPr>
          <w:cnfStyle w:val="000000100000" w:firstRow="0" w:lastRow="0" w:firstColumn="0" w:lastColumn="0" w:oddVBand="0" w:evenVBand="0" w:oddHBand="1" w:evenHBand="0" w:firstRowFirstColumn="0" w:firstRowLastColumn="0" w:lastRowFirstColumn="0" w:lastRowLastColumn="0"/>
          <w:trHeight w:val="330"/>
        </w:trPr>
        <w:tc>
          <w:tcPr>
            <w:cnfStyle w:val="000010000000" w:firstRow="0" w:lastRow="0" w:firstColumn="0" w:lastColumn="0" w:oddVBand="1" w:evenVBand="0" w:oddHBand="0" w:evenHBand="0" w:firstRowFirstColumn="0" w:firstRowLastColumn="0" w:lastRowFirstColumn="0" w:lastRowLastColumn="0"/>
            <w:tcW w:w="2694" w:type="dxa"/>
            <w:gridSpan w:val="2"/>
            <w:shd w:val="clear" w:color="auto" w:fill="1F3864" w:themeFill="accent1" w:themeFillShade="80"/>
          </w:tcPr>
          <w:p w14:paraId="389BCDD9" w14:textId="77777777" w:rsidR="00CC2C42" w:rsidRPr="00241318" w:rsidRDefault="00CC2C42" w:rsidP="00E8198B">
            <w:pPr>
              <w:spacing w:after="160" w:line="259" w:lineRule="auto"/>
              <w:rPr>
                <w:i/>
                <w:sz w:val="18"/>
                <w:szCs w:val="18"/>
              </w:rPr>
            </w:pPr>
          </w:p>
        </w:tc>
        <w:tc>
          <w:tcPr>
            <w:tcW w:w="2790" w:type="dxa"/>
            <w:gridSpan w:val="2"/>
            <w:shd w:val="clear" w:color="auto" w:fill="1F3864" w:themeFill="accent1" w:themeFillShade="80"/>
          </w:tcPr>
          <w:p w14:paraId="4C34C085" w14:textId="77777777" w:rsidR="00CC2C42" w:rsidRPr="00241318" w:rsidRDefault="00CC2C42" w:rsidP="00E8198B">
            <w:pPr>
              <w:spacing w:after="160" w:line="259" w:lineRule="auto"/>
              <w:cnfStyle w:val="000000100000" w:firstRow="0" w:lastRow="0" w:firstColumn="0" w:lastColumn="0" w:oddVBand="0" w:evenVBand="0" w:oddHBand="1" w:evenHBand="0" w:firstRowFirstColumn="0" w:firstRowLastColumn="0" w:lastRowFirstColumn="0" w:lastRowLastColumn="0"/>
              <w:rPr>
                <w:b/>
                <w:bCs/>
                <w:iCs/>
                <w:color w:val="FFFFFF" w:themeColor="background1"/>
                <w:sz w:val="18"/>
                <w:szCs w:val="18"/>
              </w:rPr>
            </w:pPr>
            <w:r w:rsidRPr="00241318">
              <w:rPr>
                <w:b/>
                <w:bCs/>
                <w:iCs/>
                <w:color w:val="FFFFFF" w:themeColor="background1"/>
                <w:sz w:val="18"/>
                <w:szCs w:val="18"/>
              </w:rPr>
              <w:t>Tenderer 1</w:t>
            </w:r>
          </w:p>
        </w:tc>
        <w:tc>
          <w:tcPr>
            <w:cnfStyle w:val="000010000000" w:firstRow="0" w:lastRow="0" w:firstColumn="0" w:lastColumn="0" w:oddVBand="1" w:evenVBand="0" w:oddHBand="0" w:evenHBand="0" w:firstRowFirstColumn="0" w:firstRowLastColumn="0" w:lastRowFirstColumn="0" w:lastRowLastColumn="0"/>
            <w:tcW w:w="2976" w:type="dxa"/>
            <w:gridSpan w:val="2"/>
            <w:shd w:val="clear" w:color="auto" w:fill="1F3864" w:themeFill="accent1" w:themeFillShade="80"/>
          </w:tcPr>
          <w:p w14:paraId="1ECA7B1F" w14:textId="77777777" w:rsidR="00CC2C42" w:rsidRPr="00241318" w:rsidRDefault="00CC2C42" w:rsidP="00E8198B">
            <w:pPr>
              <w:spacing w:after="160" w:line="259" w:lineRule="auto"/>
              <w:rPr>
                <w:b/>
                <w:bCs/>
                <w:iCs/>
                <w:color w:val="FFFFFF" w:themeColor="background1"/>
                <w:sz w:val="18"/>
                <w:szCs w:val="18"/>
              </w:rPr>
            </w:pPr>
            <w:r w:rsidRPr="00241318">
              <w:rPr>
                <w:b/>
                <w:bCs/>
                <w:iCs/>
                <w:color w:val="FFFFFF" w:themeColor="background1"/>
                <w:sz w:val="18"/>
                <w:szCs w:val="18"/>
              </w:rPr>
              <w:t>Tenderer 2</w:t>
            </w:r>
          </w:p>
        </w:tc>
      </w:tr>
      <w:tr w:rsidR="00CC2C42" w:rsidRPr="0033156C" w14:paraId="5A51A37F" w14:textId="77777777" w:rsidTr="006F5008">
        <w:trPr>
          <w:trHeight w:val="330"/>
        </w:trPr>
        <w:tc>
          <w:tcPr>
            <w:cnfStyle w:val="000010000000" w:firstRow="0" w:lastRow="0" w:firstColumn="0" w:lastColumn="0" w:oddVBand="1" w:evenVBand="0" w:oddHBand="0" w:evenHBand="0" w:firstRowFirstColumn="0" w:firstRowLastColumn="0" w:lastRowFirstColumn="0" w:lastRowLastColumn="0"/>
            <w:tcW w:w="1276" w:type="dxa"/>
            <w:shd w:val="clear" w:color="auto" w:fill="F2F2F2" w:themeFill="background1" w:themeFillShade="F2"/>
          </w:tcPr>
          <w:p w14:paraId="735B034D" w14:textId="77777777" w:rsidR="00CC2C42" w:rsidRPr="00241318" w:rsidRDefault="00CC2C42" w:rsidP="00E8198B">
            <w:pPr>
              <w:spacing w:after="160" w:line="259" w:lineRule="auto"/>
              <w:rPr>
                <w:iCs/>
                <w:sz w:val="18"/>
                <w:szCs w:val="18"/>
              </w:rPr>
            </w:pPr>
            <w:r w:rsidRPr="00241318">
              <w:rPr>
                <w:iCs/>
                <w:sz w:val="18"/>
                <w:szCs w:val="18"/>
              </w:rPr>
              <w:t>Question 1</w:t>
            </w:r>
          </w:p>
        </w:tc>
        <w:tc>
          <w:tcPr>
            <w:tcW w:w="1418" w:type="dxa"/>
            <w:shd w:val="clear" w:color="auto" w:fill="F2F2F2" w:themeFill="background1" w:themeFillShade="F2"/>
          </w:tcPr>
          <w:p w14:paraId="059AA11B" w14:textId="77777777" w:rsidR="00CC2C42" w:rsidRPr="00241318" w:rsidRDefault="00CC2C42" w:rsidP="00E8198B">
            <w:pPr>
              <w:spacing w:after="160" w:line="259" w:lineRule="auto"/>
              <w:cnfStyle w:val="000000000000" w:firstRow="0" w:lastRow="0" w:firstColumn="0" w:lastColumn="0" w:oddVBand="0" w:evenVBand="0" w:oddHBand="0" w:evenHBand="0" w:firstRowFirstColumn="0" w:firstRowLastColumn="0" w:lastRowFirstColumn="0" w:lastRowLastColumn="0"/>
              <w:rPr>
                <w:iCs/>
                <w:sz w:val="18"/>
                <w:szCs w:val="18"/>
              </w:rPr>
            </w:pPr>
            <w:r w:rsidRPr="00241318">
              <w:rPr>
                <w:iCs/>
                <w:sz w:val="18"/>
                <w:szCs w:val="18"/>
              </w:rPr>
              <w:t>Weighting: 10%</w:t>
            </w:r>
          </w:p>
        </w:tc>
        <w:tc>
          <w:tcPr>
            <w:cnfStyle w:val="000010000000" w:firstRow="0" w:lastRow="0" w:firstColumn="0" w:lastColumn="0" w:oddVBand="1" w:evenVBand="0" w:oddHBand="0" w:evenHBand="0" w:firstRowFirstColumn="0" w:firstRowLastColumn="0" w:lastRowFirstColumn="0" w:lastRowLastColumn="0"/>
            <w:tcW w:w="1230" w:type="dxa"/>
          </w:tcPr>
          <w:p w14:paraId="18232D4D" w14:textId="1BB64DEE" w:rsidR="00CC2C42" w:rsidRPr="00241318" w:rsidRDefault="00CC2C42" w:rsidP="00E8198B">
            <w:pPr>
              <w:spacing w:after="160" w:line="259" w:lineRule="auto"/>
              <w:rPr>
                <w:iCs/>
                <w:sz w:val="18"/>
                <w:szCs w:val="18"/>
              </w:rPr>
            </w:pPr>
            <w:r w:rsidRPr="00241318">
              <w:rPr>
                <w:iCs/>
                <w:sz w:val="18"/>
                <w:szCs w:val="18"/>
              </w:rPr>
              <w:t xml:space="preserve">Score: </w:t>
            </w:r>
            <w:r w:rsidR="00BC3C8C" w:rsidRPr="00241318">
              <w:rPr>
                <w:iCs/>
                <w:sz w:val="18"/>
                <w:szCs w:val="18"/>
              </w:rPr>
              <w:t>5/5</w:t>
            </w:r>
          </w:p>
        </w:tc>
        <w:tc>
          <w:tcPr>
            <w:tcW w:w="1560" w:type="dxa"/>
          </w:tcPr>
          <w:p w14:paraId="188DA80F" w14:textId="77777777" w:rsidR="00CC2C42" w:rsidRPr="00241318" w:rsidRDefault="00CC2C42" w:rsidP="00E8198B">
            <w:pPr>
              <w:spacing w:after="160" w:line="259" w:lineRule="auto"/>
              <w:cnfStyle w:val="000000000000" w:firstRow="0" w:lastRow="0" w:firstColumn="0" w:lastColumn="0" w:oddVBand="0" w:evenVBand="0" w:oddHBand="0" w:evenHBand="0" w:firstRowFirstColumn="0" w:firstRowLastColumn="0" w:lastRowFirstColumn="0" w:lastRowLastColumn="0"/>
              <w:rPr>
                <w:iCs/>
                <w:sz w:val="18"/>
                <w:szCs w:val="18"/>
              </w:rPr>
            </w:pPr>
            <w:r w:rsidRPr="00241318">
              <w:rPr>
                <w:iCs/>
                <w:sz w:val="18"/>
                <w:szCs w:val="18"/>
              </w:rPr>
              <w:t>Weighted score: 10%</w:t>
            </w:r>
          </w:p>
        </w:tc>
        <w:tc>
          <w:tcPr>
            <w:cnfStyle w:val="000010000000" w:firstRow="0" w:lastRow="0" w:firstColumn="0" w:lastColumn="0" w:oddVBand="1" w:evenVBand="0" w:oddHBand="0" w:evenHBand="0" w:firstRowFirstColumn="0" w:firstRowLastColumn="0" w:lastRowFirstColumn="0" w:lastRowLastColumn="0"/>
            <w:tcW w:w="1275" w:type="dxa"/>
          </w:tcPr>
          <w:p w14:paraId="0D750D10" w14:textId="529DC4B0" w:rsidR="00CC2C42" w:rsidRPr="00241318" w:rsidRDefault="00CC2C42" w:rsidP="00E8198B">
            <w:pPr>
              <w:spacing w:after="160" w:line="259" w:lineRule="auto"/>
              <w:ind w:left="-41" w:firstLine="41"/>
              <w:rPr>
                <w:iCs/>
                <w:sz w:val="18"/>
                <w:szCs w:val="18"/>
              </w:rPr>
            </w:pPr>
            <w:r w:rsidRPr="00241318">
              <w:rPr>
                <w:iCs/>
                <w:sz w:val="18"/>
                <w:szCs w:val="18"/>
              </w:rPr>
              <w:t xml:space="preserve">Score: </w:t>
            </w:r>
            <w:r w:rsidR="00BC3C8C" w:rsidRPr="00241318">
              <w:rPr>
                <w:iCs/>
                <w:sz w:val="18"/>
                <w:szCs w:val="18"/>
              </w:rPr>
              <w:t>3</w:t>
            </w:r>
            <w:r w:rsidRPr="00241318">
              <w:rPr>
                <w:iCs/>
                <w:sz w:val="18"/>
                <w:szCs w:val="18"/>
              </w:rPr>
              <w:t>/</w:t>
            </w:r>
            <w:r w:rsidR="00BC3C8C" w:rsidRPr="00241318">
              <w:rPr>
                <w:iCs/>
                <w:sz w:val="18"/>
                <w:szCs w:val="18"/>
              </w:rPr>
              <w:t>5</w:t>
            </w:r>
          </w:p>
        </w:tc>
        <w:tc>
          <w:tcPr>
            <w:tcW w:w="1701" w:type="dxa"/>
          </w:tcPr>
          <w:p w14:paraId="5E82C879" w14:textId="6EDD45F8" w:rsidR="00CC2C42" w:rsidRPr="00241318" w:rsidRDefault="00CC2C42" w:rsidP="00E8198B">
            <w:pPr>
              <w:spacing w:after="160" w:line="259" w:lineRule="auto"/>
              <w:cnfStyle w:val="000000000000" w:firstRow="0" w:lastRow="0" w:firstColumn="0" w:lastColumn="0" w:oddVBand="0" w:evenVBand="0" w:oddHBand="0" w:evenHBand="0" w:firstRowFirstColumn="0" w:firstRowLastColumn="0" w:lastRowFirstColumn="0" w:lastRowLastColumn="0"/>
              <w:rPr>
                <w:iCs/>
                <w:sz w:val="18"/>
                <w:szCs w:val="18"/>
              </w:rPr>
            </w:pPr>
            <w:r w:rsidRPr="00241318">
              <w:rPr>
                <w:iCs/>
                <w:sz w:val="18"/>
                <w:szCs w:val="18"/>
              </w:rPr>
              <w:t xml:space="preserve">Weighted score: </w:t>
            </w:r>
            <w:r w:rsidR="008C4376" w:rsidRPr="00241318">
              <w:rPr>
                <w:iCs/>
                <w:sz w:val="18"/>
                <w:szCs w:val="18"/>
              </w:rPr>
              <w:t>6</w:t>
            </w:r>
            <w:r w:rsidRPr="00241318">
              <w:rPr>
                <w:iCs/>
                <w:sz w:val="18"/>
                <w:szCs w:val="18"/>
              </w:rPr>
              <w:t>%</w:t>
            </w:r>
          </w:p>
        </w:tc>
      </w:tr>
      <w:tr w:rsidR="00CC2C42" w:rsidRPr="0033156C" w14:paraId="59EFDD85" w14:textId="77777777" w:rsidTr="006F5008">
        <w:trPr>
          <w:cnfStyle w:val="000000100000" w:firstRow="0" w:lastRow="0" w:firstColumn="0" w:lastColumn="0" w:oddVBand="0" w:evenVBand="0" w:oddHBand="1" w:evenHBand="0" w:firstRowFirstColumn="0" w:firstRowLastColumn="0" w:lastRowFirstColumn="0" w:lastRowLastColumn="0"/>
          <w:trHeight w:val="330"/>
        </w:trPr>
        <w:tc>
          <w:tcPr>
            <w:cnfStyle w:val="000010000000" w:firstRow="0" w:lastRow="0" w:firstColumn="0" w:lastColumn="0" w:oddVBand="1" w:evenVBand="0" w:oddHBand="0" w:evenHBand="0" w:firstRowFirstColumn="0" w:firstRowLastColumn="0" w:lastRowFirstColumn="0" w:lastRowLastColumn="0"/>
            <w:tcW w:w="1276" w:type="dxa"/>
            <w:shd w:val="clear" w:color="auto" w:fill="F2F2F2" w:themeFill="background1" w:themeFillShade="F2"/>
          </w:tcPr>
          <w:p w14:paraId="08FA1B4D" w14:textId="77777777" w:rsidR="00CC2C42" w:rsidRPr="00241318" w:rsidRDefault="00CC2C42" w:rsidP="00E8198B">
            <w:pPr>
              <w:spacing w:after="160" w:line="259" w:lineRule="auto"/>
              <w:rPr>
                <w:iCs/>
                <w:sz w:val="18"/>
                <w:szCs w:val="18"/>
              </w:rPr>
            </w:pPr>
            <w:r w:rsidRPr="00241318">
              <w:rPr>
                <w:iCs/>
                <w:sz w:val="18"/>
                <w:szCs w:val="18"/>
              </w:rPr>
              <w:t>Question 2</w:t>
            </w:r>
          </w:p>
        </w:tc>
        <w:tc>
          <w:tcPr>
            <w:tcW w:w="1418" w:type="dxa"/>
            <w:shd w:val="clear" w:color="auto" w:fill="F2F2F2" w:themeFill="background1" w:themeFillShade="F2"/>
          </w:tcPr>
          <w:p w14:paraId="7DF61C7B" w14:textId="77777777" w:rsidR="00CC2C42" w:rsidRPr="00241318" w:rsidRDefault="00CC2C42" w:rsidP="00E8198B">
            <w:pPr>
              <w:spacing w:after="160" w:line="259" w:lineRule="auto"/>
              <w:cnfStyle w:val="000000100000" w:firstRow="0" w:lastRow="0" w:firstColumn="0" w:lastColumn="0" w:oddVBand="0" w:evenVBand="0" w:oddHBand="1" w:evenHBand="0" w:firstRowFirstColumn="0" w:firstRowLastColumn="0" w:lastRowFirstColumn="0" w:lastRowLastColumn="0"/>
              <w:rPr>
                <w:iCs/>
                <w:sz w:val="18"/>
                <w:szCs w:val="18"/>
              </w:rPr>
            </w:pPr>
            <w:r w:rsidRPr="00241318">
              <w:rPr>
                <w:iCs/>
                <w:sz w:val="18"/>
                <w:szCs w:val="18"/>
              </w:rPr>
              <w:t>Weighting: 10%</w:t>
            </w:r>
          </w:p>
        </w:tc>
        <w:tc>
          <w:tcPr>
            <w:cnfStyle w:val="000010000000" w:firstRow="0" w:lastRow="0" w:firstColumn="0" w:lastColumn="0" w:oddVBand="1" w:evenVBand="0" w:oddHBand="0" w:evenHBand="0" w:firstRowFirstColumn="0" w:firstRowLastColumn="0" w:lastRowFirstColumn="0" w:lastRowLastColumn="0"/>
            <w:tcW w:w="1230" w:type="dxa"/>
          </w:tcPr>
          <w:p w14:paraId="65AF8DC5" w14:textId="30113440" w:rsidR="00CC2C42" w:rsidRPr="00241318" w:rsidRDefault="00CC2C42" w:rsidP="00E8198B">
            <w:pPr>
              <w:spacing w:after="160" w:line="259" w:lineRule="auto"/>
              <w:rPr>
                <w:iCs/>
                <w:sz w:val="18"/>
                <w:szCs w:val="18"/>
              </w:rPr>
            </w:pPr>
            <w:r w:rsidRPr="00241318">
              <w:rPr>
                <w:iCs/>
                <w:sz w:val="18"/>
                <w:szCs w:val="18"/>
              </w:rPr>
              <w:t xml:space="preserve">Score: </w:t>
            </w:r>
            <w:r w:rsidR="00EC07EC" w:rsidRPr="00241318">
              <w:rPr>
                <w:iCs/>
                <w:sz w:val="18"/>
                <w:szCs w:val="18"/>
              </w:rPr>
              <w:t>3</w:t>
            </w:r>
            <w:r w:rsidRPr="00241318">
              <w:rPr>
                <w:iCs/>
                <w:sz w:val="18"/>
                <w:szCs w:val="18"/>
              </w:rPr>
              <w:t>/</w:t>
            </w:r>
            <w:r w:rsidR="00EC07EC" w:rsidRPr="00241318">
              <w:rPr>
                <w:iCs/>
                <w:sz w:val="18"/>
                <w:szCs w:val="18"/>
              </w:rPr>
              <w:t>5</w:t>
            </w:r>
          </w:p>
        </w:tc>
        <w:tc>
          <w:tcPr>
            <w:tcW w:w="1560" w:type="dxa"/>
          </w:tcPr>
          <w:p w14:paraId="1ADEBEC5" w14:textId="783A0844" w:rsidR="00CC2C42" w:rsidRPr="00241318" w:rsidRDefault="00CC2C42" w:rsidP="00E8198B">
            <w:pPr>
              <w:spacing w:after="160" w:line="259" w:lineRule="auto"/>
              <w:cnfStyle w:val="000000100000" w:firstRow="0" w:lastRow="0" w:firstColumn="0" w:lastColumn="0" w:oddVBand="0" w:evenVBand="0" w:oddHBand="1" w:evenHBand="0" w:firstRowFirstColumn="0" w:firstRowLastColumn="0" w:lastRowFirstColumn="0" w:lastRowLastColumn="0"/>
              <w:rPr>
                <w:iCs/>
                <w:sz w:val="18"/>
                <w:szCs w:val="18"/>
              </w:rPr>
            </w:pPr>
            <w:r w:rsidRPr="00241318">
              <w:rPr>
                <w:iCs/>
                <w:sz w:val="18"/>
                <w:szCs w:val="18"/>
              </w:rPr>
              <w:t xml:space="preserve">Weighted score: </w:t>
            </w:r>
            <w:r w:rsidR="00EC07EC" w:rsidRPr="00241318">
              <w:rPr>
                <w:iCs/>
                <w:sz w:val="18"/>
                <w:szCs w:val="18"/>
              </w:rPr>
              <w:t>6</w:t>
            </w:r>
            <w:r w:rsidRPr="00241318">
              <w:rPr>
                <w:iCs/>
                <w:sz w:val="18"/>
                <w:szCs w:val="18"/>
              </w:rPr>
              <w:t>%</w:t>
            </w:r>
          </w:p>
        </w:tc>
        <w:tc>
          <w:tcPr>
            <w:cnfStyle w:val="000010000000" w:firstRow="0" w:lastRow="0" w:firstColumn="0" w:lastColumn="0" w:oddVBand="1" w:evenVBand="0" w:oddHBand="0" w:evenHBand="0" w:firstRowFirstColumn="0" w:firstRowLastColumn="0" w:lastRowFirstColumn="0" w:lastRowLastColumn="0"/>
            <w:tcW w:w="1275" w:type="dxa"/>
          </w:tcPr>
          <w:p w14:paraId="6E495D3C" w14:textId="03D8D287" w:rsidR="00CC2C42" w:rsidRPr="00241318" w:rsidRDefault="00CC2C42" w:rsidP="00E8198B">
            <w:pPr>
              <w:spacing w:after="160" w:line="259" w:lineRule="auto"/>
              <w:rPr>
                <w:iCs/>
                <w:sz w:val="18"/>
                <w:szCs w:val="18"/>
              </w:rPr>
            </w:pPr>
            <w:r w:rsidRPr="00241318">
              <w:rPr>
                <w:iCs/>
                <w:sz w:val="18"/>
                <w:szCs w:val="18"/>
              </w:rPr>
              <w:t xml:space="preserve">Score: </w:t>
            </w:r>
            <w:r w:rsidR="00EC07EC" w:rsidRPr="00241318">
              <w:rPr>
                <w:iCs/>
                <w:sz w:val="18"/>
                <w:szCs w:val="18"/>
              </w:rPr>
              <w:t>5</w:t>
            </w:r>
            <w:r w:rsidRPr="00241318">
              <w:rPr>
                <w:iCs/>
                <w:sz w:val="18"/>
                <w:szCs w:val="18"/>
              </w:rPr>
              <w:t>/</w:t>
            </w:r>
            <w:r w:rsidR="00EC07EC" w:rsidRPr="00241318">
              <w:rPr>
                <w:iCs/>
                <w:sz w:val="18"/>
                <w:szCs w:val="18"/>
              </w:rPr>
              <w:t>5</w:t>
            </w:r>
          </w:p>
        </w:tc>
        <w:tc>
          <w:tcPr>
            <w:tcW w:w="1701" w:type="dxa"/>
          </w:tcPr>
          <w:p w14:paraId="0F8AC68E" w14:textId="77777777" w:rsidR="00CC2C42" w:rsidRPr="00241318" w:rsidRDefault="00CC2C42" w:rsidP="00E8198B">
            <w:pPr>
              <w:spacing w:after="160" w:line="259" w:lineRule="auto"/>
              <w:cnfStyle w:val="000000100000" w:firstRow="0" w:lastRow="0" w:firstColumn="0" w:lastColumn="0" w:oddVBand="0" w:evenVBand="0" w:oddHBand="1" w:evenHBand="0" w:firstRowFirstColumn="0" w:firstRowLastColumn="0" w:lastRowFirstColumn="0" w:lastRowLastColumn="0"/>
              <w:rPr>
                <w:iCs/>
                <w:sz w:val="18"/>
                <w:szCs w:val="18"/>
              </w:rPr>
            </w:pPr>
            <w:r w:rsidRPr="00241318">
              <w:rPr>
                <w:iCs/>
                <w:sz w:val="18"/>
                <w:szCs w:val="18"/>
              </w:rPr>
              <w:t>Weighted score: 10%</w:t>
            </w:r>
          </w:p>
        </w:tc>
      </w:tr>
      <w:tr w:rsidR="00CC2C42" w:rsidRPr="0033156C" w14:paraId="3AB4D5F7" w14:textId="77777777" w:rsidTr="006F5008">
        <w:trPr>
          <w:trHeight w:val="330"/>
        </w:trPr>
        <w:tc>
          <w:tcPr>
            <w:cnfStyle w:val="000010000000" w:firstRow="0" w:lastRow="0" w:firstColumn="0" w:lastColumn="0" w:oddVBand="1" w:evenVBand="0" w:oddHBand="0" w:evenHBand="0" w:firstRowFirstColumn="0" w:firstRowLastColumn="0" w:lastRowFirstColumn="0" w:lastRowLastColumn="0"/>
            <w:tcW w:w="1276" w:type="dxa"/>
            <w:shd w:val="clear" w:color="auto" w:fill="F2F2F2" w:themeFill="background1" w:themeFillShade="F2"/>
          </w:tcPr>
          <w:p w14:paraId="62123066" w14:textId="77777777" w:rsidR="00CC2C42" w:rsidRPr="00241318" w:rsidRDefault="00CC2C42" w:rsidP="00E8198B">
            <w:pPr>
              <w:spacing w:after="160" w:line="259" w:lineRule="auto"/>
              <w:rPr>
                <w:iCs/>
                <w:sz w:val="18"/>
                <w:szCs w:val="18"/>
              </w:rPr>
            </w:pPr>
            <w:r w:rsidRPr="00241318">
              <w:rPr>
                <w:iCs/>
                <w:sz w:val="18"/>
                <w:szCs w:val="18"/>
              </w:rPr>
              <w:t>Question 3</w:t>
            </w:r>
          </w:p>
        </w:tc>
        <w:tc>
          <w:tcPr>
            <w:tcW w:w="1418" w:type="dxa"/>
            <w:shd w:val="clear" w:color="auto" w:fill="F2F2F2" w:themeFill="background1" w:themeFillShade="F2"/>
          </w:tcPr>
          <w:p w14:paraId="6ED7A746" w14:textId="77777777" w:rsidR="00CC2C42" w:rsidRPr="00241318" w:rsidRDefault="00CC2C42" w:rsidP="00E8198B">
            <w:pPr>
              <w:spacing w:after="160" w:line="259" w:lineRule="auto"/>
              <w:cnfStyle w:val="000000000000" w:firstRow="0" w:lastRow="0" w:firstColumn="0" w:lastColumn="0" w:oddVBand="0" w:evenVBand="0" w:oddHBand="0" w:evenHBand="0" w:firstRowFirstColumn="0" w:firstRowLastColumn="0" w:lastRowFirstColumn="0" w:lastRowLastColumn="0"/>
              <w:rPr>
                <w:iCs/>
                <w:sz w:val="18"/>
                <w:szCs w:val="18"/>
              </w:rPr>
            </w:pPr>
            <w:r w:rsidRPr="00241318">
              <w:rPr>
                <w:iCs/>
                <w:sz w:val="18"/>
                <w:szCs w:val="18"/>
              </w:rPr>
              <w:t>Weighting: 20%</w:t>
            </w:r>
          </w:p>
        </w:tc>
        <w:tc>
          <w:tcPr>
            <w:cnfStyle w:val="000010000000" w:firstRow="0" w:lastRow="0" w:firstColumn="0" w:lastColumn="0" w:oddVBand="1" w:evenVBand="0" w:oddHBand="0" w:evenHBand="0" w:firstRowFirstColumn="0" w:firstRowLastColumn="0" w:lastRowFirstColumn="0" w:lastRowLastColumn="0"/>
            <w:tcW w:w="1230" w:type="dxa"/>
          </w:tcPr>
          <w:p w14:paraId="623909AF" w14:textId="2E39BED6" w:rsidR="00CC2C42" w:rsidRPr="00241318" w:rsidRDefault="00CC2C42" w:rsidP="00E8198B">
            <w:pPr>
              <w:spacing w:after="160" w:line="259" w:lineRule="auto"/>
              <w:rPr>
                <w:iCs/>
                <w:sz w:val="18"/>
                <w:szCs w:val="18"/>
              </w:rPr>
            </w:pPr>
            <w:r w:rsidRPr="00241318">
              <w:rPr>
                <w:iCs/>
                <w:sz w:val="18"/>
                <w:szCs w:val="18"/>
              </w:rPr>
              <w:t xml:space="preserve">Score: </w:t>
            </w:r>
            <w:r w:rsidR="007E6DAC" w:rsidRPr="00241318">
              <w:rPr>
                <w:iCs/>
                <w:sz w:val="18"/>
                <w:szCs w:val="18"/>
              </w:rPr>
              <w:t>3</w:t>
            </w:r>
            <w:r w:rsidRPr="00241318">
              <w:rPr>
                <w:iCs/>
                <w:sz w:val="18"/>
                <w:szCs w:val="18"/>
              </w:rPr>
              <w:t>/</w:t>
            </w:r>
            <w:r w:rsidR="007E6DAC" w:rsidRPr="00241318">
              <w:rPr>
                <w:iCs/>
                <w:sz w:val="18"/>
                <w:szCs w:val="18"/>
              </w:rPr>
              <w:t>5</w:t>
            </w:r>
          </w:p>
        </w:tc>
        <w:tc>
          <w:tcPr>
            <w:tcW w:w="1560" w:type="dxa"/>
          </w:tcPr>
          <w:p w14:paraId="41357616" w14:textId="7D97B85D" w:rsidR="00CC2C42" w:rsidRPr="00241318" w:rsidRDefault="00CC2C42" w:rsidP="00E8198B">
            <w:pPr>
              <w:spacing w:after="160" w:line="259" w:lineRule="auto"/>
              <w:cnfStyle w:val="000000000000" w:firstRow="0" w:lastRow="0" w:firstColumn="0" w:lastColumn="0" w:oddVBand="0" w:evenVBand="0" w:oddHBand="0" w:evenHBand="0" w:firstRowFirstColumn="0" w:firstRowLastColumn="0" w:lastRowFirstColumn="0" w:lastRowLastColumn="0"/>
              <w:rPr>
                <w:iCs/>
                <w:sz w:val="18"/>
                <w:szCs w:val="18"/>
              </w:rPr>
            </w:pPr>
            <w:r w:rsidRPr="00241318">
              <w:rPr>
                <w:iCs/>
                <w:sz w:val="18"/>
                <w:szCs w:val="18"/>
              </w:rPr>
              <w:t xml:space="preserve">Weighted score: </w:t>
            </w:r>
            <w:r w:rsidR="00F55336" w:rsidRPr="00241318">
              <w:rPr>
                <w:iCs/>
                <w:sz w:val="18"/>
                <w:szCs w:val="18"/>
              </w:rPr>
              <w:t>12</w:t>
            </w:r>
            <w:r w:rsidRPr="00241318">
              <w:rPr>
                <w:iCs/>
                <w:sz w:val="18"/>
                <w:szCs w:val="18"/>
              </w:rPr>
              <w:t>%</w:t>
            </w:r>
          </w:p>
        </w:tc>
        <w:tc>
          <w:tcPr>
            <w:cnfStyle w:val="000010000000" w:firstRow="0" w:lastRow="0" w:firstColumn="0" w:lastColumn="0" w:oddVBand="1" w:evenVBand="0" w:oddHBand="0" w:evenHBand="0" w:firstRowFirstColumn="0" w:firstRowLastColumn="0" w:lastRowFirstColumn="0" w:lastRowLastColumn="0"/>
            <w:tcW w:w="1275" w:type="dxa"/>
          </w:tcPr>
          <w:p w14:paraId="3AFFF8F8" w14:textId="215F6C16" w:rsidR="00CC2C42" w:rsidRPr="00241318" w:rsidRDefault="00CC2C42" w:rsidP="00E8198B">
            <w:pPr>
              <w:spacing w:after="160" w:line="259" w:lineRule="auto"/>
              <w:rPr>
                <w:iCs/>
                <w:sz w:val="18"/>
                <w:szCs w:val="18"/>
              </w:rPr>
            </w:pPr>
            <w:r w:rsidRPr="00241318">
              <w:rPr>
                <w:iCs/>
                <w:sz w:val="18"/>
                <w:szCs w:val="18"/>
              </w:rPr>
              <w:t xml:space="preserve">Score: </w:t>
            </w:r>
            <w:r w:rsidR="008F58D6" w:rsidRPr="00241318">
              <w:rPr>
                <w:iCs/>
                <w:sz w:val="18"/>
                <w:szCs w:val="18"/>
              </w:rPr>
              <w:t>4/5</w:t>
            </w:r>
          </w:p>
        </w:tc>
        <w:tc>
          <w:tcPr>
            <w:tcW w:w="1701" w:type="dxa"/>
          </w:tcPr>
          <w:p w14:paraId="08FF06CF" w14:textId="47A6F27E" w:rsidR="00CC2C42" w:rsidRPr="00241318" w:rsidRDefault="00CC2C42" w:rsidP="00E8198B">
            <w:pPr>
              <w:spacing w:after="160" w:line="259" w:lineRule="auto"/>
              <w:cnfStyle w:val="000000000000" w:firstRow="0" w:lastRow="0" w:firstColumn="0" w:lastColumn="0" w:oddVBand="0" w:evenVBand="0" w:oddHBand="0" w:evenHBand="0" w:firstRowFirstColumn="0" w:firstRowLastColumn="0" w:lastRowFirstColumn="0" w:lastRowLastColumn="0"/>
              <w:rPr>
                <w:iCs/>
                <w:sz w:val="18"/>
                <w:szCs w:val="18"/>
              </w:rPr>
            </w:pPr>
            <w:r w:rsidRPr="00241318">
              <w:rPr>
                <w:iCs/>
                <w:sz w:val="18"/>
                <w:szCs w:val="18"/>
              </w:rPr>
              <w:t xml:space="preserve">Weighted score: </w:t>
            </w:r>
            <w:r w:rsidR="00946654" w:rsidRPr="00241318">
              <w:rPr>
                <w:iCs/>
                <w:sz w:val="18"/>
                <w:szCs w:val="18"/>
              </w:rPr>
              <w:t>16</w:t>
            </w:r>
            <w:r w:rsidRPr="00241318">
              <w:rPr>
                <w:iCs/>
                <w:sz w:val="18"/>
                <w:szCs w:val="18"/>
              </w:rPr>
              <w:t>%</w:t>
            </w:r>
          </w:p>
        </w:tc>
      </w:tr>
      <w:tr w:rsidR="00CC2C42" w:rsidRPr="00AE1207" w14:paraId="74D8A1A6" w14:textId="77777777" w:rsidTr="006F5008">
        <w:trPr>
          <w:cnfStyle w:val="000000100000" w:firstRow="0" w:lastRow="0" w:firstColumn="0" w:lastColumn="0" w:oddVBand="0" w:evenVBand="0" w:oddHBand="1" w:evenHBand="0" w:firstRowFirstColumn="0" w:firstRowLastColumn="0" w:lastRowFirstColumn="0" w:lastRowLastColumn="0"/>
          <w:trHeight w:val="330"/>
        </w:trPr>
        <w:tc>
          <w:tcPr>
            <w:cnfStyle w:val="000010000000" w:firstRow="0" w:lastRow="0" w:firstColumn="0" w:lastColumn="0" w:oddVBand="1" w:evenVBand="0" w:oddHBand="0" w:evenHBand="0" w:firstRowFirstColumn="0" w:firstRowLastColumn="0" w:lastRowFirstColumn="0" w:lastRowLastColumn="0"/>
            <w:tcW w:w="2694" w:type="dxa"/>
            <w:gridSpan w:val="2"/>
            <w:shd w:val="clear" w:color="auto" w:fill="BFBFBF" w:themeFill="background1" w:themeFillShade="BF"/>
            <w:vAlign w:val="center"/>
          </w:tcPr>
          <w:p w14:paraId="4681495C" w14:textId="77777777" w:rsidR="00CC2C42" w:rsidRPr="00241318" w:rsidRDefault="00CC2C42" w:rsidP="00E8198B">
            <w:pPr>
              <w:spacing w:after="160" w:line="259" w:lineRule="auto"/>
              <w:rPr>
                <w:b/>
                <w:bCs/>
                <w:i/>
                <w:sz w:val="18"/>
                <w:szCs w:val="18"/>
              </w:rPr>
            </w:pPr>
            <w:r w:rsidRPr="00241318">
              <w:rPr>
                <w:b/>
                <w:bCs/>
                <w:i/>
                <w:sz w:val="18"/>
                <w:szCs w:val="18"/>
              </w:rPr>
              <w:t>Quality section weighting out of 40%</w:t>
            </w:r>
          </w:p>
        </w:tc>
        <w:tc>
          <w:tcPr>
            <w:tcW w:w="2790" w:type="dxa"/>
            <w:gridSpan w:val="2"/>
            <w:shd w:val="clear" w:color="auto" w:fill="BFBFBF" w:themeFill="background1" w:themeFillShade="BF"/>
            <w:vAlign w:val="center"/>
          </w:tcPr>
          <w:p w14:paraId="68E82616" w14:textId="4CE2A0DC" w:rsidR="00CC2C42" w:rsidRPr="00241318" w:rsidRDefault="00CC2C42" w:rsidP="00E8198B">
            <w:pPr>
              <w:spacing w:after="160" w:line="259" w:lineRule="auto"/>
              <w:cnfStyle w:val="000000100000" w:firstRow="0" w:lastRow="0" w:firstColumn="0" w:lastColumn="0" w:oddVBand="0" w:evenVBand="0" w:oddHBand="1" w:evenHBand="0" w:firstRowFirstColumn="0" w:firstRowLastColumn="0" w:lastRowFirstColumn="0" w:lastRowLastColumn="0"/>
              <w:rPr>
                <w:b/>
                <w:bCs/>
                <w:i/>
                <w:sz w:val="18"/>
                <w:szCs w:val="18"/>
              </w:rPr>
            </w:pPr>
            <w:r w:rsidRPr="00241318">
              <w:rPr>
                <w:b/>
                <w:bCs/>
                <w:i/>
                <w:sz w:val="18"/>
                <w:szCs w:val="18"/>
              </w:rPr>
              <w:t>10%+</w:t>
            </w:r>
            <w:r w:rsidR="0094179E" w:rsidRPr="00241318">
              <w:rPr>
                <w:b/>
                <w:bCs/>
                <w:i/>
                <w:sz w:val="18"/>
                <w:szCs w:val="18"/>
              </w:rPr>
              <w:t>6</w:t>
            </w:r>
            <w:r w:rsidRPr="00241318">
              <w:rPr>
                <w:b/>
                <w:bCs/>
                <w:i/>
                <w:sz w:val="18"/>
                <w:szCs w:val="18"/>
              </w:rPr>
              <w:t>%+1</w:t>
            </w:r>
            <w:r w:rsidR="0094179E" w:rsidRPr="00241318">
              <w:rPr>
                <w:b/>
                <w:bCs/>
                <w:i/>
                <w:sz w:val="18"/>
                <w:szCs w:val="18"/>
              </w:rPr>
              <w:t>2</w:t>
            </w:r>
            <w:r w:rsidRPr="00241318">
              <w:rPr>
                <w:b/>
                <w:bCs/>
                <w:i/>
                <w:sz w:val="18"/>
                <w:szCs w:val="18"/>
              </w:rPr>
              <w:t xml:space="preserve">% = </w:t>
            </w:r>
            <w:r w:rsidR="00712D86" w:rsidRPr="00241318">
              <w:rPr>
                <w:b/>
                <w:bCs/>
                <w:i/>
                <w:sz w:val="18"/>
                <w:szCs w:val="18"/>
              </w:rPr>
              <w:t>28</w:t>
            </w:r>
            <w:r w:rsidRPr="00241318">
              <w:rPr>
                <w:b/>
                <w:bCs/>
                <w:i/>
                <w:sz w:val="18"/>
                <w:szCs w:val="18"/>
              </w:rPr>
              <w:t>% Overall Weighted Score %</w:t>
            </w:r>
          </w:p>
        </w:tc>
        <w:tc>
          <w:tcPr>
            <w:cnfStyle w:val="000010000000" w:firstRow="0" w:lastRow="0" w:firstColumn="0" w:lastColumn="0" w:oddVBand="1" w:evenVBand="0" w:oddHBand="0" w:evenHBand="0" w:firstRowFirstColumn="0" w:firstRowLastColumn="0" w:lastRowFirstColumn="0" w:lastRowLastColumn="0"/>
            <w:tcW w:w="2976" w:type="dxa"/>
            <w:gridSpan w:val="2"/>
            <w:shd w:val="clear" w:color="auto" w:fill="BFBFBF" w:themeFill="background1" w:themeFillShade="BF"/>
            <w:vAlign w:val="center"/>
          </w:tcPr>
          <w:p w14:paraId="2D0A07C3" w14:textId="368D8B06" w:rsidR="00CC2C42" w:rsidRPr="00241318" w:rsidRDefault="0050137E" w:rsidP="00E8198B">
            <w:pPr>
              <w:spacing w:after="160" w:line="259" w:lineRule="auto"/>
              <w:rPr>
                <w:b/>
                <w:bCs/>
                <w:i/>
                <w:sz w:val="18"/>
                <w:szCs w:val="18"/>
              </w:rPr>
            </w:pPr>
            <w:r w:rsidRPr="00241318">
              <w:rPr>
                <w:b/>
                <w:bCs/>
                <w:i/>
                <w:sz w:val="18"/>
                <w:szCs w:val="18"/>
              </w:rPr>
              <w:t>6</w:t>
            </w:r>
            <w:r w:rsidR="00CC2C42" w:rsidRPr="00241318">
              <w:rPr>
                <w:b/>
                <w:bCs/>
                <w:i/>
                <w:sz w:val="18"/>
                <w:szCs w:val="18"/>
              </w:rPr>
              <w:t>%+ 10%+1</w:t>
            </w:r>
            <w:r w:rsidRPr="00241318">
              <w:rPr>
                <w:b/>
                <w:bCs/>
                <w:i/>
                <w:sz w:val="18"/>
                <w:szCs w:val="18"/>
              </w:rPr>
              <w:t>6</w:t>
            </w:r>
            <w:r w:rsidR="00CC2C42" w:rsidRPr="00241318">
              <w:rPr>
                <w:b/>
                <w:bCs/>
                <w:i/>
                <w:sz w:val="18"/>
                <w:szCs w:val="18"/>
              </w:rPr>
              <w:t xml:space="preserve">% = </w:t>
            </w:r>
            <w:r w:rsidR="00996584" w:rsidRPr="00241318">
              <w:rPr>
                <w:b/>
                <w:bCs/>
                <w:i/>
                <w:sz w:val="18"/>
                <w:szCs w:val="18"/>
              </w:rPr>
              <w:t>32</w:t>
            </w:r>
            <w:r w:rsidR="00CC2C42" w:rsidRPr="00241318">
              <w:rPr>
                <w:b/>
                <w:bCs/>
                <w:i/>
                <w:sz w:val="18"/>
                <w:szCs w:val="18"/>
              </w:rPr>
              <w:t>% Overall Weighted Score %</w:t>
            </w:r>
          </w:p>
        </w:tc>
      </w:tr>
    </w:tbl>
    <w:p w14:paraId="563C31EC" w14:textId="3278C68D" w:rsidR="00CC2C42" w:rsidRPr="00AE1207" w:rsidRDefault="006F5008" w:rsidP="006F5008">
      <w:pPr>
        <w:ind w:left="720"/>
        <w:jc w:val="right"/>
        <w:rPr>
          <w:rFonts w:eastAsiaTheme="majorEastAsia"/>
          <w:sz w:val="20"/>
          <w:szCs w:val="20"/>
        </w:rPr>
      </w:pPr>
      <w:r w:rsidRPr="00AE1207">
        <w:rPr>
          <w:rFonts w:eastAsiaTheme="majorEastAsia"/>
          <w:sz w:val="20"/>
          <w:szCs w:val="20"/>
        </w:rPr>
        <w:t xml:space="preserve">Table 6 – Quality Evaluation </w:t>
      </w:r>
    </w:p>
    <w:p w14:paraId="6B7F9580" w14:textId="4766AD8D" w:rsidR="00E16A9D" w:rsidRPr="00AE1207" w:rsidRDefault="00E16A9D" w:rsidP="00612CBF">
      <w:pPr>
        <w:pStyle w:val="Heading3"/>
        <w:numPr>
          <w:ilvl w:val="2"/>
          <w:numId w:val="1"/>
        </w:numPr>
        <w:spacing w:line="360" w:lineRule="auto"/>
        <w:rPr>
          <w:color w:val="1F4E79" w:themeColor="accent5" w:themeShade="80"/>
        </w:rPr>
      </w:pPr>
      <w:bookmarkStart w:id="34" w:name="_Toc1309484498"/>
      <w:r w:rsidRPr="7E950373">
        <w:rPr>
          <w:color w:val="1F4E79" w:themeColor="accent5" w:themeShade="80"/>
        </w:rPr>
        <w:t xml:space="preserve">Part </w:t>
      </w:r>
      <w:r w:rsidR="009250C3" w:rsidRPr="7E950373">
        <w:rPr>
          <w:color w:val="1F4E79" w:themeColor="accent5" w:themeShade="80"/>
        </w:rPr>
        <w:t>Four</w:t>
      </w:r>
      <w:r w:rsidR="00D865ED" w:rsidRPr="7E950373">
        <w:rPr>
          <w:color w:val="1F4E79" w:themeColor="accent5" w:themeShade="80"/>
        </w:rPr>
        <w:t xml:space="preserve"> </w:t>
      </w:r>
      <w:r w:rsidRPr="7E950373">
        <w:rPr>
          <w:color w:val="1F4E79" w:themeColor="accent5" w:themeShade="80"/>
        </w:rPr>
        <w:t>– Price Evaluation</w:t>
      </w:r>
      <w:bookmarkEnd w:id="34"/>
      <w:r w:rsidRPr="7E950373">
        <w:rPr>
          <w:color w:val="1F4E79" w:themeColor="accent5" w:themeShade="80"/>
        </w:rPr>
        <w:t xml:space="preserve"> </w:t>
      </w:r>
    </w:p>
    <w:p w14:paraId="6CD9F517" w14:textId="14F91431" w:rsidR="00571C02" w:rsidRPr="00AE1207" w:rsidRDefault="00571C02" w:rsidP="00571C02">
      <w:pPr>
        <w:ind w:left="720"/>
        <w:rPr>
          <w:rFonts w:eastAsiaTheme="majorEastAsia"/>
        </w:rPr>
      </w:pPr>
      <w:r w:rsidRPr="00AE1207">
        <w:rPr>
          <w:rFonts w:eastAsiaTheme="majorEastAsia"/>
        </w:rPr>
        <w:t>Tenderers must complete</w:t>
      </w:r>
      <w:r w:rsidR="003B105B" w:rsidRPr="00AE1207">
        <w:rPr>
          <w:rFonts w:eastAsiaTheme="majorEastAsia"/>
        </w:rPr>
        <w:t xml:space="preserve"> the Priced Schedule</w:t>
      </w:r>
      <w:r w:rsidRPr="00AE1207">
        <w:rPr>
          <w:rFonts w:eastAsiaTheme="majorEastAsia"/>
        </w:rPr>
        <w:t xml:space="preserve"> in relation to the Price evaluation. Tenderers must state in the Priced Schedule the ‘</w:t>
      </w:r>
      <w:r w:rsidR="00366F37" w:rsidRPr="00AE1207">
        <w:rPr>
          <w:rFonts w:eastAsiaTheme="majorEastAsia"/>
        </w:rPr>
        <w:t>T</w:t>
      </w:r>
      <w:r w:rsidRPr="00AE1207">
        <w:rPr>
          <w:rFonts w:eastAsiaTheme="majorEastAsia"/>
        </w:rPr>
        <w:t xml:space="preserve">otal </w:t>
      </w:r>
      <w:r w:rsidR="00366F37" w:rsidRPr="00AE1207">
        <w:rPr>
          <w:rFonts w:eastAsiaTheme="majorEastAsia"/>
        </w:rPr>
        <w:t>T</w:t>
      </w:r>
      <w:r w:rsidRPr="00AE1207">
        <w:rPr>
          <w:rFonts w:eastAsiaTheme="majorEastAsia"/>
        </w:rPr>
        <w:t xml:space="preserve">ender </w:t>
      </w:r>
      <w:r w:rsidR="00366F37" w:rsidRPr="00AE1207">
        <w:rPr>
          <w:rFonts w:eastAsiaTheme="majorEastAsia"/>
        </w:rPr>
        <w:t>S</w:t>
      </w:r>
      <w:r w:rsidRPr="00AE1207">
        <w:rPr>
          <w:rFonts w:eastAsiaTheme="majorEastAsia"/>
        </w:rPr>
        <w:t xml:space="preserve">um’ </w:t>
      </w:r>
      <w:proofErr w:type="gramStart"/>
      <w:r w:rsidRPr="00AE1207">
        <w:rPr>
          <w:rFonts w:eastAsiaTheme="majorEastAsia"/>
        </w:rPr>
        <w:t>and also</w:t>
      </w:r>
      <w:proofErr w:type="gramEnd"/>
      <w:r w:rsidRPr="00AE1207">
        <w:rPr>
          <w:rFonts w:eastAsiaTheme="majorEastAsia"/>
        </w:rPr>
        <w:t xml:space="preserve"> carry this forward to the </w:t>
      </w:r>
      <w:r w:rsidR="00974800" w:rsidRPr="00974800">
        <w:rPr>
          <w:rFonts w:eastAsiaTheme="majorEastAsia"/>
        </w:rPr>
        <w:t>Tender Declaration</w:t>
      </w:r>
      <w:r w:rsidRPr="00AE1207">
        <w:rPr>
          <w:rFonts w:eastAsiaTheme="majorEastAsia"/>
        </w:rPr>
        <w:t>.</w:t>
      </w:r>
    </w:p>
    <w:p w14:paraId="4D93D606" w14:textId="6F3B273A" w:rsidR="00281861" w:rsidRPr="00AE1207" w:rsidRDefault="008E05BD" w:rsidP="00571C02">
      <w:pPr>
        <w:ind w:left="720"/>
        <w:rPr>
          <w:rFonts w:eastAsiaTheme="majorEastAsia"/>
        </w:rPr>
      </w:pPr>
      <w:r w:rsidRPr="00AE1207">
        <w:rPr>
          <w:rFonts w:eastAsiaTheme="majorEastAsia"/>
        </w:rPr>
        <w:t xml:space="preserve">The maximum </w:t>
      </w:r>
      <w:r w:rsidR="00FC70F9" w:rsidRPr="00AE1207">
        <w:rPr>
          <w:rFonts w:eastAsiaTheme="majorEastAsia"/>
        </w:rPr>
        <w:t xml:space="preserve">allocated price </w:t>
      </w:r>
      <w:r w:rsidRPr="00AE1207">
        <w:rPr>
          <w:rFonts w:eastAsiaTheme="majorEastAsia"/>
        </w:rPr>
        <w:t xml:space="preserve">percentage </w:t>
      </w:r>
      <w:r w:rsidR="00FC70F9" w:rsidRPr="00AE1207">
        <w:rPr>
          <w:rFonts w:eastAsiaTheme="majorEastAsia"/>
        </w:rPr>
        <w:t xml:space="preserve">will be </w:t>
      </w:r>
      <w:r w:rsidR="00571C02" w:rsidRPr="00AE1207">
        <w:rPr>
          <w:rFonts w:eastAsiaTheme="majorEastAsia"/>
        </w:rPr>
        <w:t>alloca</w:t>
      </w:r>
      <w:r w:rsidR="00FC70F9" w:rsidRPr="00AE1207">
        <w:rPr>
          <w:rFonts w:eastAsiaTheme="majorEastAsia"/>
        </w:rPr>
        <w:t xml:space="preserve">ted </w:t>
      </w:r>
      <w:r w:rsidR="00A95198" w:rsidRPr="00AE1207">
        <w:rPr>
          <w:rFonts w:eastAsiaTheme="majorEastAsia"/>
        </w:rPr>
        <w:t xml:space="preserve">to </w:t>
      </w:r>
      <w:r w:rsidR="00571C02" w:rsidRPr="00AE1207">
        <w:rPr>
          <w:rFonts w:eastAsiaTheme="majorEastAsia"/>
        </w:rPr>
        <w:t>the lowest ‘</w:t>
      </w:r>
      <w:r w:rsidR="00366F37" w:rsidRPr="00AE1207">
        <w:rPr>
          <w:rFonts w:eastAsiaTheme="majorEastAsia"/>
        </w:rPr>
        <w:t>T</w:t>
      </w:r>
      <w:r w:rsidR="00571C02" w:rsidRPr="00AE1207">
        <w:rPr>
          <w:rFonts w:eastAsiaTheme="majorEastAsia"/>
        </w:rPr>
        <w:t xml:space="preserve">otal </w:t>
      </w:r>
      <w:r w:rsidR="00366F37" w:rsidRPr="00AE1207">
        <w:rPr>
          <w:rFonts w:eastAsiaTheme="majorEastAsia"/>
        </w:rPr>
        <w:t>T</w:t>
      </w:r>
      <w:r w:rsidR="00571C02" w:rsidRPr="00AE1207">
        <w:rPr>
          <w:rFonts w:eastAsiaTheme="majorEastAsia"/>
        </w:rPr>
        <w:t xml:space="preserve">ender </w:t>
      </w:r>
      <w:r w:rsidR="00366F37" w:rsidRPr="00AE1207">
        <w:rPr>
          <w:rFonts w:eastAsiaTheme="majorEastAsia"/>
        </w:rPr>
        <w:t>S</w:t>
      </w:r>
      <w:r w:rsidR="00571C02" w:rsidRPr="00AE1207">
        <w:rPr>
          <w:rFonts w:eastAsiaTheme="majorEastAsia"/>
        </w:rPr>
        <w:t xml:space="preserve">um’, stated on </w:t>
      </w:r>
      <w:r w:rsidR="00B52727" w:rsidRPr="00AE1207">
        <w:rPr>
          <w:rFonts w:eastAsiaTheme="majorEastAsia"/>
        </w:rPr>
        <w:t xml:space="preserve">Tenderers </w:t>
      </w:r>
      <w:r w:rsidR="00974800" w:rsidRPr="00974800">
        <w:rPr>
          <w:rFonts w:eastAsiaTheme="majorEastAsia"/>
        </w:rPr>
        <w:t>Tender Declaration</w:t>
      </w:r>
      <w:r w:rsidR="00B52727" w:rsidRPr="00AE1207">
        <w:rPr>
          <w:rFonts w:eastAsiaTheme="majorEastAsia"/>
        </w:rPr>
        <w:t xml:space="preserve">, </w:t>
      </w:r>
      <w:r w:rsidR="008C0AEE" w:rsidRPr="00AE1207">
        <w:rPr>
          <w:rFonts w:eastAsiaTheme="majorEastAsia"/>
        </w:rPr>
        <w:t xml:space="preserve">remaining </w:t>
      </w:r>
      <w:r w:rsidR="00533B59" w:rsidRPr="00AE1207">
        <w:rPr>
          <w:rFonts w:eastAsiaTheme="majorEastAsia"/>
        </w:rPr>
        <w:t xml:space="preserve">bids will be allocated </w:t>
      </w:r>
      <w:r w:rsidR="00571C02" w:rsidRPr="00AE1207">
        <w:rPr>
          <w:rFonts w:eastAsiaTheme="majorEastAsia"/>
        </w:rPr>
        <w:t xml:space="preserve">price points </w:t>
      </w:r>
      <w:r w:rsidR="00533B59" w:rsidRPr="00AE1207">
        <w:rPr>
          <w:rFonts w:eastAsiaTheme="majorEastAsia"/>
        </w:rPr>
        <w:t>calculated off</w:t>
      </w:r>
      <w:r w:rsidR="00571C02" w:rsidRPr="00AE1207">
        <w:rPr>
          <w:rFonts w:eastAsiaTheme="majorEastAsia"/>
        </w:rPr>
        <w:t xml:space="preserve"> the remaining Tenderers scores in relation to this scale.</w:t>
      </w:r>
    </w:p>
    <w:tbl>
      <w:tblPr>
        <w:tblStyle w:val="ListTable3"/>
        <w:tblpPr w:leftFromText="180" w:rightFromText="180" w:vertAnchor="text" w:horzAnchor="margin" w:tblpXSpec="right" w:tblpY="-44"/>
        <w:tblW w:w="8359" w:type="dxa"/>
        <w:tblLook w:val="0000" w:firstRow="0" w:lastRow="0" w:firstColumn="0" w:lastColumn="0" w:noHBand="0" w:noVBand="0"/>
      </w:tblPr>
      <w:tblGrid>
        <w:gridCol w:w="8359"/>
      </w:tblGrid>
      <w:tr w:rsidR="00AE20B6" w:rsidRPr="00AE1207" w14:paraId="07B1C837" w14:textId="77777777" w:rsidTr="00AE20B6">
        <w:trPr>
          <w:cnfStyle w:val="000000100000" w:firstRow="0" w:lastRow="0" w:firstColumn="0" w:lastColumn="0" w:oddVBand="0" w:evenVBand="0" w:oddHBand="1" w:evenHBand="0" w:firstRowFirstColumn="0" w:firstRowLastColumn="0" w:lastRowFirstColumn="0" w:lastRowLastColumn="0"/>
          <w:trHeight w:val="270"/>
        </w:trPr>
        <w:tc>
          <w:tcPr>
            <w:cnfStyle w:val="000010000000" w:firstRow="0" w:lastRow="0" w:firstColumn="0" w:lastColumn="0" w:oddVBand="1" w:evenVBand="0" w:oddHBand="0" w:evenHBand="0" w:firstRowFirstColumn="0" w:firstRowLastColumn="0" w:lastRowFirstColumn="0" w:lastRowLastColumn="0"/>
            <w:tcW w:w="8359" w:type="dxa"/>
            <w:shd w:val="clear" w:color="auto" w:fill="1F3864" w:themeFill="accent1" w:themeFillShade="80"/>
          </w:tcPr>
          <w:p w14:paraId="3F465182" w14:textId="7BD4EC4A" w:rsidR="00AE20B6" w:rsidRPr="00AE1207" w:rsidRDefault="00AE20B6" w:rsidP="00E8198B">
            <w:pPr>
              <w:pStyle w:val="NoSpacing"/>
              <w:rPr>
                <w:b/>
                <w:bCs/>
                <w:u w:val="single"/>
              </w:rPr>
            </w:pPr>
            <w:r w:rsidRPr="00AE1207">
              <w:rPr>
                <w:b/>
                <w:bCs/>
              </w:rPr>
              <w:t xml:space="preserve">Worked Example </w:t>
            </w:r>
            <w:r w:rsidRPr="00AE1207">
              <w:t xml:space="preserve">(For example purposes </w:t>
            </w:r>
            <w:r w:rsidRPr="00415285">
              <w:t>only</w:t>
            </w:r>
            <w:r w:rsidR="00415285">
              <w:t>,</w:t>
            </w:r>
            <w:r w:rsidR="00415285" w:rsidRPr="00415285">
              <w:t xml:space="preserve"> not related to this tender</w:t>
            </w:r>
            <w:r w:rsidRPr="00415285">
              <w:t>)</w:t>
            </w:r>
          </w:p>
        </w:tc>
      </w:tr>
      <w:tr w:rsidR="00AE20B6" w:rsidRPr="00AE1207" w14:paraId="2AB7FE90" w14:textId="77777777" w:rsidTr="00AE20B6">
        <w:trPr>
          <w:trHeight w:val="931"/>
        </w:trPr>
        <w:tc>
          <w:tcPr>
            <w:cnfStyle w:val="000010000000" w:firstRow="0" w:lastRow="0" w:firstColumn="0" w:lastColumn="0" w:oddVBand="1" w:evenVBand="0" w:oddHBand="0" w:evenHBand="0" w:firstRowFirstColumn="0" w:firstRowLastColumn="0" w:lastRowFirstColumn="0" w:lastRowLastColumn="0"/>
            <w:tcW w:w="8359" w:type="dxa"/>
          </w:tcPr>
          <w:p w14:paraId="4A5A8D3E" w14:textId="77777777" w:rsidR="00AE20B6" w:rsidRPr="00AE1207" w:rsidRDefault="00AE20B6" w:rsidP="00E8198B">
            <w:pPr>
              <w:spacing w:after="160" w:line="259" w:lineRule="auto"/>
            </w:pPr>
            <w:r w:rsidRPr="00AE1207">
              <w:t>Tenderer 1 Total Tender Sum = £80,000.00</w:t>
            </w:r>
          </w:p>
          <w:p w14:paraId="0EE96442" w14:textId="77777777" w:rsidR="00AE20B6" w:rsidRPr="00AE1207" w:rsidRDefault="00AE20B6" w:rsidP="00E8198B">
            <w:pPr>
              <w:spacing w:after="160" w:line="259" w:lineRule="auto"/>
            </w:pPr>
            <w:r w:rsidRPr="00AE1207">
              <w:t>Tenderer 2 Total Tender Sum = £50,000.00</w:t>
            </w:r>
          </w:p>
        </w:tc>
      </w:tr>
      <w:tr w:rsidR="00AE20B6" w:rsidRPr="00AE1207" w14:paraId="25575893" w14:textId="77777777" w:rsidTr="00AE20B6">
        <w:trPr>
          <w:cnfStyle w:val="000000100000" w:firstRow="0" w:lastRow="0" w:firstColumn="0" w:lastColumn="0" w:oddVBand="0" w:evenVBand="0" w:oddHBand="1" w:evenHBand="0" w:firstRowFirstColumn="0" w:firstRowLastColumn="0" w:lastRowFirstColumn="0" w:lastRowLastColumn="0"/>
          <w:trHeight w:val="918"/>
        </w:trPr>
        <w:tc>
          <w:tcPr>
            <w:cnfStyle w:val="000010000000" w:firstRow="0" w:lastRow="0" w:firstColumn="0" w:lastColumn="0" w:oddVBand="1" w:evenVBand="0" w:oddHBand="0" w:evenHBand="0" w:firstRowFirstColumn="0" w:firstRowLastColumn="0" w:lastRowFirstColumn="0" w:lastRowLastColumn="0"/>
            <w:tcW w:w="8359" w:type="dxa"/>
          </w:tcPr>
          <w:p w14:paraId="6FAD91D5" w14:textId="77777777" w:rsidR="00AE20B6" w:rsidRPr="00AE1207" w:rsidRDefault="00AE20B6" w:rsidP="00E8198B">
            <w:pPr>
              <w:spacing w:after="160" w:line="259" w:lineRule="auto"/>
              <w:rPr>
                <w:i/>
              </w:rPr>
            </w:pPr>
            <w:r w:rsidRPr="00AE1207">
              <w:rPr>
                <w:i/>
              </w:rPr>
              <w:t>The formula:</w:t>
            </w:r>
          </w:p>
          <w:p w14:paraId="70C08912" w14:textId="77777777" w:rsidR="00AE20B6" w:rsidRPr="00AE1207" w:rsidRDefault="00AE20B6" w:rsidP="00E8198B">
            <w:pPr>
              <w:spacing w:after="160" w:line="259" w:lineRule="auto"/>
              <w:rPr>
                <w:i/>
              </w:rPr>
            </w:pPr>
            <w:r w:rsidRPr="00AE1207">
              <w:rPr>
                <w:i/>
              </w:rPr>
              <w:t>Lowest priced bid/ price of Tenderer being evaluated x 60%</w:t>
            </w:r>
          </w:p>
        </w:tc>
      </w:tr>
      <w:tr w:rsidR="00AE20B6" w:rsidRPr="00AE1207" w14:paraId="2CDD7632" w14:textId="77777777" w:rsidTr="00AE20B6">
        <w:trPr>
          <w:trHeight w:val="1369"/>
        </w:trPr>
        <w:tc>
          <w:tcPr>
            <w:cnfStyle w:val="000010000000" w:firstRow="0" w:lastRow="0" w:firstColumn="0" w:lastColumn="0" w:oddVBand="1" w:evenVBand="0" w:oddHBand="0" w:evenHBand="0" w:firstRowFirstColumn="0" w:firstRowLastColumn="0" w:lastRowFirstColumn="0" w:lastRowLastColumn="0"/>
            <w:tcW w:w="8359" w:type="dxa"/>
            <w:shd w:val="clear" w:color="auto" w:fill="BFBFBF" w:themeFill="background1" w:themeFillShade="BF"/>
          </w:tcPr>
          <w:p w14:paraId="22EDBB92" w14:textId="77777777" w:rsidR="00AE20B6" w:rsidRPr="00AE1207" w:rsidRDefault="00AE20B6" w:rsidP="00E8198B">
            <w:pPr>
              <w:pStyle w:val="NoSpacing"/>
            </w:pPr>
            <w:r w:rsidRPr="00AE1207">
              <w:t>The Scores:</w:t>
            </w:r>
          </w:p>
          <w:p w14:paraId="1541A469" w14:textId="77777777" w:rsidR="00AE20B6" w:rsidRPr="00AE1207" w:rsidRDefault="00AE20B6" w:rsidP="00E8198B">
            <w:pPr>
              <w:pStyle w:val="NoSpacing"/>
            </w:pPr>
          </w:p>
          <w:p w14:paraId="124D17DB" w14:textId="77777777" w:rsidR="00AE20B6" w:rsidRPr="00AE1207" w:rsidRDefault="00AE20B6" w:rsidP="00E8198B">
            <w:pPr>
              <w:pStyle w:val="NoSpacing"/>
            </w:pPr>
            <w:r w:rsidRPr="00AE1207">
              <w:t>Tenderer 1 = 50,000/80,000 x 60% = 37.50%</w:t>
            </w:r>
          </w:p>
          <w:p w14:paraId="3298D984" w14:textId="77777777" w:rsidR="00AE20B6" w:rsidRPr="00AE1207" w:rsidRDefault="00AE20B6" w:rsidP="00E8198B">
            <w:pPr>
              <w:pStyle w:val="NoSpacing"/>
              <w:rPr>
                <w:lang w:val="de-DE"/>
              </w:rPr>
            </w:pPr>
            <w:r w:rsidRPr="00AE1207">
              <w:rPr>
                <w:lang w:val="de-DE"/>
              </w:rPr>
              <w:t>Tenderer 2 = 50,000/50,000 x 60% = 60.00%</w:t>
            </w:r>
          </w:p>
        </w:tc>
      </w:tr>
    </w:tbl>
    <w:p w14:paraId="31D96BAB" w14:textId="77D44BEF" w:rsidR="00681CD1" w:rsidRPr="00AE1207" w:rsidRDefault="00681CD1" w:rsidP="00681CD1">
      <w:pPr>
        <w:ind w:left="720"/>
        <w:jc w:val="right"/>
        <w:rPr>
          <w:rFonts w:eastAsiaTheme="majorEastAsia"/>
          <w:sz w:val="20"/>
          <w:szCs w:val="20"/>
        </w:rPr>
      </w:pPr>
      <w:r w:rsidRPr="00AE1207">
        <w:rPr>
          <w:rFonts w:eastAsiaTheme="majorEastAsia"/>
          <w:sz w:val="20"/>
          <w:szCs w:val="20"/>
        </w:rPr>
        <w:t xml:space="preserve">Table 7 – Price Evaluation </w:t>
      </w:r>
    </w:p>
    <w:p w14:paraId="7C374EC3" w14:textId="525A582F" w:rsidR="007C17AF" w:rsidRPr="00AE1207" w:rsidRDefault="00BA781A" w:rsidP="00571C02">
      <w:pPr>
        <w:ind w:left="720"/>
        <w:rPr>
          <w:rFonts w:eastAsiaTheme="majorEastAsia"/>
        </w:rPr>
      </w:pPr>
      <w:r w:rsidRPr="00AE1207">
        <w:rPr>
          <w:rFonts w:eastAsiaTheme="majorEastAsia"/>
        </w:rPr>
        <w:t xml:space="preserve">Any price deemed abnormally low will be investigated in accordance with the Regulations and </w:t>
      </w:r>
      <w:r w:rsidR="00CD0C1B" w:rsidRPr="00AE1207">
        <w:rPr>
          <w:rFonts w:eastAsiaTheme="majorEastAsia"/>
        </w:rPr>
        <w:t xml:space="preserve">Barcud Shared Services </w:t>
      </w:r>
      <w:r w:rsidRPr="00AE1207">
        <w:rPr>
          <w:rFonts w:eastAsiaTheme="majorEastAsia"/>
        </w:rPr>
        <w:t>reserves the right to reject any bid deemed to be “abnormally low” following the investigation that finds the prices stated are “abnormally low”.</w:t>
      </w:r>
    </w:p>
    <w:p w14:paraId="29B62195" w14:textId="38D6E85B" w:rsidR="00EB7262" w:rsidRPr="00AE1207" w:rsidRDefault="00EB7262" w:rsidP="00612CBF">
      <w:pPr>
        <w:pStyle w:val="Heading2"/>
        <w:numPr>
          <w:ilvl w:val="1"/>
          <w:numId w:val="1"/>
        </w:numPr>
        <w:spacing w:line="360" w:lineRule="auto"/>
        <w:rPr>
          <w:color w:val="1F4E79" w:themeColor="accent5" w:themeShade="80"/>
        </w:rPr>
      </w:pPr>
      <w:bookmarkStart w:id="35" w:name="_Toc1996264869"/>
      <w:r w:rsidRPr="7E950373">
        <w:rPr>
          <w:color w:val="1F4E79" w:themeColor="accent5" w:themeShade="80"/>
        </w:rPr>
        <w:lastRenderedPageBreak/>
        <w:t xml:space="preserve">Overall </w:t>
      </w:r>
      <w:r w:rsidR="00681CD1" w:rsidRPr="7E950373">
        <w:rPr>
          <w:color w:val="1F4E79" w:themeColor="accent5" w:themeShade="80"/>
        </w:rPr>
        <w:t>S</w:t>
      </w:r>
      <w:r w:rsidRPr="7E950373">
        <w:rPr>
          <w:color w:val="1F4E79" w:themeColor="accent5" w:themeShade="80"/>
        </w:rPr>
        <w:t>coring</w:t>
      </w:r>
      <w:bookmarkEnd w:id="35"/>
    </w:p>
    <w:p w14:paraId="7705C75F" w14:textId="77777777" w:rsidR="0006143D" w:rsidRPr="00AE1207" w:rsidRDefault="0006143D" w:rsidP="0006143D">
      <w:pPr>
        <w:rPr>
          <w:rFonts w:eastAsiaTheme="majorEastAsia"/>
        </w:rPr>
      </w:pPr>
      <w:r w:rsidRPr="00AE1207">
        <w:rPr>
          <w:rFonts w:eastAsiaTheme="majorEastAsia"/>
        </w:rPr>
        <w:t>Each Tenderer’s score from both the Quality and the Price Evaluation stages will be added together to obtain an overall tender score out of 100%</w:t>
      </w:r>
    </w:p>
    <w:p w14:paraId="33BE7249" w14:textId="77777777" w:rsidR="0006143D" w:rsidRPr="00AE1207" w:rsidRDefault="0006143D" w:rsidP="0006143D">
      <w:pPr>
        <w:rPr>
          <w:rFonts w:eastAsiaTheme="majorEastAsia"/>
        </w:rPr>
      </w:pPr>
      <w:r w:rsidRPr="00AE1207">
        <w:rPr>
          <w:rFonts w:eastAsiaTheme="majorEastAsia"/>
        </w:rPr>
        <w:t>Worked Example (For example purposes only):</w:t>
      </w:r>
    </w:p>
    <w:tbl>
      <w:tblPr>
        <w:tblStyle w:val="TableGrid"/>
        <w:tblW w:w="0" w:type="auto"/>
        <w:tblLook w:val="04A0" w:firstRow="1" w:lastRow="0" w:firstColumn="1" w:lastColumn="0" w:noHBand="0" w:noVBand="1"/>
      </w:tblPr>
      <w:tblGrid>
        <w:gridCol w:w="3005"/>
        <w:gridCol w:w="3005"/>
        <w:gridCol w:w="3006"/>
      </w:tblGrid>
      <w:tr w:rsidR="0006143D" w:rsidRPr="00AE1207" w14:paraId="1D7770C6" w14:textId="77777777" w:rsidTr="00E8198B">
        <w:tc>
          <w:tcPr>
            <w:tcW w:w="3005" w:type="dxa"/>
            <w:shd w:val="clear" w:color="auto" w:fill="1F3864" w:themeFill="accent1" w:themeFillShade="80"/>
          </w:tcPr>
          <w:p w14:paraId="2C332E37" w14:textId="77777777" w:rsidR="0006143D" w:rsidRPr="00AE1207" w:rsidRDefault="0006143D" w:rsidP="00E8198B">
            <w:pPr>
              <w:rPr>
                <w:b/>
                <w:bCs/>
              </w:rPr>
            </w:pPr>
            <w:r w:rsidRPr="00AE1207">
              <w:rPr>
                <w:b/>
                <w:bCs/>
              </w:rPr>
              <w:t>Evaluation Section</w:t>
            </w:r>
          </w:p>
        </w:tc>
        <w:tc>
          <w:tcPr>
            <w:tcW w:w="3005" w:type="dxa"/>
            <w:shd w:val="clear" w:color="auto" w:fill="1F3864" w:themeFill="accent1" w:themeFillShade="80"/>
          </w:tcPr>
          <w:p w14:paraId="4280C9B3" w14:textId="77777777" w:rsidR="0006143D" w:rsidRPr="00AE1207" w:rsidRDefault="0006143D" w:rsidP="00E8198B">
            <w:pPr>
              <w:rPr>
                <w:b/>
                <w:bCs/>
              </w:rPr>
            </w:pPr>
            <w:r w:rsidRPr="00AE1207">
              <w:rPr>
                <w:b/>
                <w:bCs/>
              </w:rPr>
              <w:t>Tenderer 1</w:t>
            </w:r>
          </w:p>
        </w:tc>
        <w:tc>
          <w:tcPr>
            <w:tcW w:w="3006" w:type="dxa"/>
            <w:shd w:val="clear" w:color="auto" w:fill="1F3864" w:themeFill="accent1" w:themeFillShade="80"/>
          </w:tcPr>
          <w:p w14:paraId="61C6AA12" w14:textId="77777777" w:rsidR="0006143D" w:rsidRPr="00AE1207" w:rsidRDefault="0006143D" w:rsidP="00E8198B">
            <w:pPr>
              <w:rPr>
                <w:b/>
                <w:bCs/>
              </w:rPr>
            </w:pPr>
            <w:r w:rsidRPr="00AE1207">
              <w:rPr>
                <w:b/>
                <w:bCs/>
              </w:rPr>
              <w:t>Tenderer 2</w:t>
            </w:r>
          </w:p>
        </w:tc>
      </w:tr>
      <w:tr w:rsidR="0006143D" w:rsidRPr="00AE1207" w14:paraId="26467943" w14:textId="77777777" w:rsidTr="00E8198B">
        <w:tc>
          <w:tcPr>
            <w:tcW w:w="3005" w:type="dxa"/>
          </w:tcPr>
          <w:p w14:paraId="0A2E158E" w14:textId="77777777" w:rsidR="0006143D" w:rsidRPr="00AE1207" w:rsidRDefault="0006143D" w:rsidP="00E8198B">
            <w:r w:rsidRPr="00AE1207">
              <w:t>Quality score</w:t>
            </w:r>
          </w:p>
        </w:tc>
        <w:tc>
          <w:tcPr>
            <w:tcW w:w="3005" w:type="dxa"/>
          </w:tcPr>
          <w:p w14:paraId="24FD8FDA" w14:textId="74D321A3" w:rsidR="0006143D" w:rsidRPr="00AE1207" w:rsidRDefault="0006143D" w:rsidP="00E8198B">
            <w:r w:rsidRPr="00AE1207">
              <w:t>2</w:t>
            </w:r>
            <w:r w:rsidR="008C49A2">
              <w:t>8</w:t>
            </w:r>
            <w:r w:rsidRPr="00AE1207">
              <w:t>.00%</w:t>
            </w:r>
          </w:p>
        </w:tc>
        <w:tc>
          <w:tcPr>
            <w:tcW w:w="3006" w:type="dxa"/>
          </w:tcPr>
          <w:p w14:paraId="2E845891" w14:textId="6ECA7D57" w:rsidR="0006143D" w:rsidRPr="00AE1207" w:rsidRDefault="008C49A2" w:rsidP="00E8198B">
            <w:r>
              <w:t>32</w:t>
            </w:r>
            <w:r w:rsidR="0006143D" w:rsidRPr="00AE1207">
              <w:t>.00%</w:t>
            </w:r>
          </w:p>
        </w:tc>
      </w:tr>
      <w:tr w:rsidR="0006143D" w:rsidRPr="00AE1207" w14:paraId="4D7DECA2" w14:textId="77777777" w:rsidTr="00E8198B">
        <w:tc>
          <w:tcPr>
            <w:tcW w:w="3005" w:type="dxa"/>
          </w:tcPr>
          <w:p w14:paraId="78A6B6DC" w14:textId="77777777" w:rsidR="0006143D" w:rsidRPr="00AE1207" w:rsidRDefault="0006143D" w:rsidP="00E8198B">
            <w:r w:rsidRPr="00AE1207">
              <w:t>Price score</w:t>
            </w:r>
          </w:p>
        </w:tc>
        <w:tc>
          <w:tcPr>
            <w:tcW w:w="3005" w:type="dxa"/>
          </w:tcPr>
          <w:p w14:paraId="2EC2069E" w14:textId="77777777" w:rsidR="0006143D" w:rsidRPr="00AE1207" w:rsidRDefault="0006143D" w:rsidP="00E8198B">
            <w:r w:rsidRPr="00AE1207">
              <w:t>37.50%</w:t>
            </w:r>
          </w:p>
        </w:tc>
        <w:tc>
          <w:tcPr>
            <w:tcW w:w="3006" w:type="dxa"/>
          </w:tcPr>
          <w:p w14:paraId="64849611" w14:textId="77777777" w:rsidR="0006143D" w:rsidRPr="00AE1207" w:rsidRDefault="0006143D" w:rsidP="00E8198B">
            <w:r w:rsidRPr="00AE1207">
              <w:t>60.00%</w:t>
            </w:r>
          </w:p>
        </w:tc>
      </w:tr>
      <w:tr w:rsidR="0006143D" w:rsidRPr="00AE1207" w14:paraId="6799D165" w14:textId="77777777" w:rsidTr="00E8198B">
        <w:tc>
          <w:tcPr>
            <w:tcW w:w="3005" w:type="dxa"/>
            <w:shd w:val="clear" w:color="auto" w:fill="D9D9D9" w:themeFill="background1" w:themeFillShade="D9"/>
          </w:tcPr>
          <w:p w14:paraId="72EBD040" w14:textId="77777777" w:rsidR="0006143D" w:rsidRPr="00AE1207" w:rsidRDefault="0006143D" w:rsidP="00E8198B">
            <w:r w:rsidRPr="00AE1207">
              <w:t>Overall tender score</w:t>
            </w:r>
          </w:p>
        </w:tc>
        <w:tc>
          <w:tcPr>
            <w:tcW w:w="3005" w:type="dxa"/>
            <w:shd w:val="clear" w:color="auto" w:fill="D9D9D9" w:themeFill="background1" w:themeFillShade="D9"/>
          </w:tcPr>
          <w:p w14:paraId="5BA11970" w14:textId="2657D1F1" w:rsidR="0006143D" w:rsidRPr="00AE1207" w:rsidRDefault="00F13A46" w:rsidP="00E8198B">
            <w:r>
              <w:t>65</w:t>
            </w:r>
            <w:r w:rsidR="0006143D" w:rsidRPr="00AE1207">
              <w:t>.50%</w:t>
            </w:r>
          </w:p>
        </w:tc>
        <w:tc>
          <w:tcPr>
            <w:tcW w:w="3006" w:type="dxa"/>
            <w:shd w:val="clear" w:color="auto" w:fill="D9D9D9" w:themeFill="background1" w:themeFillShade="D9"/>
          </w:tcPr>
          <w:p w14:paraId="4E59D6FF" w14:textId="6814AEA8" w:rsidR="0006143D" w:rsidRPr="00AE1207" w:rsidRDefault="008C49A2" w:rsidP="00E8198B">
            <w:r>
              <w:t>92</w:t>
            </w:r>
            <w:r w:rsidR="0006143D" w:rsidRPr="00AE1207">
              <w:t>.00%</w:t>
            </w:r>
          </w:p>
        </w:tc>
      </w:tr>
    </w:tbl>
    <w:p w14:paraId="13030AF4" w14:textId="77777777" w:rsidR="0006143D" w:rsidRPr="00AE1207" w:rsidRDefault="0006143D" w:rsidP="0006143D">
      <w:pPr>
        <w:pStyle w:val="ListParagraph"/>
        <w:ind w:left="360"/>
        <w:jc w:val="right"/>
        <w:rPr>
          <w:rFonts w:eastAsiaTheme="majorEastAsia"/>
          <w:sz w:val="20"/>
          <w:szCs w:val="20"/>
        </w:rPr>
      </w:pPr>
      <w:r w:rsidRPr="00AE1207">
        <w:rPr>
          <w:rFonts w:eastAsiaTheme="majorEastAsia"/>
          <w:sz w:val="20"/>
          <w:szCs w:val="20"/>
        </w:rPr>
        <w:t>Table 8 – Overall Scoring</w:t>
      </w:r>
    </w:p>
    <w:p w14:paraId="5254124D" w14:textId="77777777" w:rsidR="0006143D" w:rsidRPr="00AE1207" w:rsidRDefault="0006143D" w:rsidP="0006143D">
      <w:pPr>
        <w:pStyle w:val="ListParagraph"/>
        <w:ind w:left="360"/>
        <w:jc w:val="right"/>
        <w:rPr>
          <w:rFonts w:eastAsiaTheme="majorEastAsia"/>
          <w:sz w:val="20"/>
          <w:szCs w:val="20"/>
        </w:rPr>
      </w:pPr>
    </w:p>
    <w:p w14:paraId="14BD7113" w14:textId="77777777" w:rsidR="003C6A84" w:rsidRPr="00AE1207" w:rsidRDefault="003C6A84" w:rsidP="752D6421">
      <w:pPr>
        <w:pStyle w:val="ListParagraph"/>
        <w:ind w:left="360"/>
        <w:rPr>
          <w:rFonts w:asciiTheme="majorHAnsi" w:eastAsiaTheme="majorEastAsia" w:hAnsiTheme="majorHAnsi" w:cstheme="majorBidi"/>
          <w:color w:val="2F5496" w:themeColor="accent1" w:themeShade="BF"/>
          <w:sz w:val="28"/>
          <w:szCs w:val="28"/>
        </w:rPr>
        <w:sectPr w:rsidR="003C6A84" w:rsidRPr="00AE1207" w:rsidSect="00F6624D">
          <w:pgSz w:w="11906" w:h="16838"/>
          <w:pgMar w:top="2268" w:right="1440" w:bottom="1440" w:left="1440" w:header="709" w:footer="709" w:gutter="0"/>
          <w:cols w:space="708"/>
          <w:docGrid w:linePitch="360"/>
        </w:sectPr>
      </w:pPr>
    </w:p>
    <w:p w14:paraId="7B7316A9" w14:textId="67B072F5" w:rsidR="0006143D" w:rsidRPr="00AE1207" w:rsidRDefault="003C6A84" w:rsidP="00612CBF">
      <w:pPr>
        <w:pStyle w:val="Heading1"/>
        <w:numPr>
          <w:ilvl w:val="0"/>
          <w:numId w:val="1"/>
        </w:numPr>
        <w:spacing w:line="360" w:lineRule="auto"/>
        <w:rPr>
          <w:color w:val="1F4E79" w:themeColor="accent5" w:themeShade="80"/>
          <w:sz w:val="32"/>
          <w:szCs w:val="32"/>
        </w:rPr>
      </w:pPr>
      <w:bookmarkStart w:id="36" w:name="_Toc791982625"/>
      <w:r w:rsidRPr="7E950373">
        <w:rPr>
          <w:color w:val="1F4E79" w:themeColor="accent5" w:themeShade="80"/>
          <w:sz w:val="32"/>
          <w:szCs w:val="32"/>
        </w:rPr>
        <w:lastRenderedPageBreak/>
        <w:t>Tender Acceptance</w:t>
      </w:r>
      <w:bookmarkEnd w:id="36"/>
      <w:r w:rsidRPr="7E950373">
        <w:rPr>
          <w:color w:val="1F4E79" w:themeColor="accent5" w:themeShade="80"/>
          <w:sz w:val="32"/>
          <w:szCs w:val="32"/>
        </w:rPr>
        <w:t xml:space="preserve"> </w:t>
      </w:r>
    </w:p>
    <w:p w14:paraId="46A8BD23" w14:textId="38B7456E" w:rsidR="009B277E" w:rsidRPr="00AE1207" w:rsidRDefault="009B277E" w:rsidP="009B277E">
      <w:pPr>
        <w:rPr>
          <w:rFonts w:eastAsiaTheme="majorEastAsia"/>
        </w:rPr>
      </w:pPr>
      <w:r w:rsidRPr="00AE1207">
        <w:rPr>
          <w:rFonts w:eastAsiaTheme="majorEastAsia"/>
        </w:rPr>
        <w:t xml:space="preserve">Acceptance of a Tender by Barcud Shared Services shall be communicated in writing to the successful Tenderer.   </w:t>
      </w:r>
    </w:p>
    <w:p w14:paraId="6F79514E" w14:textId="77777777" w:rsidR="009B277E" w:rsidRPr="00AE1207" w:rsidRDefault="009B277E" w:rsidP="009B277E">
      <w:pPr>
        <w:rPr>
          <w:rFonts w:eastAsiaTheme="majorEastAsia"/>
        </w:rPr>
      </w:pPr>
      <w:r w:rsidRPr="00AE1207">
        <w:rPr>
          <w:rFonts w:eastAsiaTheme="majorEastAsia"/>
        </w:rPr>
        <w:t xml:space="preserve">The successful Tenderer shall be notified of: </w:t>
      </w:r>
    </w:p>
    <w:p w14:paraId="5D93CEDD" w14:textId="77777777" w:rsidR="009B277E" w:rsidRPr="00AE1207" w:rsidRDefault="009B277E" w:rsidP="009B277E">
      <w:pPr>
        <w:pStyle w:val="ListParagraph"/>
        <w:numPr>
          <w:ilvl w:val="0"/>
          <w:numId w:val="18"/>
        </w:numPr>
        <w:rPr>
          <w:rFonts w:eastAsiaTheme="majorEastAsia"/>
        </w:rPr>
      </w:pPr>
      <w:r w:rsidRPr="00AE1207">
        <w:rPr>
          <w:rFonts w:eastAsiaTheme="majorEastAsia"/>
        </w:rPr>
        <w:t xml:space="preserve">The award criteria. </w:t>
      </w:r>
    </w:p>
    <w:p w14:paraId="1821CE84" w14:textId="3AC3BBB8" w:rsidR="009B277E" w:rsidRPr="00AE1207" w:rsidRDefault="009B277E" w:rsidP="009B277E">
      <w:pPr>
        <w:pStyle w:val="ListParagraph"/>
        <w:numPr>
          <w:ilvl w:val="0"/>
          <w:numId w:val="18"/>
        </w:numPr>
        <w:rPr>
          <w:rFonts w:eastAsiaTheme="majorEastAsia"/>
        </w:rPr>
      </w:pPr>
      <w:r w:rsidRPr="00AE1207">
        <w:rPr>
          <w:rFonts w:eastAsiaTheme="majorEastAsia"/>
        </w:rPr>
        <w:t xml:space="preserve">The score achieved during the </w:t>
      </w:r>
      <w:r w:rsidR="00723BE8" w:rsidRPr="00AE1207">
        <w:rPr>
          <w:rFonts w:eastAsiaTheme="majorEastAsia"/>
        </w:rPr>
        <w:t>evaluation.</w:t>
      </w:r>
      <w:r w:rsidRPr="00AE1207">
        <w:rPr>
          <w:rFonts w:eastAsiaTheme="majorEastAsia"/>
        </w:rPr>
        <w:t xml:space="preserve"> </w:t>
      </w:r>
    </w:p>
    <w:p w14:paraId="61E0D9BA" w14:textId="119F5705" w:rsidR="009B277E" w:rsidRPr="00AE1207" w:rsidRDefault="009B277E" w:rsidP="009B277E">
      <w:pPr>
        <w:pStyle w:val="ListParagraph"/>
        <w:numPr>
          <w:ilvl w:val="0"/>
          <w:numId w:val="18"/>
        </w:numPr>
        <w:rPr>
          <w:rFonts w:eastAsiaTheme="majorEastAsia"/>
        </w:rPr>
      </w:pPr>
      <w:r w:rsidRPr="00AE1207">
        <w:rPr>
          <w:rFonts w:eastAsiaTheme="majorEastAsia"/>
        </w:rPr>
        <w:t xml:space="preserve">Debrief on the quality </w:t>
      </w:r>
      <w:r w:rsidR="00723BE8" w:rsidRPr="00AE1207">
        <w:rPr>
          <w:rFonts w:eastAsiaTheme="majorEastAsia"/>
        </w:rPr>
        <w:t>score.</w:t>
      </w:r>
      <w:r w:rsidRPr="00AE1207">
        <w:rPr>
          <w:rFonts w:eastAsiaTheme="majorEastAsia"/>
        </w:rPr>
        <w:t xml:space="preserve"> </w:t>
      </w:r>
    </w:p>
    <w:p w14:paraId="7B4FF42F" w14:textId="16584C9F" w:rsidR="009B277E" w:rsidRPr="00AE1207" w:rsidRDefault="009B277E" w:rsidP="009B277E">
      <w:pPr>
        <w:rPr>
          <w:rFonts w:eastAsiaTheme="majorEastAsia"/>
        </w:rPr>
      </w:pPr>
      <w:r w:rsidRPr="00AE1207">
        <w:rPr>
          <w:rFonts w:eastAsiaTheme="majorEastAsia"/>
        </w:rPr>
        <w:t>All unsuccessful Tenderer’s shall receive written notification of the decision. The notification will include</w:t>
      </w:r>
      <w:r w:rsidR="006C4F45" w:rsidRPr="00AE1207">
        <w:rPr>
          <w:rFonts w:eastAsiaTheme="majorEastAsia"/>
        </w:rPr>
        <w:t xml:space="preserve"> </w:t>
      </w:r>
      <w:proofErr w:type="gramStart"/>
      <w:r w:rsidR="006C4F45" w:rsidRPr="00AE1207">
        <w:rPr>
          <w:rFonts w:eastAsiaTheme="majorEastAsia"/>
        </w:rPr>
        <w:t>all of</w:t>
      </w:r>
      <w:proofErr w:type="gramEnd"/>
      <w:r w:rsidR="006C4F45" w:rsidRPr="00AE1207">
        <w:rPr>
          <w:rFonts w:eastAsiaTheme="majorEastAsia"/>
        </w:rPr>
        <w:t xml:space="preserve"> the above along with</w:t>
      </w:r>
      <w:r w:rsidRPr="00AE1207">
        <w:rPr>
          <w:rFonts w:eastAsiaTheme="majorEastAsia"/>
        </w:rPr>
        <w:t xml:space="preserve">: </w:t>
      </w:r>
    </w:p>
    <w:p w14:paraId="6471E9DB" w14:textId="77777777" w:rsidR="009B277E" w:rsidRPr="00AE1207" w:rsidRDefault="009B277E" w:rsidP="009B277E">
      <w:pPr>
        <w:pStyle w:val="ListParagraph"/>
        <w:numPr>
          <w:ilvl w:val="0"/>
          <w:numId w:val="19"/>
        </w:numPr>
        <w:rPr>
          <w:rFonts w:eastAsiaTheme="majorEastAsia"/>
        </w:rPr>
      </w:pPr>
      <w:r w:rsidRPr="00AE1207">
        <w:rPr>
          <w:rFonts w:eastAsiaTheme="majorEastAsia"/>
        </w:rPr>
        <w:t xml:space="preserve">The name of the successful Tenderer. </w:t>
      </w:r>
    </w:p>
    <w:p w14:paraId="2B061C5D" w14:textId="77777777" w:rsidR="00E7178B" w:rsidRPr="00AE1207" w:rsidRDefault="00E7178B" w:rsidP="00E7178B">
      <w:pPr>
        <w:pStyle w:val="ListParagraph"/>
        <w:numPr>
          <w:ilvl w:val="0"/>
          <w:numId w:val="19"/>
        </w:numPr>
        <w:rPr>
          <w:rFonts w:eastAsiaTheme="majorEastAsia"/>
        </w:rPr>
      </w:pPr>
      <w:r w:rsidRPr="00AE1207">
        <w:rPr>
          <w:rFonts w:eastAsiaTheme="majorEastAsia"/>
        </w:rPr>
        <w:t xml:space="preserve">The score of the successful Tenderer. </w:t>
      </w:r>
    </w:p>
    <w:p w14:paraId="10A99DCC" w14:textId="77777777" w:rsidR="009B277E" w:rsidRPr="00AE1207" w:rsidRDefault="009B277E" w:rsidP="009B277E">
      <w:pPr>
        <w:pStyle w:val="ListParagraph"/>
        <w:numPr>
          <w:ilvl w:val="0"/>
          <w:numId w:val="19"/>
        </w:numPr>
        <w:rPr>
          <w:rFonts w:eastAsiaTheme="majorEastAsia"/>
        </w:rPr>
      </w:pPr>
      <w:r w:rsidRPr="00AE1207">
        <w:rPr>
          <w:rFonts w:eastAsiaTheme="majorEastAsia"/>
        </w:rPr>
        <w:t xml:space="preserve">The score of the Tenderer receiving the notice. </w:t>
      </w:r>
    </w:p>
    <w:p w14:paraId="466F7C5C" w14:textId="77777777" w:rsidR="009B277E" w:rsidRPr="00AE1207" w:rsidRDefault="009B277E" w:rsidP="009B277E">
      <w:pPr>
        <w:pStyle w:val="ListParagraph"/>
        <w:numPr>
          <w:ilvl w:val="0"/>
          <w:numId w:val="19"/>
        </w:numPr>
        <w:rPr>
          <w:rFonts w:eastAsiaTheme="majorEastAsia"/>
        </w:rPr>
      </w:pPr>
      <w:r w:rsidRPr="00AE1207">
        <w:rPr>
          <w:rFonts w:eastAsiaTheme="majorEastAsia"/>
        </w:rPr>
        <w:t xml:space="preserve">Debrief on quality score for Tenderer receiving the notice. </w:t>
      </w:r>
    </w:p>
    <w:p w14:paraId="02284CB9" w14:textId="258037B5" w:rsidR="009B277E" w:rsidRPr="00AE1207" w:rsidRDefault="009B277E" w:rsidP="009B277E">
      <w:pPr>
        <w:rPr>
          <w:rFonts w:eastAsiaTheme="majorEastAsia"/>
        </w:rPr>
      </w:pPr>
      <w:r w:rsidRPr="00AE1207">
        <w:rPr>
          <w:rFonts w:eastAsiaTheme="majorEastAsia"/>
        </w:rPr>
        <w:t xml:space="preserve">Where </w:t>
      </w:r>
      <w:r w:rsidR="006F711B" w:rsidRPr="00AE1207">
        <w:rPr>
          <w:rFonts w:eastAsiaTheme="majorEastAsia"/>
        </w:rPr>
        <w:t xml:space="preserve">Barcud Shared Services </w:t>
      </w:r>
      <w:r w:rsidRPr="00AE1207">
        <w:rPr>
          <w:rFonts w:eastAsiaTheme="majorEastAsia"/>
        </w:rPr>
        <w:t xml:space="preserve">decides not to move forward to the award stage, the unsuccessful Tenderers shall be notified of the decision to end the procurement process. </w:t>
      </w:r>
      <w:r w:rsidR="0072062A" w:rsidRPr="00AE1207">
        <w:rPr>
          <w:rFonts w:eastAsiaTheme="majorEastAsia"/>
        </w:rPr>
        <w:t xml:space="preserve"> </w:t>
      </w:r>
    </w:p>
    <w:p w14:paraId="581F0C07" w14:textId="14B62741" w:rsidR="0059228E" w:rsidRPr="00DF0136" w:rsidRDefault="0059228E" w:rsidP="00612CBF">
      <w:pPr>
        <w:pStyle w:val="Heading1"/>
        <w:numPr>
          <w:ilvl w:val="0"/>
          <w:numId w:val="1"/>
        </w:numPr>
        <w:spacing w:line="360" w:lineRule="auto"/>
        <w:rPr>
          <w:color w:val="1F4E79" w:themeColor="accent5" w:themeShade="80"/>
          <w:sz w:val="32"/>
          <w:szCs w:val="32"/>
          <w:highlight w:val="yellow"/>
        </w:rPr>
      </w:pPr>
      <w:bookmarkStart w:id="37" w:name="_Toc244108354"/>
      <w:r w:rsidRPr="7E950373">
        <w:rPr>
          <w:color w:val="1F4E79" w:themeColor="accent5" w:themeShade="80"/>
          <w:sz w:val="32"/>
          <w:szCs w:val="32"/>
          <w:highlight w:val="yellow"/>
        </w:rPr>
        <w:t>Tender Checklist</w:t>
      </w:r>
      <w:bookmarkEnd w:id="37"/>
    </w:p>
    <w:p w14:paraId="1680440B" w14:textId="1C68C035" w:rsidR="00DF0136" w:rsidRPr="00DF0136" w:rsidRDefault="00DF0136" w:rsidP="00DF0136">
      <w:pPr>
        <w:autoSpaceDE w:val="0"/>
        <w:autoSpaceDN w:val="0"/>
        <w:adjustRightInd w:val="0"/>
        <w:spacing w:after="240" w:line="276" w:lineRule="auto"/>
        <w:rPr>
          <w:rFonts w:eastAsiaTheme="majorEastAsia"/>
        </w:rPr>
      </w:pPr>
      <w:r w:rsidRPr="00DF0136">
        <w:rPr>
          <w:rFonts w:eastAsiaTheme="majorEastAsia"/>
        </w:rPr>
        <w:t xml:space="preserve">The following documents are included as </w:t>
      </w:r>
      <w:r>
        <w:rPr>
          <w:rFonts w:eastAsiaTheme="majorEastAsia"/>
        </w:rPr>
        <w:t>appendixes to this T</w:t>
      </w:r>
      <w:r w:rsidRPr="00DF0136">
        <w:rPr>
          <w:rFonts w:eastAsiaTheme="majorEastAsia"/>
        </w:rPr>
        <w:t xml:space="preserve">ender </w:t>
      </w:r>
      <w:r>
        <w:rPr>
          <w:rFonts w:eastAsiaTheme="majorEastAsia"/>
        </w:rPr>
        <w:t xml:space="preserve">Pack: </w:t>
      </w:r>
    </w:p>
    <w:tbl>
      <w:tblPr>
        <w:tblStyle w:val="TableGrid"/>
        <w:tblW w:w="0" w:type="auto"/>
        <w:jc w:val="center"/>
        <w:tblLook w:val="04A0" w:firstRow="1" w:lastRow="0" w:firstColumn="1" w:lastColumn="0" w:noHBand="0" w:noVBand="1"/>
      </w:tblPr>
      <w:tblGrid>
        <w:gridCol w:w="6091"/>
      </w:tblGrid>
      <w:tr w:rsidR="00256C20" w14:paraId="523A2303" w14:textId="77777777" w:rsidTr="2E407347">
        <w:trPr>
          <w:jc w:val="center"/>
        </w:trPr>
        <w:tc>
          <w:tcPr>
            <w:tcW w:w="6091" w:type="dxa"/>
            <w:tcBorders>
              <w:top w:val="single" w:sz="4" w:space="0" w:color="auto"/>
              <w:left w:val="single" w:sz="4" w:space="0" w:color="auto"/>
              <w:bottom w:val="nil"/>
              <w:right w:val="single" w:sz="4" w:space="0" w:color="auto"/>
            </w:tcBorders>
            <w:shd w:val="clear" w:color="auto" w:fill="1F3864" w:themeFill="accent1" w:themeFillShade="80"/>
            <w:hideMark/>
          </w:tcPr>
          <w:p w14:paraId="5E33F69B" w14:textId="77777777" w:rsidR="00256C20" w:rsidRDefault="00256C20" w:rsidP="00E8198B">
            <w:pPr>
              <w:jc w:val="center"/>
              <w:rPr>
                <w:rFonts w:cstheme="minorHAnsi"/>
                <w:b/>
                <w:bCs/>
              </w:rPr>
            </w:pPr>
            <w:r>
              <w:rPr>
                <w:rFonts w:cstheme="minorHAnsi"/>
                <w:b/>
                <w:bCs/>
              </w:rPr>
              <w:t>Tender Pack</w:t>
            </w:r>
          </w:p>
        </w:tc>
      </w:tr>
      <w:tr w:rsidR="00256C20" w:rsidRPr="00DF0136" w14:paraId="091387DA" w14:textId="77777777" w:rsidTr="2E407347">
        <w:trPr>
          <w:trHeight w:val="340"/>
          <w:jc w:val="center"/>
        </w:trPr>
        <w:tc>
          <w:tcPr>
            <w:tcW w:w="6091" w:type="dxa"/>
            <w:tcBorders>
              <w:top w:val="single" w:sz="4" w:space="0" w:color="auto"/>
              <w:left w:val="single" w:sz="4" w:space="0" w:color="auto"/>
              <w:bottom w:val="nil"/>
              <w:right w:val="single" w:sz="4" w:space="0" w:color="auto"/>
            </w:tcBorders>
            <w:vAlign w:val="center"/>
          </w:tcPr>
          <w:p w14:paraId="551E87A7" w14:textId="77777777" w:rsidR="00256C20" w:rsidRDefault="00256C20" w:rsidP="00256C20">
            <w:pPr>
              <w:jc w:val="center"/>
              <w:rPr>
                <w:rFonts w:cstheme="minorHAnsi"/>
                <w:lang w:val="fr-FR"/>
              </w:rPr>
            </w:pPr>
          </w:p>
          <w:p w14:paraId="4327B7EB" w14:textId="634E809D" w:rsidR="00256C20" w:rsidRPr="00DF0136" w:rsidRDefault="00256C20" w:rsidP="5F4D774D">
            <w:pPr>
              <w:jc w:val="center"/>
              <w:rPr>
                <w:lang w:val="fr-FR"/>
              </w:rPr>
            </w:pPr>
            <w:r w:rsidRPr="5F4D774D">
              <w:rPr>
                <w:lang w:val="fr-FR"/>
              </w:rPr>
              <w:t xml:space="preserve">Appendix 1 – </w:t>
            </w:r>
            <w:proofErr w:type="spellStart"/>
            <w:r w:rsidRPr="5F4D774D">
              <w:rPr>
                <w:lang w:val="fr-FR"/>
              </w:rPr>
              <w:t>Foundation</w:t>
            </w:r>
            <w:proofErr w:type="spellEnd"/>
            <w:r w:rsidRPr="5F4D774D">
              <w:rPr>
                <w:lang w:val="fr-FR"/>
              </w:rPr>
              <w:t xml:space="preserve"> Questions</w:t>
            </w:r>
          </w:p>
        </w:tc>
      </w:tr>
      <w:tr w:rsidR="00256C20" w:rsidRPr="00DF0136" w14:paraId="7A6D7EF7" w14:textId="77777777" w:rsidTr="2E407347">
        <w:trPr>
          <w:trHeight w:val="340"/>
          <w:jc w:val="center"/>
        </w:trPr>
        <w:tc>
          <w:tcPr>
            <w:tcW w:w="6091" w:type="dxa"/>
            <w:tcBorders>
              <w:top w:val="nil"/>
              <w:left w:val="single" w:sz="4" w:space="0" w:color="auto"/>
              <w:bottom w:val="nil"/>
              <w:right w:val="single" w:sz="4" w:space="0" w:color="auto"/>
            </w:tcBorders>
            <w:vAlign w:val="center"/>
          </w:tcPr>
          <w:p w14:paraId="4F07C2C2" w14:textId="5CF3EDFE" w:rsidR="00256C20" w:rsidRPr="00DF0136" w:rsidRDefault="00256C20" w:rsidP="2E407347">
            <w:pPr>
              <w:jc w:val="center"/>
              <w:rPr>
                <w:lang w:val="fr-FR"/>
              </w:rPr>
            </w:pPr>
            <w:r w:rsidRPr="2E407347">
              <w:rPr>
                <w:highlight w:val="red"/>
                <w:lang w:val="fr-FR"/>
              </w:rPr>
              <w:t xml:space="preserve">Appendix 2 – </w:t>
            </w:r>
            <w:proofErr w:type="spellStart"/>
            <w:r w:rsidRPr="2E407347">
              <w:rPr>
                <w:highlight w:val="red"/>
                <w:lang w:val="fr-FR"/>
              </w:rPr>
              <w:t>Quality</w:t>
            </w:r>
            <w:proofErr w:type="spellEnd"/>
            <w:r w:rsidRPr="2E407347">
              <w:rPr>
                <w:highlight w:val="red"/>
                <w:lang w:val="fr-FR"/>
              </w:rPr>
              <w:t xml:space="preserve"> Questions</w:t>
            </w:r>
          </w:p>
          <w:p w14:paraId="4C7E2EAD" w14:textId="7E65B8EF" w:rsidR="00256C20" w:rsidRPr="00DF0136" w:rsidRDefault="430CD254" w:rsidP="2E407347">
            <w:pPr>
              <w:jc w:val="center"/>
              <w:rPr>
                <w:highlight w:val="red"/>
                <w:lang w:val="fr-FR"/>
              </w:rPr>
            </w:pPr>
            <w:r w:rsidRPr="2E407347">
              <w:rPr>
                <w:highlight w:val="red"/>
                <w:lang w:val="fr-FR"/>
              </w:rPr>
              <w:t xml:space="preserve">Appendix 2.1 - Community </w:t>
            </w:r>
            <w:proofErr w:type="spellStart"/>
            <w:r w:rsidRPr="2E407347">
              <w:rPr>
                <w:highlight w:val="red"/>
                <w:lang w:val="fr-FR"/>
              </w:rPr>
              <w:t>Ben</w:t>
            </w:r>
            <w:r w:rsidR="00A71A1A">
              <w:rPr>
                <w:highlight w:val="red"/>
                <w:lang w:val="fr-FR"/>
              </w:rPr>
              <w:t>e</w:t>
            </w:r>
            <w:r w:rsidRPr="2E407347">
              <w:rPr>
                <w:highlight w:val="red"/>
                <w:lang w:val="fr-FR"/>
              </w:rPr>
              <w:t>fits</w:t>
            </w:r>
            <w:proofErr w:type="spellEnd"/>
            <w:r w:rsidRPr="2E407347">
              <w:rPr>
                <w:highlight w:val="red"/>
                <w:lang w:val="fr-FR"/>
              </w:rPr>
              <w:t xml:space="preserve"> Menu</w:t>
            </w:r>
          </w:p>
        </w:tc>
      </w:tr>
      <w:tr w:rsidR="00256C20" w:rsidRPr="00DF0136" w14:paraId="5DE04932" w14:textId="77777777" w:rsidTr="2E407347">
        <w:trPr>
          <w:trHeight w:val="340"/>
          <w:jc w:val="center"/>
        </w:trPr>
        <w:tc>
          <w:tcPr>
            <w:tcW w:w="6091" w:type="dxa"/>
            <w:tcBorders>
              <w:top w:val="nil"/>
              <w:left w:val="single" w:sz="4" w:space="0" w:color="auto"/>
              <w:bottom w:val="nil"/>
              <w:right w:val="single" w:sz="4" w:space="0" w:color="auto"/>
            </w:tcBorders>
            <w:vAlign w:val="center"/>
          </w:tcPr>
          <w:p w14:paraId="368B6CCE" w14:textId="3C21A8FB" w:rsidR="00256C20" w:rsidRDefault="00256C20" w:rsidP="5F4D774D">
            <w:pPr>
              <w:jc w:val="center"/>
            </w:pPr>
            <w:r w:rsidRPr="5F4D774D">
              <w:t>Appendix 3 – Price Schedule</w:t>
            </w:r>
          </w:p>
        </w:tc>
      </w:tr>
      <w:tr w:rsidR="00256C20" w:rsidRPr="00DF0136" w14:paraId="3911DA71" w14:textId="77777777" w:rsidTr="2E407347">
        <w:trPr>
          <w:trHeight w:val="340"/>
          <w:jc w:val="center"/>
        </w:trPr>
        <w:tc>
          <w:tcPr>
            <w:tcW w:w="6091" w:type="dxa"/>
            <w:tcBorders>
              <w:top w:val="nil"/>
              <w:left w:val="single" w:sz="4" w:space="0" w:color="auto"/>
              <w:bottom w:val="nil"/>
              <w:right w:val="single" w:sz="4" w:space="0" w:color="auto"/>
            </w:tcBorders>
            <w:vAlign w:val="center"/>
          </w:tcPr>
          <w:p w14:paraId="5CC3F4AA" w14:textId="0F46FD91" w:rsidR="00256C20" w:rsidRPr="00DF0136" w:rsidRDefault="00256C20" w:rsidP="00256C20">
            <w:pPr>
              <w:jc w:val="center"/>
              <w:rPr>
                <w:rFonts w:cstheme="minorHAnsi"/>
                <w:lang w:val="fr-FR"/>
              </w:rPr>
            </w:pPr>
            <w:r w:rsidRPr="00DF0136">
              <w:rPr>
                <w:rFonts w:cstheme="minorHAnsi"/>
                <w:lang w:val="fr-FR"/>
              </w:rPr>
              <w:t xml:space="preserve">Appendix 4 – </w:t>
            </w:r>
            <w:proofErr w:type="spellStart"/>
            <w:r w:rsidRPr="00DF0136">
              <w:rPr>
                <w:rFonts w:cstheme="minorHAnsi"/>
                <w:lang w:val="fr-FR"/>
              </w:rPr>
              <w:t>Specification</w:t>
            </w:r>
            <w:proofErr w:type="spellEnd"/>
          </w:p>
        </w:tc>
      </w:tr>
      <w:tr w:rsidR="00256C20" w:rsidRPr="00DF0136" w14:paraId="00D55D5A" w14:textId="77777777" w:rsidTr="2E407347">
        <w:trPr>
          <w:trHeight w:val="340"/>
          <w:jc w:val="center"/>
        </w:trPr>
        <w:tc>
          <w:tcPr>
            <w:tcW w:w="6091" w:type="dxa"/>
            <w:tcBorders>
              <w:top w:val="nil"/>
              <w:left w:val="single" w:sz="4" w:space="0" w:color="auto"/>
              <w:bottom w:val="nil"/>
              <w:right w:val="single" w:sz="4" w:space="0" w:color="auto"/>
            </w:tcBorders>
            <w:vAlign w:val="center"/>
          </w:tcPr>
          <w:p w14:paraId="38126519" w14:textId="51411A0F" w:rsidR="00256C20" w:rsidRPr="00DF0136" w:rsidRDefault="00256C20" w:rsidP="00256C20">
            <w:pPr>
              <w:jc w:val="center"/>
              <w:rPr>
                <w:rFonts w:cstheme="minorHAnsi"/>
                <w:lang w:val="fr-FR"/>
              </w:rPr>
            </w:pPr>
            <w:r>
              <w:rPr>
                <w:rFonts w:cstheme="minorHAnsi"/>
                <w:lang w:val="fr-FR"/>
              </w:rPr>
              <w:t xml:space="preserve">Appendix 5 – </w:t>
            </w:r>
            <w:r w:rsidRPr="00DF0136">
              <w:rPr>
                <w:rFonts w:cstheme="minorHAnsi"/>
                <w:lang w:val="fr-FR"/>
              </w:rPr>
              <w:t xml:space="preserve">Draft </w:t>
            </w:r>
            <w:proofErr w:type="spellStart"/>
            <w:r w:rsidRPr="00DF0136">
              <w:rPr>
                <w:rFonts w:cstheme="minorHAnsi"/>
                <w:lang w:val="fr-FR"/>
              </w:rPr>
              <w:t>Contract</w:t>
            </w:r>
            <w:proofErr w:type="spellEnd"/>
          </w:p>
        </w:tc>
      </w:tr>
      <w:tr w:rsidR="00256C20" w:rsidRPr="00DF0136" w14:paraId="65E8EA09" w14:textId="77777777" w:rsidTr="2E407347">
        <w:trPr>
          <w:trHeight w:val="340"/>
          <w:jc w:val="center"/>
        </w:trPr>
        <w:tc>
          <w:tcPr>
            <w:tcW w:w="6091" w:type="dxa"/>
            <w:tcBorders>
              <w:top w:val="nil"/>
              <w:left w:val="single" w:sz="4" w:space="0" w:color="auto"/>
              <w:bottom w:val="nil"/>
              <w:right w:val="single" w:sz="4" w:space="0" w:color="auto"/>
            </w:tcBorders>
            <w:vAlign w:val="center"/>
          </w:tcPr>
          <w:p w14:paraId="4AD94A9B" w14:textId="317A6CBB" w:rsidR="00256C20" w:rsidRPr="00256C20" w:rsidRDefault="00256C20" w:rsidP="00256C20">
            <w:pPr>
              <w:jc w:val="center"/>
              <w:rPr>
                <w:rFonts w:cstheme="minorHAnsi"/>
                <w:highlight w:val="red"/>
                <w:lang w:val="fr-FR"/>
              </w:rPr>
            </w:pPr>
            <w:r w:rsidRPr="00256C20">
              <w:rPr>
                <w:rFonts w:cstheme="minorHAnsi"/>
                <w:highlight w:val="red"/>
                <w:lang w:val="fr-FR"/>
              </w:rPr>
              <w:t>Appendix 6 – Pre Construction Information</w:t>
            </w:r>
          </w:p>
        </w:tc>
      </w:tr>
      <w:tr w:rsidR="00256C20" w:rsidRPr="00DF0136" w14:paraId="0B39FA51" w14:textId="77777777" w:rsidTr="2E407347">
        <w:trPr>
          <w:trHeight w:val="340"/>
          <w:jc w:val="center"/>
        </w:trPr>
        <w:tc>
          <w:tcPr>
            <w:tcW w:w="6091" w:type="dxa"/>
            <w:tcBorders>
              <w:top w:val="nil"/>
              <w:left w:val="single" w:sz="4" w:space="0" w:color="auto"/>
              <w:bottom w:val="single" w:sz="4" w:space="0" w:color="auto"/>
              <w:right w:val="single" w:sz="4" w:space="0" w:color="auto"/>
            </w:tcBorders>
            <w:vAlign w:val="center"/>
          </w:tcPr>
          <w:p w14:paraId="405BCEF4" w14:textId="40AA1F98" w:rsidR="00256C20" w:rsidRPr="00256C20" w:rsidRDefault="00256C20" w:rsidP="00256C20">
            <w:pPr>
              <w:jc w:val="center"/>
              <w:rPr>
                <w:rFonts w:cstheme="minorHAnsi"/>
                <w:highlight w:val="red"/>
                <w:lang w:val="fr-FR"/>
              </w:rPr>
            </w:pPr>
            <w:r w:rsidRPr="00256C20">
              <w:rPr>
                <w:rFonts w:cstheme="minorHAnsi"/>
                <w:highlight w:val="red"/>
                <w:lang w:val="fr-FR"/>
              </w:rPr>
              <w:t xml:space="preserve">Appendix 7 – </w:t>
            </w:r>
            <w:proofErr w:type="spellStart"/>
            <w:r w:rsidRPr="00256C20">
              <w:rPr>
                <w:rFonts w:cstheme="minorHAnsi"/>
                <w:highlight w:val="red"/>
                <w:lang w:val="fr-FR"/>
              </w:rPr>
              <w:t>Policies</w:t>
            </w:r>
            <w:proofErr w:type="spellEnd"/>
            <w:r w:rsidRPr="00256C20">
              <w:rPr>
                <w:rFonts w:cstheme="minorHAnsi"/>
                <w:highlight w:val="red"/>
                <w:lang w:val="fr-FR"/>
              </w:rPr>
              <w:t xml:space="preserve"> &amp; </w:t>
            </w:r>
            <w:proofErr w:type="spellStart"/>
            <w:r w:rsidRPr="00256C20">
              <w:rPr>
                <w:rFonts w:cstheme="minorHAnsi"/>
                <w:highlight w:val="red"/>
                <w:lang w:val="fr-FR"/>
              </w:rPr>
              <w:t>Procedures</w:t>
            </w:r>
            <w:proofErr w:type="spellEnd"/>
          </w:p>
          <w:p w14:paraId="4A32A3C6" w14:textId="24FF7DDA" w:rsidR="00256C20" w:rsidRPr="00256C20" w:rsidRDefault="00256C20" w:rsidP="00256C20">
            <w:pPr>
              <w:jc w:val="center"/>
              <w:rPr>
                <w:rFonts w:cstheme="minorHAnsi"/>
                <w:highlight w:val="red"/>
                <w:lang w:val="fr-FR"/>
              </w:rPr>
            </w:pPr>
          </w:p>
        </w:tc>
      </w:tr>
    </w:tbl>
    <w:p w14:paraId="2EE80EA3" w14:textId="405F598B" w:rsidR="00256C20" w:rsidRPr="00AE1207" w:rsidRDefault="00256C20" w:rsidP="00256C20">
      <w:pPr>
        <w:jc w:val="right"/>
        <w:rPr>
          <w:rFonts w:eastAsiaTheme="majorEastAsia"/>
          <w:sz w:val="20"/>
          <w:szCs w:val="20"/>
        </w:rPr>
      </w:pPr>
      <w:r w:rsidRPr="00AE1207">
        <w:rPr>
          <w:rFonts w:eastAsiaTheme="majorEastAsia"/>
          <w:sz w:val="20"/>
          <w:szCs w:val="20"/>
        </w:rPr>
        <w:t xml:space="preserve">Table 9 – Tender </w:t>
      </w:r>
      <w:r>
        <w:rPr>
          <w:rFonts w:eastAsiaTheme="majorEastAsia"/>
          <w:sz w:val="20"/>
          <w:szCs w:val="20"/>
        </w:rPr>
        <w:t>Pack</w:t>
      </w:r>
      <w:r w:rsidRPr="00AE1207">
        <w:rPr>
          <w:rFonts w:eastAsiaTheme="majorEastAsia"/>
          <w:sz w:val="20"/>
          <w:szCs w:val="20"/>
        </w:rPr>
        <w:t xml:space="preserve"> </w:t>
      </w:r>
    </w:p>
    <w:p w14:paraId="5749A545" w14:textId="33213FBB" w:rsidR="003A1FAE" w:rsidRPr="00AE1207" w:rsidRDefault="003A1FAE" w:rsidP="003A1FAE">
      <w:pPr>
        <w:rPr>
          <w:rFonts w:eastAsiaTheme="majorEastAsia"/>
        </w:rPr>
      </w:pPr>
      <w:r w:rsidRPr="00AE1207">
        <w:rPr>
          <w:rFonts w:eastAsiaTheme="majorEastAsia"/>
        </w:rPr>
        <w:t>Once you have reviewed all documentation and completed your tender response, please review the below check list to ensure you are submitting a full and complete tender response</w:t>
      </w:r>
      <w:r w:rsidR="00447131" w:rsidRPr="00AE1207">
        <w:rPr>
          <w:rFonts w:eastAsiaTheme="majorEastAsia"/>
        </w:rPr>
        <w:t xml:space="preserve"> within Sell2Wales</w:t>
      </w:r>
      <w:r w:rsidRPr="00AE1207">
        <w:rPr>
          <w:rFonts w:eastAsiaTheme="majorEastAsia"/>
        </w:rPr>
        <w:t>:</w:t>
      </w:r>
    </w:p>
    <w:tbl>
      <w:tblPr>
        <w:tblW w:w="6237" w:type="dxa"/>
        <w:tblInd w:w="14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237"/>
      </w:tblGrid>
      <w:tr w:rsidR="00D43104" w:rsidRPr="00AE1207" w14:paraId="0BA7CDE6" w14:textId="77777777" w:rsidTr="2E407347">
        <w:trPr>
          <w:trHeight w:val="300"/>
        </w:trPr>
        <w:tc>
          <w:tcPr>
            <w:tcW w:w="6237" w:type="dxa"/>
            <w:tcBorders>
              <w:top w:val="single" w:sz="6" w:space="0" w:color="auto"/>
              <w:left w:val="single" w:sz="6" w:space="0" w:color="auto"/>
              <w:bottom w:val="single" w:sz="6" w:space="0" w:color="auto"/>
              <w:right w:val="single" w:sz="6" w:space="0" w:color="auto"/>
            </w:tcBorders>
            <w:shd w:val="clear" w:color="auto" w:fill="1F3864" w:themeFill="accent1" w:themeFillShade="80"/>
            <w:hideMark/>
          </w:tcPr>
          <w:p w14:paraId="4714FFD8" w14:textId="6AC9A977" w:rsidR="00D43104" w:rsidRPr="00AE1207" w:rsidRDefault="00CA199D" w:rsidP="00D43104">
            <w:pPr>
              <w:spacing w:after="0" w:line="240" w:lineRule="auto"/>
              <w:jc w:val="center"/>
              <w:textAlignment w:val="baseline"/>
              <w:rPr>
                <w:rFonts w:ascii="Segoe UI" w:eastAsia="Times New Roman" w:hAnsi="Segoe UI" w:cs="Segoe UI"/>
                <w:sz w:val="18"/>
                <w:szCs w:val="18"/>
                <w:lang w:eastAsia="en-GB"/>
              </w:rPr>
            </w:pPr>
            <w:r w:rsidRPr="00AE1207">
              <w:rPr>
                <w:rFonts w:ascii="Calibri" w:eastAsia="Times New Roman" w:hAnsi="Calibri" w:cs="Calibri"/>
                <w:b/>
                <w:bCs/>
                <w:color w:val="FFFFFF"/>
                <w:lang w:eastAsia="en-GB"/>
              </w:rPr>
              <w:t>Tender Checklist</w:t>
            </w:r>
            <w:r w:rsidR="00D43104" w:rsidRPr="00AE1207">
              <w:rPr>
                <w:rFonts w:ascii="Calibri" w:eastAsia="Times New Roman" w:hAnsi="Calibri" w:cs="Calibri"/>
                <w:lang w:eastAsia="en-GB"/>
              </w:rPr>
              <w:t> </w:t>
            </w:r>
          </w:p>
        </w:tc>
      </w:tr>
      <w:tr w:rsidR="00D43104" w:rsidRPr="00AE1207" w14:paraId="7138F2ED" w14:textId="77777777" w:rsidTr="2E407347">
        <w:trPr>
          <w:trHeight w:val="300"/>
        </w:trPr>
        <w:tc>
          <w:tcPr>
            <w:tcW w:w="6237" w:type="dxa"/>
            <w:tcBorders>
              <w:top w:val="single" w:sz="6" w:space="0" w:color="auto"/>
              <w:left w:val="single" w:sz="6" w:space="0" w:color="auto"/>
              <w:bottom w:val="single" w:sz="6" w:space="0" w:color="auto"/>
              <w:right w:val="single" w:sz="6" w:space="0" w:color="auto"/>
            </w:tcBorders>
            <w:hideMark/>
          </w:tcPr>
          <w:p w14:paraId="570FC86B" w14:textId="77777777" w:rsidR="00CA199D" w:rsidRPr="00DF0136" w:rsidRDefault="00CA199D" w:rsidP="00D43104">
            <w:pPr>
              <w:spacing w:after="0"/>
              <w:jc w:val="center"/>
              <w:rPr>
                <w:rFonts w:eastAsiaTheme="majorEastAsia"/>
                <w:lang w:val="fr-FR"/>
              </w:rPr>
            </w:pPr>
          </w:p>
          <w:p w14:paraId="3BE77E80" w14:textId="77777777" w:rsidR="00DF0136" w:rsidRPr="00DF0136" w:rsidRDefault="00DF0136" w:rsidP="00DF0136">
            <w:pPr>
              <w:spacing w:after="0"/>
              <w:jc w:val="center"/>
              <w:rPr>
                <w:rFonts w:eastAsiaTheme="majorEastAsia"/>
                <w:lang w:val="fr-FR"/>
              </w:rPr>
            </w:pPr>
            <w:r w:rsidRPr="00DF0136">
              <w:rPr>
                <w:rFonts w:eastAsiaTheme="majorEastAsia"/>
                <w:lang w:val="fr-FR"/>
              </w:rPr>
              <w:t xml:space="preserve">Appendix 1 – ITT </w:t>
            </w:r>
            <w:proofErr w:type="spellStart"/>
            <w:r w:rsidRPr="00DF0136">
              <w:rPr>
                <w:rFonts w:eastAsiaTheme="majorEastAsia"/>
                <w:lang w:val="fr-FR"/>
              </w:rPr>
              <w:t>Foundation</w:t>
            </w:r>
            <w:proofErr w:type="spellEnd"/>
            <w:r w:rsidRPr="00DF0136">
              <w:rPr>
                <w:rFonts w:eastAsiaTheme="majorEastAsia"/>
                <w:lang w:val="fr-FR"/>
              </w:rPr>
              <w:t xml:space="preserve"> Questions</w:t>
            </w:r>
          </w:p>
          <w:p w14:paraId="3AECD7EE" w14:textId="77777777" w:rsidR="00DF0136" w:rsidRPr="00DF0136" w:rsidRDefault="00DF0136" w:rsidP="00DF0136">
            <w:pPr>
              <w:spacing w:after="0"/>
              <w:jc w:val="center"/>
              <w:rPr>
                <w:rFonts w:eastAsiaTheme="majorEastAsia"/>
                <w:lang w:val="fr-FR"/>
              </w:rPr>
            </w:pPr>
            <w:r w:rsidRPr="2E407347">
              <w:rPr>
                <w:rFonts w:eastAsiaTheme="majorEastAsia"/>
                <w:highlight w:val="red"/>
                <w:lang w:val="fr-FR"/>
              </w:rPr>
              <w:t xml:space="preserve">Appendix 2 – ITT </w:t>
            </w:r>
            <w:proofErr w:type="spellStart"/>
            <w:r w:rsidRPr="2E407347">
              <w:rPr>
                <w:rFonts w:eastAsiaTheme="majorEastAsia"/>
                <w:highlight w:val="red"/>
                <w:lang w:val="fr-FR"/>
              </w:rPr>
              <w:t>Quality</w:t>
            </w:r>
            <w:proofErr w:type="spellEnd"/>
            <w:r w:rsidRPr="2E407347">
              <w:rPr>
                <w:rFonts w:eastAsiaTheme="majorEastAsia"/>
                <w:highlight w:val="red"/>
                <w:lang w:val="fr-FR"/>
              </w:rPr>
              <w:t xml:space="preserve"> Questions</w:t>
            </w:r>
          </w:p>
          <w:p w14:paraId="37EFDD80" w14:textId="208FE055" w:rsidR="00E3156C" w:rsidRDefault="00E3156C" w:rsidP="2E407347">
            <w:pPr>
              <w:jc w:val="center"/>
              <w:rPr>
                <w:highlight w:val="red"/>
                <w:lang w:val="fr-FR"/>
              </w:rPr>
            </w:pPr>
            <w:r w:rsidRPr="2E407347">
              <w:rPr>
                <w:highlight w:val="red"/>
                <w:lang w:val="fr-FR"/>
              </w:rPr>
              <w:lastRenderedPageBreak/>
              <w:t xml:space="preserve">Appendix 2.1 - Community </w:t>
            </w:r>
            <w:proofErr w:type="spellStart"/>
            <w:r w:rsidRPr="2E407347">
              <w:rPr>
                <w:highlight w:val="red"/>
                <w:lang w:val="fr-FR"/>
              </w:rPr>
              <w:t>Ben</w:t>
            </w:r>
            <w:r w:rsidR="00B7626A">
              <w:rPr>
                <w:highlight w:val="red"/>
                <w:lang w:val="fr-FR"/>
              </w:rPr>
              <w:t>e</w:t>
            </w:r>
            <w:r w:rsidRPr="2E407347">
              <w:rPr>
                <w:highlight w:val="red"/>
                <w:lang w:val="fr-FR"/>
              </w:rPr>
              <w:t>fits</w:t>
            </w:r>
            <w:proofErr w:type="spellEnd"/>
            <w:r w:rsidRPr="2E407347">
              <w:rPr>
                <w:highlight w:val="red"/>
                <w:lang w:val="fr-FR"/>
              </w:rPr>
              <w:t xml:space="preserve"> Menu</w:t>
            </w:r>
          </w:p>
          <w:p w14:paraId="49DE5541" w14:textId="77777777" w:rsidR="00DF0136" w:rsidRDefault="00DF0136" w:rsidP="00DF0136">
            <w:pPr>
              <w:spacing w:after="0"/>
              <w:jc w:val="center"/>
              <w:rPr>
                <w:rFonts w:eastAsiaTheme="majorEastAsia"/>
              </w:rPr>
            </w:pPr>
            <w:r w:rsidRPr="00DF0136">
              <w:rPr>
                <w:rFonts w:eastAsiaTheme="majorEastAsia"/>
              </w:rPr>
              <w:t>Appendix 3 – ITT Price Schedule</w:t>
            </w:r>
          </w:p>
          <w:p w14:paraId="69F5C04E" w14:textId="77777777" w:rsidR="00331752" w:rsidRPr="00331752" w:rsidRDefault="00331752" w:rsidP="00DF0136">
            <w:pPr>
              <w:spacing w:after="0"/>
              <w:rPr>
                <w:rFonts w:eastAsiaTheme="majorEastAsia"/>
              </w:rPr>
            </w:pPr>
          </w:p>
          <w:p w14:paraId="7436B133" w14:textId="346D77B7" w:rsidR="00D43104" w:rsidRPr="00AE1207" w:rsidRDefault="00D43104" w:rsidP="00D43104">
            <w:pPr>
              <w:spacing w:after="0" w:line="240" w:lineRule="auto"/>
              <w:jc w:val="center"/>
              <w:textAlignment w:val="baseline"/>
              <w:rPr>
                <w:rFonts w:ascii="Segoe UI" w:eastAsia="Times New Roman" w:hAnsi="Segoe UI" w:cs="Segoe UI"/>
                <w:sz w:val="18"/>
                <w:szCs w:val="18"/>
                <w:lang w:eastAsia="en-GB"/>
              </w:rPr>
            </w:pPr>
          </w:p>
        </w:tc>
      </w:tr>
    </w:tbl>
    <w:p w14:paraId="6A5694D1" w14:textId="3C04626A" w:rsidR="00447131" w:rsidRPr="00AE1207" w:rsidRDefault="00D43104" w:rsidP="00CA199D">
      <w:pPr>
        <w:jc w:val="right"/>
        <w:rPr>
          <w:rFonts w:eastAsiaTheme="majorEastAsia"/>
          <w:sz w:val="20"/>
          <w:szCs w:val="20"/>
        </w:rPr>
      </w:pPr>
      <w:r w:rsidRPr="00AE1207">
        <w:rPr>
          <w:rFonts w:eastAsiaTheme="majorEastAsia"/>
          <w:sz w:val="20"/>
          <w:szCs w:val="20"/>
        </w:rPr>
        <w:t xml:space="preserve">Table </w:t>
      </w:r>
      <w:r w:rsidR="00256C20">
        <w:rPr>
          <w:rFonts w:eastAsiaTheme="majorEastAsia"/>
          <w:sz w:val="20"/>
          <w:szCs w:val="20"/>
        </w:rPr>
        <w:t>10</w:t>
      </w:r>
      <w:r w:rsidR="00CA199D" w:rsidRPr="00AE1207">
        <w:rPr>
          <w:rFonts w:eastAsiaTheme="majorEastAsia"/>
          <w:sz w:val="20"/>
          <w:szCs w:val="20"/>
        </w:rPr>
        <w:t xml:space="preserve"> – Tender Checklist </w:t>
      </w:r>
    </w:p>
    <w:p w14:paraId="219E440F" w14:textId="1CE865D8" w:rsidR="0059228E" w:rsidRPr="003A1FAE" w:rsidRDefault="003A1FAE" w:rsidP="003A1FAE">
      <w:pPr>
        <w:rPr>
          <w:rFonts w:eastAsiaTheme="majorEastAsia"/>
        </w:rPr>
      </w:pPr>
      <w:r w:rsidRPr="00AE1207">
        <w:rPr>
          <w:rFonts w:eastAsiaTheme="majorEastAsia"/>
        </w:rPr>
        <w:t xml:space="preserve">Please ensure that you have attached any </w:t>
      </w:r>
      <w:r w:rsidR="00B97C30" w:rsidRPr="00AE1207">
        <w:rPr>
          <w:rFonts w:eastAsiaTheme="majorEastAsia"/>
        </w:rPr>
        <w:t xml:space="preserve">further </w:t>
      </w:r>
      <w:r w:rsidRPr="00AE1207">
        <w:rPr>
          <w:rFonts w:eastAsiaTheme="majorEastAsia"/>
        </w:rPr>
        <w:t>relevant documentation, clearly labelling what it is and if it should be used in conjunction with any other documents.</w:t>
      </w:r>
    </w:p>
    <w:p w14:paraId="698D8E9F" w14:textId="77777777" w:rsidR="00F2169A" w:rsidRPr="00352B5A" w:rsidRDefault="00F2169A" w:rsidP="00352B5A">
      <w:pPr>
        <w:rPr>
          <w:rFonts w:eastAsiaTheme="majorEastAsia"/>
        </w:rPr>
      </w:pPr>
    </w:p>
    <w:p w14:paraId="372C7E23" w14:textId="77777777" w:rsidR="00760ECD" w:rsidRPr="00EB7262" w:rsidRDefault="00760ECD" w:rsidP="00EB7262">
      <w:pPr>
        <w:rPr>
          <w:rFonts w:asciiTheme="majorHAnsi" w:eastAsiaTheme="majorEastAsia" w:hAnsiTheme="majorHAnsi" w:cstheme="majorBidi"/>
          <w:color w:val="2F5496" w:themeColor="accent1" w:themeShade="BF"/>
          <w:sz w:val="28"/>
          <w:szCs w:val="28"/>
        </w:rPr>
      </w:pPr>
    </w:p>
    <w:p w14:paraId="341509B3" w14:textId="77777777" w:rsidR="00760ECD" w:rsidRPr="00760ECD" w:rsidRDefault="00760ECD" w:rsidP="00760ECD">
      <w:pPr>
        <w:rPr>
          <w:rFonts w:asciiTheme="majorHAnsi" w:eastAsiaTheme="majorEastAsia" w:hAnsiTheme="majorHAnsi" w:cstheme="majorBidi"/>
          <w:color w:val="2F5496" w:themeColor="accent1" w:themeShade="BF"/>
          <w:sz w:val="28"/>
          <w:szCs w:val="28"/>
        </w:rPr>
      </w:pPr>
    </w:p>
    <w:sectPr w:rsidR="00760ECD" w:rsidRPr="00760ECD" w:rsidSect="00F6624D">
      <w:pgSz w:w="11906" w:h="16838"/>
      <w:pgMar w:top="2268" w:right="1440" w:bottom="1440" w:left="144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Tim Johnston" w:date="2023-10-10T14:41:00Z" w:initials="TJ">
    <w:p w14:paraId="29B37B9C" w14:textId="77777777" w:rsidR="009D1CAE" w:rsidRDefault="009763BD">
      <w:pPr>
        <w:pStyle w:val="CommentText"/>
      </w:pPr>
      <w:r>
        <w:rPr>
          <w:rStyle w:val="CommentReference"/>
        </w:rPr>
        <w:annotationRef/>
      </w:r>
      <w:r w:rsidR="009D1CAE">
        <w:t xml:space="preserve">Text highlighted in </w:t>
      </w:r>
      <w:r w:rsidR="009D1CAE">
        <w:rPr>
          <w:highlight w:val="yellow"/>
        </w:rPr>
        <w:t xml:space="preserve">Yellow </w:t>
      </w:r>
      <w:r w:rsidR="009D1CAE">
        <w:t xml:space="preserve">is updated </w:t>
      </w:r>
      <w:r w:rsidR="009D1CAE">
        <w:br/>
      </w:r>
    </w:p>
    <w:p w14:paraId="6599D1C2" w14:textId="77777777" w:rsidR="009D1CAE" w:rsidRDefault="009D1CAE">
      <w:pPr>
        <w:pStyle w:val="CommentText"/>
      </w:pPr>
      <w:r>
        <w:t xml:space="preserve">Text highlighted in </w:t>
      </w:r>
      <w:r>
        <w:rPr>
          <w:highlight w:val="magenta"/>
        </w:rPr>
        <w:t xml:space="preserve">Purple </w:t>
      </w:r>
      <w:r>
        <w:t xml:space="preserve">is to be deleted as applicable </w:t>
      </w:r>
    </w:p>
    <w:p w14:paraId="3CFDF73D" w14:textId="77777777" w:rsidR="009D1CAE" w:rsidRDefault="009D1CAE" w:rsidP="00E8198B">
      <w:pPr>
        <w:pStyle w:val="CommentText"/>
      </w:pPr>
      <w:r>
        <w:br/>
        <w:t xml:space="preserve">Text highlighted in </w:t>
      </w:r>
      <w:r>
        <w:rPr>
          <w:highlight w:val="red"/>
        </w:rPr>
        <w:t xml:space="preserve">Red </w:t>
      </w:r>
      <w:r>
        <w:t xml:space="preserve">maybe stricken through as applicable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CFDF73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079D22B" w16cex:dateUtc="2023-10-10T13: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CFDF73D" w16cid:durableId="4079D22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8F25E1" w14:textId="77777777" w:rsidR="001458D3" w:rsidRDefault="001458D3" w:rsidP="00530856">
      <w:pPr>
        <w:spacing w:after="0" w:line="240" w:lineRule="auto"/>
      </w:pPr>
      <w:r>
        <w:separator/>
      </w:r>
    </w:p>
  </w:endnote>
  <w:endnote w:type="continuationSeparator" w:id="0">
    <w:p w14:paraId="70059780" w14:textId="77777777" w:rsidR="001458D3" w:rsidRDefault="001458D3" w:rsidP="00530856">
      <w:pPr>
        <w:spacing w:after="0" w:line="240" w:lineRule="auto"/>
      </w:pPr>
      <w:r>
        <w:continuationSeparator/>
      </w:r>
    </w:p>
  </w:endnote>
  <w:endnote w:type="continuationNotice" w:id="1">
    <w:p w14:paraId="776ED408" w14:textId="77777777" w:rsidR="001458D3" w:rsidRDefault="001458D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LilyUPC">
    <w:charset w:val="DE"/>
    <w:family w:val="swiss"/>
    <w:pitch w:val="variable"/>
    <w:sig w:usb0="81000003" w:usb1="00000000" w:usb2="00000000" w:usb3="00000000" w:csb0="00010001" w:csb1="00000000"/>
  </w:font>
  <w:font w:name="Montserrat">
    <w:charset w:val="00"/>
    <w:family w:val="auto"/>
    <w:pitch w:val="variable"/>
    <w:sig w:usb0="2000020F" w:usb1="00000003" w:usb2="00000000" w:usb3="00000000" w:csb0="00000197"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1881804"/>
      <w:docPartObj>
        <w:docPartGallery w:val="Page Numbers (Bottom of Page)"/>
        <w:docPartUnique/>
      </w:docPartObj>
    </w:sdtPr>
    <w:sdtEndPr>
      <w:rPr>
        <w:noProof/>
      </w:rPr>
    </w:sdtEndPr>
    <w:sdtContent>
      <w:p w14:paraId="2AC17DC8" w14:textId="2A7F5748" w:rsidR="00D44EE8" w:rsidRDefault="00D44EE8" w:rsidP="00D44EE8">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C0ECC" w14:textId="655CE638" w:rsidR="00763889" w:rsidRPr="00707D00" w:rsidRDefault="00763889" w:rsidP="00707D00">
    <w:pPr>
      <w:pStyle w:val="Footer"/>
    </w:pPr>
    <w:r>
      <w:t>V.1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38C066" w14:textId="77777777" w:rsidR="001458D3" w:rsidRDefault="001458D3" w:rsidP="00530856">
      <w:pPr>
        <w:spacing w:after="0" w:line="240" w:lineRule="auto"/>
      </w:pPr>
      <w:r>
        <w:separator/>
      </w:r>
    </w:p>
  </w:footnote>
  <w:footnote w:type="continuationSeparator" w:id="0">
    <w:p w14:paraId="6643402C" w14:textId="77777777" w:rsidR="001458D3" w:rsidRDefault="001458D3" w:rsidP="00530856">
      <w:pPr>
        <w:spacing w:after="0" w:line="240" w:lineRule="auto"/>
      </w:pPr>
      <w:r>
        <w:continuationSeparator/>
      </w:r>
    </w:p>
  </w:footnote>
  <w:footnote w:type="continuationNotice" w:id="1">
    <w:p w14:paraId="07574313" w14:textId="77777777" w:rsidR="001458D3" w:rsidRDefault="001458D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7159E" w14:textId="3629F437" w:rsidR="00D44EE8" w:rsidRDefault="00D44EE8">
    <w:pPr>
      <w:pStyle w:val="Header"/>
    </w:pPr>
    <w:r>
      <w:rPr>
        <w:noProof/>
      </w:rPr>
      <w:drawing>
        <wp:anchor distT="0" distB="0" distL="114300" distR="114300" simplePos="0" relativeHeight="251658245" behindDoc="0" locked="0" layoutInCell="1" allowOverlap="1" wp14:anchorId="3BE0C086" wp14:editId="21EC4FE1">
          <wp:simplePos x="0" y="0"/>
          <wp:positionH relativeFrom="margin">
            <wp:posOffset>169545</wp:posOffset>
          </wp:positionH>
          <wp:positionV relativeFrom="paragraph">
            <wp:posOffset>56677</wp:posOffset>
          </wp:positionV>
          <wp:extent cx="2115820" cy="752475"/>
          <wp:effectExtent l="0" t="0" r="0" b="9525"/>
          <wp:wrapNone/>
          <wp:docPr id="1167114438" name="Picture 1167114438"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 name="Picture 197" descr="A picture containing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15820" cy="75247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4" behindDoc="0" locked="0" layoutInCell="1" allowOverlap="1" wp14:anchorId="4B5338CA" wp14:editId="2925C123">
          <wp:simplePos x="0" y="0"/>
          <wp:positionH relativeFrom="page">
            <wp:posOffset>8890</wp:posOffset>
          </wp:positionH>
          <wp:positionV relativeFrom="paragraph">
            <wp:posOffset>-432908</wp:posOffset>
          </wp:positionV>
          <wp:extent cx="7551420" cy="1211580"/>
          <wp:effectExtent l="0" t="0" r="0" b="0"/>
          <wp:wrapNone/>
          <wp:docPr id="1220742086" name="Picture 1220742086" descr="A picture containing indoor, bla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ndoor, black&#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7551420" cy="1211580"/>
                  </a:xfrm>
                  <a:prstGeom prst="rect">
                    <a:avLst/>
                  </a:prstGeom>
                </pic:spPr>
              </pic:pic>
            </a:graphicData>
          </a:graphic>
          <wp14:sizeRelH relativeFrom="page">
            <wp14:pctWidth>0</wp14:pctWidth>
          </wp14:sizeRelH>
          <wp14:sizeRelV relativeFrom="page">
            <wp14:pctHeight>0</wp14:pctHeight>
          </wp14:sizeRelV>
        </wp:anchor>
      </w:drawing>
    </w:r>
  </w:p>
  <w:p w14:paraId="4E557994" w14:textId="59C35893" w:rsidR="00D44EE8" w:rsidRPr="00D44EE8" w:rsidRDefault="00D44EE8">
    <w:pPr>
      <w:pStyle w:val="Header"/>
      <w:rPr>
        <w:sz w:val="32"/>
        <w:szCs w:val="32"/>
      </w:rPr>
    </w:pPr>
  </w:p>
  <w:p w14:paraId="6F493B0A" w14:textId="7B823931" w:rsidR="00D44EE8" w:rsidRDefault="005C69B7" w:rsidP="005C69B7">
    <w:pPr>
      <w:pStyle w:val="Header"/>
      <w:jc w:val="right"/>
    </w:pPr>
    <w:r>
      <w:t xml:space="preserve">ITT: </w:t>
    </w:r>
    <w:r w:rsidRPr="005C69B7">
      <w:rPr>
        <w:b/>
        <w:bCs/>
      </w:rPr>
      <w:t>Demolition at Yew Close Garages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DFD7E" w14:textId="59D94245" w:rsidR="001D5E7D" w:rsidRDefault="001D5E7D" w:rsidP="001D5E7D">
    <w:pPr>
      <w:pStyle w:val="Header"/>
      <w:jc w:val="right"/>
    </w:pPr>
    <w:r>
      <w:rPr>
        <w:noProof/>
      </w:rPr>
      <w:drawing>
        <wp:anchor distT="0" distB="0" distL="114300" distR="114300" simplePos="0" relativeHeight="251658240" behindDoc="0" locked="0" layoutInCell="1" allowOverlap="1" wp14:anchorId="2F6A9042" wp14:editId="6633549D">
          <wp:simplePos x="0" y="0"/>
          <wp:positionH relativeFrom="page">
            <wp:align>right</wp:align>
          </wp:positionH>
          <wp:positionV relativeFrom="paragraph">
            <wp:posOffset>-450215</wp:posOffset>
          </wp:positionV>
          <wp:extent cx="7551420" cy="1212112"/>
          <wp:effectExtent l="0" t="0" r="0" b="0"/>
          <wp:wrapNone/>
          <wp:docPr id="560720370" name="Picture 560720370" descr="A picture containing indoor, bla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ndoor, black&#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51420" cy="1212112"/>
                  </a:xfrm>
                  <a:prstGeom prst="rect">
                    <a:avLst/>
                  </a:prstGeom>
                </pic:spPr>
              </pic:pic>
            </a:graphicData>
          </a:graphic>
          <wp14:sizeRelH relativeFrom="page">
            <wp14:pctWidth>0</wp14:pctWidth>
          </wp14:sizeRelH>
          <wp14:sizeRelV relativeFrom="page">
            <wp14:pctHeight>0</wp14:pctHeight>
          </wp14:sizeRelV>
        </wp:anchor>
      </w:drawing>
    </w:r>
  </w:p>
  <w:p w14:paraId="6299D5C6" w14:textId="62CFFDD5" w:rsidR="001D5E7D" w:rsidRPr="001D5E7D" w:rsidRDefault="001D5E7D" w:rsidP="001D5E7D">
    <w:pPr>
      <w:pStyle w:val="Header"/>
      <w:jc w:val="right"/>
      <w:rPr>
        <w:sz w:val="28"/>
        <w:szCs w:val="28"/>
      </w:rPr>
    </w:pPr>
  </w:p>
  <w:p w14:paraId="41553EC7" w14:textId="504FE763" w:rsidR="00530856" w:rsidRDefault="00D44EE8" w:rsidP="00F6624D">
    <w:pPr>
      <w:pStyle w:val="Footer"/>
      <w:jc w:val="center"/>
    </w:pPr>
    <w:r>
      <w:rPr>
        <w:noProof/>
      </w:rPr>
      <w:drawing>
        <wp:anchor distT="0" distB="0" distL="114300" distR="114300" simplePos="0" relativeHeight="251658243" behindDoc="0" locked="0" layoutInCell="1" allowOverlap="1" wp14:anchorId="1DAA3217" wp14:editId="0A89DCD6">
          <wp:simplePos x="0" y="0"/>
          <wp:positionH relativeFrom="page">
            <wp:posOffset>11430</wp:posOffset>
          </wp:positionH>
          <wp:positionV relativeFrom="page">
            <wp:posOffset>4028278</wp:posOffset>
          </wp:positionV>
          <wp:extent cx="7505700" cy="6631305"/>
          <wp:effectExtent l="0" t="0" r="0" b="0"/>
          <wp:wrapSquare wrapText="bothSides"/>
          <wp:docPr id="697897927" name="Picture 697897927" descr="A logo with rainbow colored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1707222" name="Picture 1" descr="A logo with rainbow colored lines&#10;&#10;Description automatically generated"/>
                  <pic:cNvPicPr>
                    <a:picLocks noChangeAspect="1" noChangeArrowheads="1"/>
                  </pic:cNvPicPr>
                </pic:nvPicPr>
                <pic:blipFill rotWithShape="1">
                  <a:blip r:embed="rId2">
                    <a:extLst>
                      <a:ext uri="{28A0092B-C50C-407E-A947-70E740481C1C}">
                        <a14:useLocalDpi xmlns:a14="http://schemas.microsoft.com/office/drawing/2010/main" val="0"/>
                      </a:ext>
                    </a:extLst>
                  </a:blip>
                  <a:srcRect r="59783"/>
                  <a:stretch/>
                </pic:blipFill>
                <pic:spPr bwMode="auto">
                  <a:xfrm flipH="1">
                    <a:off x="0" y="0"/>
                    <a:ext cx="7505700" cy="66313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563F4" w14:textId="77777777" w:rsidR="00D44EE8" w:rsidRDefault="00D44EE8" w:rsidP="001D5E7D">
    <w:pPr>
      <w:pStyle w:val="Header"/>
      <w:jc w:val="right"/>
    </w:pPr>
    <w:r>
      <w:rPr>
        <w:noProof/>
      </w:rPr>
      <w:drawing>
        <wp:anchor distT="0" distB="0" distL="114300" distR="114300" simplePos="0" relativeHeight="251658241" behindDoc="0" locked="0" layoutInCell="1" allowOverlap="1" wp14:anchorId="2548533C" wp14:editId="62ADEDDA">
          <wp:simplePos x="0" y="0"/>
          <wp:positionH relativeFrom="page">
            <wp:align>right</wp:align>
          </wp:positionH>
          <wp:positionV relativeFrom="paragraph">
            <wp:posOffset>-450215</wp:posOffset>
          </wp:positionV>
          <wp:extent cx="7551420" cy="1212112"/>
          <wp:effectExtent l="0" t="0" r="0" b="0"/>
          <wp:wrapNone/>
          <wp:docPr id="1649752089" name="Picture 1649752089" descr="A picture containing indoor, bla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ndoor, black&#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51420" cy="1212112"/>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2" behindDoc="0" locked="0" layoutInCell="1" allowOverlap="1" wp14:anchorId="458AA1DB" wp14:editId="72702A58">
          <wp:simplePos x="0" y="0"/>
          <wp:positionH relativeFrom="margin">
            <wp:posOffset>148590</wp:posOffset>
          </wp:positionH>
          <wp:positionV relativeFrom="paragraph">
            <wp:posOffset>0</wp:posOffset>
          </wp:positionV>
          <wp:extent cx="2244090" cy="798195"/>
          <wp:effectExtent l="0" t="0" r="3810" b="1905"/>
          <wp:wrapNone/>
          <wp:docPr id="909114234" name="Picture 909114234"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 name="Picture 197" descr="A picture containing logo&#10;&#10;Description automatically generated"/>
                  <pic:cNvPicPr/>
                </pic:nvPicPr>
                <pic:blipFill>
                  <a:blip r:embed="rId2" cstate="print">
                    <a:extLst>
                      <a:ext uri="{28A0092B-C50C-407E-A947-70E740481C1C}">
                        <a14:useLocalDpi xmlns:a14="http://schemas.microsoft.com/office/drawing/2010/main" val="0"/>
                      </a:ext>
                    </a:extLst>
                  </a:blip>
                  <a:stretch>
                    <a:fillRect/>
                  </a:stretch>
                </pic:blipFill>
                <pic:spPr>
                  <a:xfrm>
                    <a:off x="0" y="0"/>
                    <a:ext cx="2244090" cy="798195"/>
                  </a:xfrm>
                  <a:prstGeom prst="rect">
                    <a:avLst/>
                  </a:prstGeom>
                </pic:spPr>
              </pic:pic>
            </a:graphicData>
          </a:graphic>
          <wp14:sizeRelH relativeFrom="page">
            <wp14:pctWidth>0</wp14:pctWidth>
          </wp14:sizeRelH>
          <wp14:sizeRelV relativeFrom="page">
            <wp14:pctHeight>0</wp14:pctHeight>
          </wp14:sizeRelV>
        </wp:anchor>
      </w:drawing>
    </w:r>
  </w:p>
  <w:p w14:paraId="5F18709D" w14:textId="77777777" w:rsidR="00D44EE8" w:rsidRPr="001D5E7D" w:rsidRDefault="00D44EE8" w:rsidP="001D5E7D">
    <w:pPr>
      <w:pStyle w:val="Header"/>
      <w:jc w:val="right"/>
      <w:rPr>
        <w:sz w:val="28"/>
        <w:szCs w:val="28"/>
      </w:rPr>
    </w:pPr>
  </w:p>
  <w:p w14:paraId="47A5234E" w14:textId="77777777" w:rsidR="00D44EE8" w:rsidRDefault="00D44EE8" w:rsidP="001D5E7D">
    <w:pPr>
      <w:pStyle w:val="Footer"/>
      <w:jc w:val="right"/>
    </w:pPr>
    <w:r>
      <w:t>IIT: [Contract Title]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F4944"/>
    <w:multiLevelType w:val="multilevel"/>
    <w:tmpl w:val="CD5CCAD4"/>
    <w:lvl w:ilvl="0">
      <w:start w:val="1"/>
      <w:numFmt w:val="decimal"/>
      <w:lvlText w:val="%1."/>
      <w:lvlJc w:val="left"/>
      <w:pPr>
        <w:ind w:left="360" w:hanging="360"/>
      </w:pPr>
      <w:rPr>
        <w:rFonts w:hint="default"/>
      </w:rPr>
    </w:lvl>
    <w:lvl w:ilvl="1">
      <w:start w:val="1"/>
      <w:numFmt w:val="decimal"/>
      <w:lvlText w:val="%1.%2."/>
      <w:lvlJc w:val="left"/>
      <w:pPr>
        <w:ind w:left="432" w:hanging="432"/>
      </w:pPr>
      <w:rPr>
        <w:sz w:val="28"/>
        <w:szCs w:val="2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3871328"/>
    <w:multiLevelType w:val="hybridMultilevel"/>
    <w:tmpl w:val="9D3A5E4A"/>
    <w:lvl w:ilvl="0" w:tplc="6B48460C">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BB966A6"/>
    <w:multiLevelType w:val="multilevel"/>
    <w:tmpl w:val="D6EEF868"/>
    <w:styleLink w:val="CurrentList1"/>
    <w:lvl w:ilvl="0">
      <w:start w:val="1"/>
      <w:numFmt w:val="lowerLetter"/>
      <w:lvlText w:val="%1)"/>
      <w:lvlJc w:val="left"/>
      <w:pPr>
        <w:ind w:left="720" w:hanging="720"/>
      </w:pPr>
      <w:rPr>
        <w:rFonts w:asciiTheme="minorHAnsi" w:eastAsiaTheme="majorEastAsia" w:hAnsiTheme="minorHAnsi" w:cstheme="minorBidi"/>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DB934CA"/>
    <w:multiLevelType w:val="hybridMultilevel"/>
    <w:tmpl w:val="EC46F9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693778"/>
    <w:multiLevelType w:val="multilevel"/>
    <w:tmpl w:val="CD5CCAD4"/>
    <w:lvl w:ilvl="0">
      <w:start w:val="1"/>
      <w:numFmt w:val="decimal"/>
      <w:lvlText w:val="%1."/>
      <w:lvlJc w:val="left"/>
      <w:pPr>
        <w:ind w:left="360" w:hanging="360"/>
      </w:pPr>
      <w:rPr>
        <w:rFonts w:hint="default"/>
      </w:rPr>
    </w:lvl>
    <w:lvl w:ilvl="1">
      <w:start w:val="1"/>
      <w:numFmt w:val="decimal"/>
      <w:lvlText w:val="%1.%2."/>
      <w:lvlJc w:val="left"/>
      <w:pPr>
        <w:ind w:left="432" w:hanging="432"/>
      </w:pPr>
      <w:rPr>
        <w:sz w:val="28"/>
        <w:szCs w:val="2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1907C24"/>
    <w:multiLevelType w:val="hybridMultilevel"/>
    <w:tmpl w:val="97F62966"/>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119F3B4B"/>
    <w:multiLevelType w:val="hybridMultilevel"/>
    <w:tmpl w:val="E90C302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61E7FE9"/>
    <w:multiLevelType w:val="hybridMultilevel"/>
    <w:tmpl w:val="9DF42436"/>
    <w:lvl w:ilvl="0" w:tplc="D57210B0">
      <w:start w:val="1"/>
      <w:numFmt w:val="lowerLetter"/>
      <w:lvlText w:val="%1)"/>
      <w:lvlJc w:val="left"/>
      <w:pPr>
        <w:ind w:left="1080" w:hanging="720"/>
      </w:pPr>
      <w:rPr>
        <w:rFonts w:asciiTheme="minorHAnsi" w:eastAsiaTheme="majorEastAsia" w:hAnsiTheme="minorHAnsi" w:cstheme="minorBidi"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92939A3"/>
    <w:multiLevelType w:val="hybridMultilevel"/>
    <w:tmpl w:val="CE7AD1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9B11C97"/>
    <w:multiLevelType w:val="hybridMultilevel"/>
    <w:tmpl w:val="295C3B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931026"/>
    <w:multiLevelType w:val="hybridMultilevel"/>
    <w:tmpl w:val="4EE2C2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D2E7AEB"/>
    <w:multiLevelType w:val="multilevel"/>
    <w:tmpl w:val="CD5CCAD4"/>
    <w:lvl w:ilvl="0">
      <w:start w:val="1"/>
      <w:numFmt w:val="decimal"/>
      <w:lvlText w:val="%1."/>
      <w:lvlJc w:val="left"/>
      <w:pPr>
        <w:ind w:left="360" w:hanging="360"/>
      </w:pPr>
      <w:rPr>
        <w:rFonts w:hint="default"/>
      </w:rPr>
    </w:lvl>
    <w:lvl w:ilvl="1">
      <w:start w:val="1"/>
      <w:numFmt w:val="decimal"/>
      <w:lvlText w:val="%1.%2."/>
      <w:lvlJc w:val="left"/>
      <w:pPr>
        <w:ind w:left="432" w:hanging="432"/>
      </w:pPr>
      <w:rPr>
        <w:sz w:val="28"/>
        <w:szCs w:val="2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DBE62A9"/>
    <w:multiLevelType w:val="hybridMultilevel"/>
    <w:tmpl w:val="69C057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833F6A"/>
    <w:multiLevelType w:val="hybridMultilevel"/>
    <w:tmpl w:val="100A96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3DA3271"/>
    <w:multiLevelType w:val="hybridMultilevel"/>
    <w:tmpl w:val="54129524"/>
    <w:lvl w:ilvl="0" w:tplc="FFFFFFFF">
      <w:start w:val="1"/>
      <w:numFmt w:val="lowerLetter"/>
      <w:lvlText w:val="%1)"/>
      <w:lvlJc w:val="left"/>
      <w:pPr>
        <w:ind w:left="720" w:hanging="720"/>
      </w:pPr>
      <w:rPr>
        <w:rFonts w:asciiTheme="minorHAnsi" w:eastAsiaTheme="majorEastAsia" w:hAnsiTheme="minorHAnsi" w:cstheme="minorBidi"/>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443A1F6A"/>
    <w:multiLevelType w:val="hybridMultilevel"/>
    <w:tmpl w:val="D8A60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52C7199"/>
    <w:multiLevelType w:val="hybridMultilevel"/>
    <w:tmpl w:val="80606100"/>
    <w:lvl w:ilvl="0" w:tplc="61E4F5B4">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F327FD8"/>
    <w:multiLevelType w:val="hybridMultilevel"/>
    <w:tmpl w:val="1396CA70"/>
    <w:lvl w:ilvl="0" w:tplc="B1CA2E60">
      <w:numFmt w:val="bullet"/>
      <w:lvlText w:val="•"/>
      <w:lvlJc w:val="left"/>
      <w:pPr>
        <w:ind w:left="1080" w:hanging="720"/>
      </w:pPr>
      <w:rPr>
        <w:rFonts w:ascii="Calibri" w:eastAsiaTheme="majorEastAsia" w:hAnsi="Calibri" w:cs="Calibri" w:hint="default"/>
      </w:rPr>
    </w:lvl>
    <w:lvl w:ilvl="1" w:tplc="B0ECC976">
      <w:numFmt w:val="bullet"/>
      <w:lvlText w:val="-"/>
      <w:lvlJc w:val="left"/>
      <w:pPr>
        <w:ind w:left="1800" w:hanging="720"/>
      </w:pPr>
      <w:rPr>
        <w:rFonts w:ascii="Calibri" w:eastAsiaTheme="majorEastAsia"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FB16EAE"/>
    <w:multiLevelType w:val="hybridMultilevel"/>
    <w:tmpl w:val="BDD651EA"/>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15:restartNumberingAfterBreak="0">
    <w:nsid w:val="555C03DC"/>
    <w:multiLevelType w:val="hybridMultilevel"/>
    <w:tmpl w:val="759C8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1F5339E"/>
    <w:multiLevelType w:val="hybridMultilevel"/>
    <w:tmpl w:val="5B8C7B06"/>
    <w:lvl w:ilvl="0" w:tplc="FFFFFFFF">
      <w:numFmt w:val="bullet"/>
      <w:lvlText w:val="•"/>
      <w:lvlJc w:val="left"/>
      <w:pPr>
        <w:ind w:left="1080" w:hanging="720"/>
      </w:pPr>
      <w:rPr>
        <w:rFonts w:ascii="Calibri" w:eastAsiaTheme="majorEastAsia" w:hAnsi="Calibri" w:cs="Calibri" w:hint="default"/>
      </w:rPr>
    </w:lvl>
    <w:lvl w:ilvl="1" w:tplc="B1CA2E60">
      <w:numFmt w:val="bullet"/>
      <w:lvlText w:val="•"/>
      <w:lvlJc w:val="left"/>
      <w:pPr>
        <w:ind w:left="1440" w:hanging="360"/>
      </w:pPr>
      <w:rPr>
        <w:rFonts w:ascii="Calibri" w:eastAsiaTheme="majorEastAsia"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626467C9"/>
    <w:multiLevelType w:val="hybridMultilevel"/>
    <w:tmpl w:val="0B6ED76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64223DE6"/>
    <w:multiLevelType w:val="multilevel"/>
    <w:tmpl w:val="CD5CCAD4"/>
    <w:lvl w:ilvl="0">
      <w:start w:val="1"/>
      <w:numFmt w:val="decimal"/>
      <w:lvlText w:val="%1."/>
      <w:lvlJc w:val="left"/>
      <w:pPr>
        <w:ind w:left="360" w:hanging="360"/>
      </w:pPr>
      <w:rPr>
        <w:rFonts w:hint="default"/>
      </w:rPr>
    </w:lvl>
    <w:lvl w:ilvl="1">
      <w:start w:val="1"/>
      <w:numFmt w:val="decimal"/>
      <w:lvlText w:val="%1.%2."/>
      <w:lvlJc w:val="left"/>
      <w:pPr>
        <w:ind w:left="432" w:hanging="432"/>
      </w:pPr>
      <w:rPr>
        <w:sz w:val="28"/>
        <w:szCs w:val="2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ABF7BCB"/>
    <w:multiLevelType w:val="hybridMultilevel"/>
    <w:tmpl w:val="A4887038"/>
    <w:lvl w:ilvl="0" w:tplc="C8364B8C">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6C9C677E"/>
    <w:multiLevelType w:val="hybridMultilevel"/>
    <w:tmpl w:val="88CC777C"/>
    <w:lvl w:ilvl="0" w:tplc="6E3A4A7A">
      <w:start w:val="4"/>
      <w:numFmt w:val="bullet"/>
      <w:lvlText w:val="·"/>
      <w:lvlJc w:val="left"/>
      <w:pPr>
        <w:ind w:left="720" w:hanging="360"/>
      </w:pPr>
      <w:rPr>
        <w:rFonts w:ascii="Calibri" w:eastAsiaTheme="maj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6BE3031"/>
    <w:multiLevelType w:val="hybridMultilevel"/>
    <w:tmpl w:val="DFE02368"/>
    <w:lvl w:ilvl="0" w:tplc="CD1AEBD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8680C7C"/>
    <w:multiLevelType w:val="hybridMultilevel"/>
    <w:tmpl w:val="8C482C4A"/>
    <w:lvl w:ilvl="0" w:tplc="7D62B86C">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83343119">
    <w:abstractNumId w:val="22"/>
  </w:num>
  <w:num w:numId="2" w16cid:durableId="1087116861">
    <w:abstractNumId w:val="16"/>
  </w:num>
  <w:num w:numId="3" w16cid:durableId="222179993">
    <w:abstractNumId w:val="7"/>
  </w:num>
  <w:num w:numId="4" w16cid:durableId="842670476">
    <w:abstractNumId w:val="26"/>
  </w:num>
  <w:num w:numId="5" w16cid:durableId="483737255">
    <w:abstractNumId w:val="15"/>
  </w:num>
  <w:num w:numId="6" w16cid:durableId="247083713">
    <w:abstractNumId w:val="17"/>
  </w:num>
  <w:num w:numId="7" w16cid:durableId="1601183346">
    <w:abstractNumId w:val="20"/>
  </w:num>
  <w:num w:numId="8" w16cid:durableId="1283422684">
    <w:abstractNumId w:val="18"/>
  </w:num>
  <w:num w:numId="9" w16cid:durableId="1474904659">
    <w:abstractNumId w:val="1"/>
  </w:num>
  <w:num w:numId="10" w16cid:durableId="1629969163">
    <w:abstractNumId w:val="5"/>
  </w:num>
  <w:num w:numId="11" w16cid:durableId="797650872">
    <w:abstractNumId w:val="23"/>
  </w:num>
  <w:num w:numId="12" w16cid:durableId="1465656250">
    <w:abstractNumId w:val="12"/>
  </w:num>
  <w:num w:numId="13" w16cid:durableId="663972081">
    <w:abstractNumId w:val="13"/>
  </w:num>
  <w:num w:numId="14" w16cid:durableId="624312808">
    <w:abstractNumId w:val="9"/>
  </w:num>
  <w:num w:numId="15" w16cid:durableId="1639602026">
    <w:abstractNumId w:val="19"/>
  </w:num>
  <w:num w:numId="16" w16cid:durableId="1448235778">
    <w:abstractNumId w:val="24"/>
  </w:num>
  <w:num w:numId="17" w16cid:durableId="1370687694">
    <w:abstractNumId w:val="21"/>
  </w:num>
  <w:num w:numId="18" w16cid:durableId="775759775">
    <w:abstractNumId w:val="10"/>
  </w:num>
  <w:num w:numId="19" w16cid:durableId="1155300193">
    <w:abstractNumId w:val="3"/>
  </w:num>
  <w:num w:numId="20" w16cid:durableId="191917641">
    <w:abstractNumId w:val="8"/>
  </w:num>
  <w:num w:numId="21" w16cid:durableId="1247493207">
    <w:abstractNumId w:val="14"/>
  </w:num>
  <w:num w:numId="22" w16cid:durableId="1211573565">
    <w:abstractNumId w:val="2"/>
  </w:num>
  <w:num w:numId="23" w16cid:durableId="114640810">
    <w:abstractNumId w:val="6"/>
  </w:num>
  <w:num w:numId="24" w16cid:durableId="216936204">
    <w:abstractNumId w:val="4"/>
  </w:num>
  <w:num w:numId="25" w16cid:durableId="1480728163">
    <w:abstractNumId w:val="0"/>
  </w:num>
  <w:num w:numId="26" w16cid:durableId="2111076597">
    <w:abstractNumId w:val="11"/>
  </w:num>
  <w:num w:numId="27" w16cid:durableId="739332026">
    <w:abstractNumId w:val="2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im Johnston">
    <w15:presenceInfo w15:providerId="AD" w15:userId="S::Tim@barcudsharedservices.org.uk::dda72723-c458-49a2-90e4-ff2def6310a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856"/>
    <w:rsid w:val="000025BF"/>
    <w:rsid w:val="00002EE7"/>
    <w:rsid w:val="00003429"/>
    <w:rsid w:val="00010883"/>
    <w:rsid w:val="00015E8E"/>
    <w:rsid w:val="0002353D"/>
    <w:rsid w:val="00031940"/>
    <w:rsid w:val="00037D6A"/>
    <w:rsid w:val="00040861"/>
    <w:rsid w:val="00044344"/>
    <w:rsid w:val="000447A1"/>
    <w:rsid w:val="000517EC"/>
    <w:rsid w:val="000555B1"/>
    <w:rsid w:val="00057FA2"/>
    <w:rsid w:val="0006143D"/>
    <w:rsid w:val="000624D4"/>
    <w:rsid w:val="00064FAC"/>
    <w:rsid w:val="000670EA"/>
    <w:rsid w:val="00070406"/>
    <w:rsid w:val="0007115C"/>
    <w:rsid w:val="0008563E"/>
    <w:rsid w:val="00086636"/>
    <w:rsid w:val="00090249"/>
    <w:rsid w:val="00097DD8"/>
    <w:rsid w:val="000A02E8"/>
    <w:rsid w:val="000A17D3"/>
    <w:rsid w:val="000A390F"/>
    <w:rsid w:val="000B770D"/>
    <w:rsid w:val="000C1E58"/>
    <w:rsid w:val="000D40E7"/>
    <w:rsid w:val="000E1994"/>
    <w:rsid w:val="000F6B9C"/>
    <w:rsid w:val="00101203"/>
    <w:rsid w:val="00112092"/>
    <w:rsid w:val="00113090"/>
    <w:rsid w:val="00113C56"/>
    <w:rsid w:val="00113F76"/>
    <w:rsid w:val="00115C8E"/>
    <w:rsid w:val="00116257"/>
    <w:rsid w:val="00116ADB"/>
    <w:rsid w:val="001458D3"/>
    <w:rsid w:val="00157278"/>
    <w:rsid w:val="00170FB3"/>
    <w:rsid w:val="0017112D"/>
    <w:rsid w:val="00177672"/>
    <w:rsid w:val="001873A7"/>
    <w:rsid w:val="001A0344"/>
    <w:rsid w:val="001A6543"/>
    <w:rsid w:val="001B27B5"/>
    <w:rsid w:val="001C2B55"/>
    <w:rsid w:val="001C4755"/>
    <w:rsid w:val="001D13DE"/>
    <w:rsid w:val="001D5E7D"/>
    <w:rsid w:val="001D77F5"/>
    <w:rsid w:val="001E404F"/>
    <w:rsid w:val="00200D7A"/>
    <w:rsid w:val="00213452"/>
    <w:rsid w:val="002141CF"/>
    <w:rsid w:val="00217A6D"/>
    <w:rsid w:val="00217E21"/>
    <w:rsid w:val="002361F5"/>
    <w:rsid w:val="00241318"/>
    <w:rsid w:val="00242380"/>
    <w:rsid w:val="0024343B"/>
    <w:rsid w:val="002446D6"/>
    <w:rsid w:val="00251286"/>
    <w:rsid w:val="00252C70"/>
    <w:rsid w:val="00256C20"/>
    <w:rsid w:val="00265483"/>
    <w:rsid w:val="002664F9"/>
    <w:rsid w:val="00272CD3"/>
    <w:rsid w:val="0027331C"/>
    <w:rsid w:val="00281861"/>
    <w:rsid w:val="002821D1"/>
    <w:rsid w:val="0028699F"/>
    <w:rsid w:val="002875D8"/>
    <w:rsid w:val="002A43DA"/>
    <w:rsid w:val="002A5A52"/>
    <w:rsid w:val="002B4109"/>
    <w:rsid w:val="002C40DF"/>
    <w:rsid w:val="002C5E40"/>
    <w:rsid w:val="002D0282"/>
    <w:rsid w:val="002D143C"/>
    <w:rsid w:val="002D1689"/>
    <w:rsid w:val="002D5472"/>
    <w:rsid w:val="002D5FA5"/>
    <w:rsid w:val="002DD368"/>
    <w:rsid w:val="002F0BA9"/>
    <w:rsid w:val="00312AF3"/>
    <w:rsid w:val="00313285"/>
    <w:rsid w:val="0033156C"/>
    <w:rsid w:val="00331752"/>
    <w:rsid w:val="0033390E"/>
    <w:rsid w:val="00333E29"/>
    <w:rsid w:val="00336D45"/>
    <w:rsid w:val="00344EE9"/>
    <w:rsid w:val="00346D9A"/>
    <w:rsid w:val="00351398"/>
    <w:rsid w:val="00352B5A"/>
    <w:rsid w:val="00360D8B"/>
    <w:rsid w:val="00366023"/>
    <w:rsid w:val="00366F37"/>
    <w:rsid w:val="00371297"/>
    <w:rsid w:val="003826C4"/>
    <w:rsid w:val="00382DDC"/>
    <w:rsid w:val="00384CD4"/>
    <w:rsid w:val="00390248"/>
    <w:rsid w:val="003A030A"/>
    <w:rsid w:val="003A0C25"/>
    <w:rsid w:val="003A1FAE"/>
    <w:rsid w:val="003A28C9"/>
    <w:rsid w:val="003B105B"/>
    <w:rsid w:val="003C1AEC"/>
    <w:rsid w:val="003C307E"/>
    <w:rsid w:val="003C6A84"/>
    <w:rsid w:val="003E66C4"/>
    <w:rsid w:val="003F6EF5"/>
    <w:rsid w:val="00405C59"/>
    <w:rsid w:val="00410434"/>
    <w:rsid w:val="00411A86"/>
    <w:rsid w:val="00415285"/>
    <w:rsid w:val="00415C36"/>
    <w:rsid w:val="00421316"/>
    <w:rsid w:val="004249C7"/>
    <w:rsid w:val="004408F1"/>
    <w:rsid w:val="00447131"/>
    <w:rsid w:val="004472D8"/>
    <w:rsid w:val="004529B6"/>
    <w:rsid w:val="00463A64"/>
    <w:rsid w:val="00466602"/>
    <w:rsid w:val="00476001"/>
    <w:rsid w:val="004824A2"/>
    <w:rsid w:val="00494C31"/>
    <w:rsid w:val="004A3843"/>
    <w:rsid w:val="004A40BF"/>
    <w:rsid w:val="004B0DC8"/>
    <w:rsid w:val="004B6BD7"/>
    <w:rsid w:val="004B7DA0"/>
    <w:rsid w:val="004C1937"/>
    <w:rsid w:val="004C1B72"/>
    <w:rsid w:val="004D0BA7"/>
    <w:rsid w:val="004D7990"/>
    <w:rsid w:val="004E2834"/>
    <w:rsid w:val="004E3691"/>
    <w:rsid w:val="004F053A"/>
    <w:rsid w:val="004F0679"/>
    <w:rsid w:val="0050044A"/>
    <w:rsid w:val="0050137E"/>
    <w:rsid w:val="00506D0F"/>
    <w:rsid w:val="005204CE"/>
    <w:rsid w:val="00530856"/>
    <w:rsid w:val="00533B59"/>
    <w:rsid w:val="00542661"/>
    <w:rsid w:val="00552191"/>
    <w:rsid w:val="00552363"/>
    <w:rsid w:val="00560CBE"/>
    <w:rsid w:val="00561881"/>
    <w:rsid w:val="005631DC"/>
    <w:rsid w:val="00566BBF"/>
    <w:rsid w:val="005706C0"/>
    <w:rsid w:val="00571C02"/>
    <w:rsid w:val="0057482A"/>
    <w:rsid w:val="00574899"/>
    <w:rsid w:val="00580F4B"/>
    <w:rsid w:val="00581B46"/>
    <w:rsid w:val="0059228E"/>
    <w:rsid w:val="005C5019"/>
    <w:rsid w:val="005C553C"/>
    <w:rsid w:val="005C69B7"/>
    <w:rsid w:val="005D17C4"/>
    <w:rsid w:val="005E2A4A"/>
    <w:rsid w:val="005F1D6F"/>
    <w:rsid w:val="006054CC"/>
    <w:rsid w:val="00612CBF"/>
    <w:rsid w:val="00630EAE"/>
    <w:rsid w:val="00635CE7"/>
    <w:rsid w:val="006430C6"/>
    <w:rsid w:val="00643B2F"/>
    <w:rsid w:val="00647FD6"/>
    <w:rsid w:val="0066157D"/>
    <w:rsid w:val="00671BF3"/>
    <w:rsid w:val="00672753"/>
    <w:rsid w:val="00673E1F"/>
    <w:rsid w:val="006763C7"/>
    <w:rsid w:val="006769EF"/>
    <w:rsid w:val="00676E15"/>
    <w:rsid w:val="00681CD1"/>
    <w:rsid w:val="00684704"/>
    <w:rsid w:val="00685858"/>
    <w:rsid w:val="00692724"/>
    <w:rsid w:val="0069741A"/>
    <w:rsid w:val="006A0A1F"/>
    <w:rsid w:val="006A238B"/>
    <w:rsid w:val="006A2F48"/>
    <w:rsid w:val="006A7581"/>
    <w:rsid w:val="006C03E4"/>
    <w:rsid w:val="006C1351"/>
    <w:rsid w:val="006C4F45"/>
    <w:rsid w:val="006C50FD"/>
    <w:rsid w:val="006D01E6"/>
    <w:rsid w:val="006D2240"/>
    <w:rsid w:val="006D26DE"/>
    <w:rsid w:val="006D7CAF"/>
    <w:rsid w:val="006F159E"/>
    <w:rsid w:val="006F5008"/>
    <w:rsid w:val="006F5993"/>
    <w:rsid w:val="006F711B"/>
    <w:rsid w:val="00706CCA"/>
    <w:rsid w:val="00707D00"/>
    <w:rsid w:val="00712D86"/>
    <w:rsid w:val="007154B4"/>
    <w:rsid w:val="00717C73"/>
    <w:rsid w:val="0072062A"/>
    <w:rsid w:val="00720F16"/>
    <w:rsid w:val="00723BE8"/>
    <w:rsid w:val="00733607"/>
    <w:rsid w:val="00734BD0"/>
    <w:rsid w:val="00745598"/>
    <w:rsid w:val="007601DC"/>
    <w:rsid w:val="00760ECD"/>
    <w:rsid w:val="00763889"/>
    <w:rsid w:val="00784AFD"/>
    <w:rsid w:val="00797A49"/>
    <w:rsid w:val="007A35A7"/>
    <w:rsid w:val="007B0CDE"/>
    <w:rsid w:val="007B1463"/>
    <w:rsid w:val="007B6113"/>
    <w:rsid w:val="007C0CDA"/>
    <w:rsid w:val="007C17AF"/>
    <w:rsid w:val="007D07CD"/>
    <w:rsid w:val="007D1D48"/>
    <w:rsid w:val="007D2922"/>
    <w:rsid w:val="007E5C07"/>
    <w:rsid w:val="007E6DAC"/>
    <w:rsid w:val="007F366B"/>
    <w:rsid w:val="008044D8"/>
    <w:rsid w:val="00804A37"/>
    <w:rsid w:val="00807B3D"/>
    <w:rsid w:val="008146D0"/>
    <w:rsid w:val="00821310"/>
    <w:rsid w:val="008302C9"/>
    <w:rsid w:val="00841AF0"/>
    <w:rsid w:val="008469E6"/>
    <w:rsid w:val="00850AAF"/>
    <w:rsid w:val="00852DA2"/>
    <w:rsid w:val="008653C4"/>
    <w:rsid w:val="008672C5"/>
    <w:rsid w:val="00880A55"/>
    <w:rsid w:val="0088142F"/>
    <w:rsid w:val="0088412F"/>
    <w:rsid w:val="00886F5E"/>
    <w:rsid w:val="00890557"/>
    <w:rsid w:val="00893298"/>
    <w:rsid w:val="00894095"/>
    <w:rsid w:val="008A566F"/>
    <w:rsid w:val="008B0468"/>
    <w:rsid w:val="008B3C1D"/>
    <w:rsid w:val="008C0AEE"/>
    <w:rsid w:val="008C144D"/>
    <w:rsid w:val="008C1ACD"/>
    <w:rsid w:val="008C4050"/>
    <w:rsid w:val="008C4376"/>
    <w:rsid w:val="008C49A2"/>
    <w:rsid w:val="008D3118"/>
    <w:rsid w:val="008D4E40"/>
    <w:rsid w:val="008D6035"/>
    <w:rsid w:val="008D7F34"/>
    <w:rsid w:val="008E05BD"/>
    <w:rsid w:val="008E4F92"/>
    <w:rsid w:val="008E77D0"/>
    <w:rsid w:val="008F58D6"/>
    <w:rsid w:val="008F6586"/>
    <w:rsid w:val="00902030"/>
    <w:rsid w:val="00906711"/>
    <w:rsid w:val="00907E3B"/>
    <w:rsid w:val="0091620F"/>
    <w:rsid w:val="009250C3"/>
    <w:rsid w:val="009326EF"/>
    <w:rsid w:val="0094179E"/>
    <w:rsid w:val="00946654"/>
    <w:rsid w:val="00947AEE"/>
    <w:rsid w:val="00951F04"/>
    <w:rsid w:val="00954053"/>
    <w:rsid w:val="00961305"/>
    <w:rsid w:val="009613A1"/>
    <w:rsid w:val="00962F14"/>
    <w:rsid w:val="00963C3B"/>
    <w:rsid w:val="00967402"/>
    <w:rsid w:val="00974800"/>
    <w:rsid w:val="009763BD"/>
    <w:rsid w:val="0098428C"/>
    <w:rsid w:val="00984493"/>
    <w:rsid w:val="00986515"/>
    <w:rsid w:val="0099235D"/>
    <w:rsid w:val="00996584"/>
    <w:rsid w:val="00996644"/>
    <w:rsid w:val="009A3D9E"/>
    <w:rsid w:val="009A3E48"/>
    <w:rsid w:val="009B277E"/>
    <w:rsid w:val="009B3BB0"/>
    <w:rsid w:val="009D1CAE"/>
    <w:rsid w:val="009D529B"/>
    <w:rsid w:val="009D6312"/>
    <w:rsid w:val="009E0A5E"/>
    <w:rsid w:val="009E79D4"/>
    <w:rsid w:val="009F33BA"/>
    <w:rsid w:val="009F3A28"/>
    <w:rsid w:val="009F7C20"/>
    <w:rsid w:val="00A01D56"/>
    <w:rsid w:val="00A05BA2"/>
    <w:rsid w:val="00A11F40"/>
    <w:rsid w:val="00A1431C"/>
    <w:rsid w:val="00A23755"/>
    <w:rsid w:val="00A3408D"/>
    <w:rsid w:val="00A41089"/>
    <w:rsid w:val="00A427D4"/>
    <w:rsid w:val="00A42D7A"/>
    <w:rsid w:val="00A46D90"/>
    <w:rsid w:val="00A52185"/>
    <w:rsid w:val="00A54AE9"/>
    <w:rsid w:val="00A56A27"/>
    <w:rsid w:val="00A71A1A"/>
    <w:rsid w:val="00A95198"/>
    <w:rsid w:val="00A95900"/>
    <w:rsid w:val="00A97623"/>
    <w:rsid w:val="00AA6D98"/>
    <w:rsid w:val="00AB019A"/>
    <w:rsid w:val="00AB1662"/>
    <w:rsid w:val="00AB46C4"/>
    <w:rsid w:val="00AB7D14"/>
    <w:rsid w:val="00AC0C49"/>
    <w:rsid w:val="00AD256A"/>
    <w:rsid w:val="00AD2F81"/>
    <w:rsid w:val="00AD4D85"/>
    <w:rsid w:val="00AD7745"/>
    <w:rsid w:val="00AE1207"/>
    <w:rsid w:val="00AE20B6"/>
    <w:rsid w:val="00AE6D79"/>
    <w:rsid w:val="00B1482B"/>
    <w:rsid w:val="00B335FA"/>
    <w:rsid w:val="00B42A20"/>
    <w:rsid w:val="00B4304A"/>
    <w:rsid w:val="00B464C9"/>
    <w:rsid w:val="00B52727"/>
    <w:rsid w:val="00B52CB3"/>
    <w:rsid w:val="00B53547"/>
    <w:rsid w:val="00B5734F"/>
    <w:rsid w:val="00B7246D"/>
    <w:rsid w:val="00B754CB"/>
    <w:rsid w:val="00B7626A"/>
    <w:rsid w:val="00B80F21"/>
    <w:rsid w:val="00B81F7B"/>
    <w:rsid w:val="00B84A27"/>
    <w:rsid w:val="00B921FC"/>
    <w:rsid w:val="00B97C30"/>
    <w:rsid w:val="00BA33DB"/>
    <w:rsid w:val="00BA480A"/>
    <w:rsid w:val="00BA6458"/>
    <w:rsid w:val="00BA781A"/>
    <w:rsid w:val="00BB6B57"/>
    <w:rsid w:val="00BC3C8C"/>
    <w:rsid w:val="00BE0CDD"/>
    <w:rsid w:val="00BE70F9"/>
    <w:rsid w:val="00BF05E0"/>
    <w:rsid w:val="00BF4119"/>
    <w:rsid w:val="00C064DB"/>
    <w:rsid w:val="00C13032"/>
    <w:rsid w:val="00C2404C"/>
    <w:rsid w:val="00C3019E"/>
    <w:rsid w:val="00C35D1D"/>
    <w:rsid w:val="00C36FDB"/>
    <w:rsid w:val="00C46E1A"/>
    <w:rsid w:val="00C52302"/>
    <w:rsid w:val="00C546FE"/>
    <w:rsid w:val="00C54B14"/>
    <w:rsid w:val="00C61243"/>
    <w:rsid w:val="00C71148"/>
    <w:rsid w:val="00C81B57"/>
    <w:rsid w:val="00C81E4B"/>
    <w:rsid w:val="00C90540"/>
    <w:rsid w:val="00C907FF"/>
    <w:rsid w:val="00C91ED5"/>
    <w:rsid w:val="00C9696F"/>
    <w:rsid w:val="00CA199D"/>
    <w:rsid w:val="00CA202E"/>
    <w:rsid w:val="00CA2BB5"/>
    <w:rsid w:val="00CA40D4"/>
    <w:rsid w:val="00CB4968"/>
    <w:rsid w:val="00CB6581"/>
    <w:rsid w:val="00CC2A99"/>
    <w:rsid w:val="00CC2C42"/>
    <w:rsid w:val="00CC6E34"/>
    <w:rsid w:val="00CD08BE"/>
    <w:rsid w:val="00CD0C1B"/>
    <w:rsid w:val="00CD335B"/>
    <w:rsid w:val="00CD4020"/>
    <w:rsid w:val="00CE67A6"/>
    <w:rsid w:val="00CE6C89"/>
    <w:rsid w:val="00CE709E"/>
    <w:rsid w:val="00D060B7"/>
    <w:rsid w:val="00D17798"/>
    <w:rsid w:val="00D22193"/>
    <w:rsid w:val="00D31E81"/>
    <w:rsid w:val="00D333C5"/>
    <w:rsid w:val="00D43104"/>
    <w:rsid w:val="00D443B3"/>
    <w:rsid w:val="00D44EE8"/>
    <w:rsid w:val="00D605B7"/>
    <w:rsid w:val="00D6754A"/>
    <w:rsid w:val="00D70392"/>
    <w:rsid w:val="00D73E49"/>
    <w:rsid w:val="00D82124"/>
    <w:rsid w:val="00D865ED"/>
    <w:rsid w:val="00D93E60"/>
    <w:rsid w:val="00D951C3"/>
    <w:rsid w:val="00DA09B8"/>
    <w:rsid w:val="00DB10EA"/>
    <w:rsid w:val="00DB6CAC"/>
    <w:rsid w:val="00DE0265"/>
    <w:rsid w:val="00DE6EB2"/>
    <w:rsid w:val="00DF0136"/>
    <w:rsid w:val="00DF0E8D"/>
    <w:rsid w:val="00DF536C"/>
    <w:rsid w:val="00DF5B17"/>
    <w:rsid w:val="00E02A74"/>
    <w:rsid w:val="00E145A5"/>
    <w:rsid w:val="00E1655C"/>
    <w:rsid w:val="00E16A9D"/>
    <w:rsid w:val="00E25593"/>
    <w:rsid w:val="00E279AC"/>
    <w:rsid w:val="00E3156C"/>
    <w:rsid w:val="00E3334E"/>
    <w:rsid w:val="00E3575E"/>
    <w:rsid w:val="00E55BB9"/>
    <w:rsid w:val="00E65C6E"/>
    <w:rsid w:val="00E701A4"/>
    <w:rsid w:val="00E70590"/>
    <w:rsid w:val="00E7178B"/>
    <w:rsid w:val="00E816EC"/>
    <w:rsid w:val="00E8198B"/>
    <w:rsid w:val="00E841DE"/>
    <w:rsid w:val="00EA3753"/>
    <w:rsid w:val="00EB7262"/>
    <w:rsid w:val="00EC07EC"/>
    <w:rsid w:val="00EC232A"/>
    <w:rsid w:val="00EC3A6D"/>
    <w:rsid w:val="00EC4AF1"/>
    <w:rsid w:val="00ED1AA6"/>
    <w:rsid w:val="00ED3B26"/>
    <w:rsid w:val="00EE0683"/>
    <w:rsid w:val="00EE6C7F"/>
    <w:rsid w:val="00EF6E9C"/>
    <w:rsid w:val="00F104D0"/>
    <w:rsid w:val="00F108F4"/>
    <w:rsid w:val="00F135A0"/>
    <w:rsid w:val="00F13A46"/>
    <w:rsid w:val="00F20C97"/>
    <w:rsid w:val="00F20EEC"/>
    <w:rsid w:val="00F2169A"/>
    <w:rsid w:val="00F30450"/>
    <w:rsid w:val="00F364E8"/>
    <w:rsid w:val="00F41422"/>
    <w:rsid w:val="00F55336"/>
    <w:rsid w:val="00F64E42"/>
    <w:rsid w:val="00F6624D"/>
    <w:rsid w:val="00F678A5"/>
    <w:rsid w:val="00F67CC1"/>
    <w:rsid w:val="00F76168"/>
    <w:rsid w:val="00F76581"/>
    <w:rsid w:val="00F825E4"/>
    <w:rsid w:val="00F82AAA"/>
    <w:rsid w:val="00F84028"/>
    <w:rsid w:val="00F86394"/>
    <w:rsid w:val="00F87519"/>
    <w:rsid w:val="00F91A35"/>
    <w:rsid w:val="00F96514"/>
    <w:rsid w:val="00F97AA5"/>
    <w:rsid w:val="00FA7C1D"/>
    <w:rsid w:val="00FB4DB1"/>
    <w:rsid w:val="00FC30DA"/>
    <w:rsid w:val="00FC3471"/>
    <w:rsid w:val="00FC5792"/>
    <w:rsid w:val="00FC70F9"/>
    <w:rsid w:val="00FC71F9"/>
    <w:rsid w:val="00FD28DC"/>
    <w:rsid w:val="00FD37F3"/>
    <w:rsid w:val="00FD7C33"/>
    <w:rsid w:val="00FE5C6B"/>
    <w:rsid w:val="00FF2451"/>
    <w:rsid w:val="00FF6D2B"/>
    <w:rsid w:val="01E4273E"/>
    <w:rsid w:val="0338C7DA"/>
    <w:rsid w:val="03667FCE"/>
    <w:rsid w:val="03AE6ACB"/>
    <w:rsid w:val="03CF1FD5"/>
    <w:rsid w:val="063EA1B8"/>
    <w:rsid w:val="0698FA0B"/>
    <w:rsid w:val="074989BC"/>
    <w:rsid w:val="07C2D91F"/>
    <w:rsid w:val="07C7F662"/>
    <w:rsid w:val="09C61C08"/>
    <w:rsid w:val="0A080613"/>
    <w:rsid w:val="0A2538FC"/>
    <w:rsid w:val="0AFF9724"/>
    <w:rsid w:val="0C8725A5"/>
    <w:rsid w:val="0C9B6785"/>
    <w:rsid w:val="0CB5F4F6"/>
    <w:rsid w:val="0F413B95"/>
    <w:rsid w:val="10963772"/>
    <w:rsid w:val="12C0AB75"/>
    <w:rsid w:val="148D510D"/>
    <w:rsid w:val="162168B1"/>
    <w:rsid w:val="19934F58"/>
    <w:rsid w:val="1BCB5C91"/>
    <w:rsid w:val="1DE55D14"/>
    <w:rsid w:val="1F176CA8"/>
    <w:rsid w:val="20BE6142"/>
    <w:rsid w:val="2360C6B4"/>
    <w:rsid w:val="2369537D"/>
    <w:rsid w:val="2379F2AF"/>
    <w:rsid w:val="246D2AF7"/>
    <w:rsid w:val="2540E186"/>
    <w:rsid w:val="2594D0C0"/>
    <w:rsid w:val="27200E71"/>
    <w:rsid w:val="2748F72A"/>
    <w:rsid w:val="287B4945"/>
    <w:rsid w:val="2AAD4CC0"/>
    <w:rsid w:val="2C1FDE19"/>
    <w:rsid w:val="2D6A8B19"/>
    <w:rsid w:val="2D77E67B"/>
    <w:rsid w:val="2E0863D1"/>
    <w:rsid w:val="2E1388E0"/>
    <w:rsid w:val="2E407347"/>
    <w:rsid w:val="3018B4A6"/>
    <w:rsid w:val="308EF1E5"/>
    <w:rsid w:val="30E91DD9"/>
    <w:rsid w:val="32A847FA"/>
    <w:rsid w:val="34EC25C9"/>
    <w:rsid w:val="38FE6121"/>
    <w:rsid w:val="395A04AA"/>
    <w:rsid w:val="3AC8EAD4"/>
    <w:rsid w:val="40B997D8"/>
    <w:rsid w:val="42A54367"/>
    <w:rsid w:val="430CD254"/>
    <w:rsid w:val="4343102C"/>
    <w:rsid w:val="43553E5B"/>
    <w:rsid w:val="45027CDD"/>
    <w:rsid w:val="45EE6EED"/>
    <w:rsid w:val="49AB5782"/>
    <w:rsid w:val="49BE86B2"/>
    <w:rsid w:val="4A4A7C46"/>
    <w:rsid w:val="4A863F68"/>
    <w:rsid w:val="4AB53EFD"/>
    <w:rsid w:val="4B14A404"/>
    <w:rsid w:val="4B605040"/>
    <w:rsid w:val="4E1678AA"/>
    <w:rsid w:val="4E39AA51"/>
    <w:rsid w:val="4E83A0AA"/>
    <w:rsid w:val="4F8BB3F5"/>
    <w:rsid w:val="50D57E7B"/>
    <w:rsid w:val="536B6225"/>
    <w:rsid w:val="536C19F2"/>
    <w:rsid w:val="56033B74"/>
    <w:rsid w:val="5B543594"/>
    <w:rsid w:val="5D2A3DD8"/>
    <w:rsid w:val="5EEFF52D"/>
    <w:rsid w:val="5F4D774D"/>
    <w:rsid w:val="5F5A8FA7"/>
    <w:rsid w:val="5FC675A4"/>
    <w:rsid w:val="6015F3D4"/>
    <w:rsid w:val="63D56887"/>
    <w:rsid w:val="63ECCF73"/>
    <w:rsid w:val="63F1D5BF"/>
    <w:rsid w:val="640F6FDC"/>
    <w:rsid w:val="64C46E4B"/>
    <w:rsid w:val="668C1DF8"/>
    <w:rsid w:val="66A7EBDA"/>
    <w:rsid w:val="66FB1DB0"/>
    <w:rsid w:val="675F8032"/>
    <w:rsid w:val="686E5BDD"/>
    <w:rsid w:val="6ABA2732"/>
    <w:rsid w:val="6C08678E"/>
    <w:rsid w:val="6C856952"/>
    <w:rsid w:val="6EF6C5BE"/>
    <w:rsid w:val="6F59CC77"/>
    <w:rsid w:val="6F9ED32C"/>
    <w:rsid w:val="713AA38D"/>
    <w:rsid w:val="71985377"/>
    <w:rsid w:val="7298C395"/>
    <w:rsid w:val="72EBFFB6"/>
    <w:rsid w:val="73D7A39A"/>
    <w:rsid w:val="745E05A3"/>
    <w:rsid w:val="74A4D177"/>
    <w:rsid w:val="752D6421"/>
    <w:rsid w:val="7570F15D"/>
    <w:rsid w:val="75C181D2"/>
    <w:rsid w:val="76F3EC52"/>
    <w:rsid w:val="77DB692C"/>
    <w:rsid w:val="79C30A82"/>
    <w:rsid w:val="7AE97359"/>
    <w:rsid w:val="7BA1F455"/>
    <w:rsid w:val="7C01C2FB"/>
    <w:rsid w:val="7C403B1E"/>
    <w:rsid w:val="7C8543BA"/>
    <w:rsid w:val="7D9CFD1C"/>
    <w:rsid w:val="7DEA250B"/>
    <w:rsid w:val="7E3E4D9B"/>
    <w:rsid w:val="7E5016C7"/>
    <w:rsid w:val="7E950373"/>
    <w:rsid w:val="7F1D637E"/>
    <w:rsid w:val="7FBCE47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5698C8"/>
  <w15:chartTrackingRefBased/>
  <w15:docId w15:val="{B4A5AD56-B698-47E4-81FB-DF145FF33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0856"/>
  </w:style>
  <w:style w:type="paragraph" w:styleId="Heading1">
    <w:name w:val="heading 1"/>
    <w:basedOn w:val="Normal"/>
    <w:next w:val="Normal"/>
    <w:link w:val="Heading1Char"/>
    <w:uiPriority w:val="9"/>
    <w:qFormat/>
    <w:rsid w:val="00530856"/>
    <w:pPr>
      <w:keepNext/>
      <w:keepLines/>
      <w:spacing w:before="320" w:after="0" w:line="240" w:lineRule="auto"/>
      <w:outlineLvl w:val="0"/>
    </w:pPr>
    <w:rPr>
      <w:rFonts w:asciiTheme="majorHAnsi" w:eastAsiaTheme="majorEastAsia" w:hAnsiTheme="majorHAnsi" w:cstheme="majorBidi"/>
      <w:color w:val="2F5496" w:themeColor="accent1" w:themeShade="BF"/>
      <w:sz w:val="30"/>
      <w:szCs w:val="30"/>
    </w:rPr>
  </w:style>
  <w:style w:type="paragraph" w:styleId="Heading2">
    <w:name w:val="heading 2"/>
    <w:basedOn w:val="Normal"/>
    <w:next w:val="Normal"/>
    <w:link w:val="Heading2Char"/>
    <w:uiPriority w:val="9"/>
    <w:unhideWhenUsed/>
    <w:qFormat/>
    <w:rsid w:val="00530856"/>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Heading3">
    <w:name w:val="heading 3"/>
    <w:basedOn w:val="Normal"/>
    <w:next w:val="Normal"/>
    <w:link w:val="Heading3Char"/>
    <w:uiPriority w:val="9"/>
    <w:unhideWhenUsed/>
    <w:qFormat/>
    <w:rsid w:val="00530856"/>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Heading4">
    <w:name w:val="heading 4"/>
    <w:basedOn w:val="Normal"/>
    <w:next w:val="Normal"/>
    <w:link w:val="Heading4Char"/>
    <w:uiPriority w:val="9"/>
    <w:semiHidden/>
    <w:unhideWhenUsed/>
    <w:qFormat/>
    <w:rsid w:val="00530856"/>
    <w:pPr>
      <w:keepNext/>
      <w:keepLines/>
      <w:spacing w:before="40" w:after="0"/>
      <w:outlineLvl w:val="3"/>
    </w:pPr>
    <w:rPr>
      <w:rFonts w:asciiTheme="majorHAnsi" w:eastAsiaTheme="majorEastAsia" w:hAnsiTheme="majorHAnsi" w:cstheme="majorBidi"/>
      <w:i/>
      <w:iCs/>
      <w:color w:val="2E74B5" w:themeColor="accent5" w:themeShade="BF"/>
      <w:sz w:val="25"/>
      <w:szCs w:val="25"/>
    </w:rPr>
  </w:style>
  <w:style w:type="paragraph" w:styleId="Heading5">
    <w:name w:val="heading 5"/>
    <w:basedOn w:val="Normal"/>
    <w:next w:val="Normal"/>
    <w:link w:val="Heading5Char"/>
    <w:uiPriority w:val="9"/>
    <w:semiHidden/>
    <w:unhideWhenUsed/>
    <w:qFormat/>
    <w:rsid w:val="00530856"/>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Heading6">
    <w:name w:val="heading 6"/>
    <w:basedOn w:val="Normal"/>
    <w:next w:val="Normal"/>
    <w:link w:val="Heading6Char"/>
    <w:uiPriority w:val="9"/>
    <w:semiHidden/>
    <w:unhideWhenUsed/>
    <w:qFormat/>
    <w:rsid w:val="00530856"/>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Heading7">
    <w:name w:val="heading 7"/>
    <w:basedOn w:val="Normal"/>
    <w:next w:val="Normal"/>
    <w:link w:val="Heading7Char"/>
    <w:uiPriority w:val="9"/>
    <w:semiHidden/>
    <w:unhideWhenUsed/>
    <w:qFormat/>
    <w:rsid w:val="00530856"/>
    <w:pPr>
      <w:keepNext/>
      <w:keepLines/>
      <w:spacing w:before="40" w:after="0"/>
      <w:outlineLvl w:val="6"/>
    </w:pPr>
    <w:rPr>
      <w:rFonts w:asciiTheme="majorHAnsi" w:eastAsiaTheme="majorEastAsia" w:hAnsiTheme="majorHAnsi" w:cstheme="majorBidi"/>
      <w:color w:val="1F3864" w:themeColor="accent1" w:themeShade="80"/>
    </w:rPr>
  </w:style>
  <w:style w:type="paragraph" w:styleId="Heading8">
    <w:name w:val="heading 8"/>
    <w:basedOn w:val="Normal"/>
    <w:next w:val="Normal"/>
    <w:link w:val="Heading8Char"/>
    <w:uiPriority w:val="9"/>
    <w:semiHidden/>
    <w:unhideWhenUsed/>
    <w:qFormat/>
    <w:rsid w:val="00530856"/>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Heading9">
    <w:name w:val="heading 9"/>
    <w:basedOn w:val="Normal"/>
    <w:next w:val="Normal"/>
    <w:link w:val="Heading9Char"/>
    <w:uiPriority w:val="9"/>
    <w:semiHidden/>
    <w:unhideWhenUsed/>
    <w:qFormat/>
    <w:rsid w:val="00530856"/>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30856"/>
    <w:rPr>
      <w:color w:val="0563C1" w:themeColor="hyperlink"/>
      <w:u w:val="single"/>
    </w:rPr>
  </w:style>
  <w:style w:type="paragraph" w:styleId="Header">
    <w:name w:val="header"/>
    <w:basedOn w:val="Normal"/>
    <w:link w:val="HeaderChar"/>
    <w:uiPriority w:val="99"/>
    <w:unhideWhenUsed/>
    <w:rsid w:val="00530856"/>
    <w:pPr>
      <w:tabs>
        <w:tab w:val="center" w:pos="4513"/>
        <w:tab w:val="right" w:pos="9026"/>
      </w:tabs>
    </w:pPr>
  </w:style>
  <w:style w:type="character" w:customStyle="1" w:styleId="HeaderChar">
    <w:name w:val="Header Char"/>
    <w:basedOn w:val="DefaultParagraphFont"/>
    <w:link w:val="Header"/>
    <w:uiPriority w:val="99"/>
    <w:rsid w:val="00530856"/>
    <w:rPr>
      <w:rFonts w:ascii="Times New Roman" w:eastAsia="Times New Roman" w:hAnsi="Times New Roman" w:cs="Times New Roman"/>
      <w:kern w:val="0"/>
      <w:sz w:val="20"/>
      <w:szCs w:val="20"/>
      <w:lang w:eastAsia="en-GB"/>
      <w14:ligatures w14:val="none"/>
    </w:rPr>
  </w:style>
  <w:style w:type="paragraph" w:styleId="Footer">
    <w:name w:val="footer"/>
    <w:basedOn w:val="Normal"/>
    <w:link w:val="FooterChar"/>
    <w:uiPriority w:val="99"/>
    <w:unhideWhenUsed/>
    <w:rsid w:val="00530856"/>
    <w:pPr>
      <w:tabs>
        <w:tab w:val="center" w:pos="4513"/>
        <w:tab w:val="right" w:pos="9026"/>
      </w:tabs>
    </w:pPr>
  </w:style>
  <w:style w:type="character" w:customStyle="1" w:styleId="FooterChar">
    <w:name w:val="Footer Char"/>
    <w:basedOn w:val="DefaultParagraphFont"/>
    <w:link w:val="Footer"/>
    <w:uiPriority w:val="99"/>
    <w:rsid w:val="00530856"/>
    <w:rPr>
      <w:rFonts w:ascii="Times New Roman" w:eastAsia="Times New Roman" w:hAnsi="Times New Roman" w:cs="Times New Roman"/>
      <w:kern w:val="0"/>
      <w:sz w:val="20"/>
      <w:szCs w:val="20"/>
      <w:lang w:eastAsia="en-GB"/>
      <w14:ligatures w14:val="none"/>
    </w:rPr>
  </w:style>
  <w:style w:type="character" w:customStyle="1" w:styleId="Heading1Char">
    <w:name w:val="Heading 1 Char"/>
    <w:basedOn w:val="DefaultParagraphFont"/>
    <w:link w:val="Heading1"/>
    <w:uiPriority w:val="9"/>
    <w:rsid w:val="00530856"/>
    <w:rPr>
      <w:rFonts w:asciiTheme="majorHAnsi" w:eastAsiaTheme="majorEastAsia" w:hAnsiTheme="majorHAnsi" w:cstheme="majorBidi"/>
      <w:color w:val="2F5496" w:themeColor="accent1" w:themeShade="BF"/>
      <w:sz w:val="30"/>
      <w:szCs w:val="30"/>
    </w:rPr>
  </w:style>
  <w:style w:type="paragraph" w:styleId="TOCHeading">
    <w:name w:val="TOC Heading"/>
    <w:basedOn w:val="Heading1"/>
    <w:next w:val="Normal"/>
    <w:uiPriority w:val="39"/>
    <w:unhideWhenUsed/>
    <w:qFormat/>
    <w:rsid w:val="00530856"/>
    <w:pPr>
      <w:outlineLvl w:val="9"/>
    </w:pPr>
  </w:style>
  <w:style w:type="paragraph" w:styleId="ListParagraph">
    <w:name w:val="List Paragraph"/>
    <w:basedOn w:val="Normal"/>
    <w:uiPriority w:val="34"/>
    <w:qFormat/>
    <w:rsid w:val="00530856"/>
    <w:pPr>
      <w:ind w:left="720"/>
      <w:contextualSpacing/>
    </w:pPr>
  </w:style>
  <w:style w:type="character" w:customStyle="1" w:styleId="Heading2Char">
    <w:name w:val="Heading 2 Char"/>
    <w:basedOn w:val="DefaultParagraphFont"/>
    <w:link w:val="Heading2"/>
    <w:uiPriority w:val="9"/>
    <w:rsid w:val="00530856"/>
    <w:rPr>
      <w:rFonts w:asciiTheme="majorHAnsi" w:eastAsiaTheme="majorEastAsia" w:hAnsiTheme="majorHAnsi" w:cstheme="majorBidi"/>
      <w:color w:val="C45911" w:themeColor="accent2" w:themeShade="BF"/>
      <w:sz w:val="28"/>
      <w:szCs w:val="28"/>
    </w:rPr>
  </w:style>
  <w:style w:type="character" w:customStyle="1" w:styleId="Heading3Char">
    <w:name w:val="Heading 3 Char"/>
    <w:basedOn w:val="DefaultParagraphFont"/>
    <w:link w:val="Heading3"/>
    <w:uiPriority w:val="9"/>
    <w:rsid w:val="00530856"/>
    <w:rPr>
      <w:rFonts w:asciiTheme="majorHAnsi" w:eastAsiaTheme="majorEastAsia" w:hAnsiTheme="majorHAnsi" w:cstheme="majorBidi"/>
      <w:color w:val="538135" w:themeColor="accent6" w:themeShade="BF"/>
      <w:sz w:val="26"/>
      <w:szCs w:val="26"/>
    </w:rPr>
  </w:style>
  <w:style w:type="character" w:customStyle="1" w:styleId="Heading4Char">
    <w:name w:val="Heading 4 Char"/>
    <w:basedOn w:val="DefaultParagraphFont"/>
    <w:link w:val="Heading4"/>
    <w:uiPriority w:val="9"/>
    <w:semiHidden/>
    <w:rsid w:val="00530856"/>
    <w:rPr>
      <w:rFonts w:asciiTheme="majorHAnsi" w:eastAsiaTheme="majorEastAsia" w:hAnsiTheme="majorHAnsi" w:cstheme="majorBidi"/>
      <w:i/>
      <w:iCs/>
      <w:color w:val="2E74B5" w:themeColor="accent5" w:themeShade="BF"/>
      <w:sz w:val="25"/>
      <w:szCs w:val="25"/>
    </w:rPr>
  </w:style>
  <w:style w:type="character" w:customStyle="1" w:styleId="Heading5Char">
    <w:name w:val="Heading 5 Char"/>
    <w:basedOn w:val="DefaultParagraphFont"/>
    <w:link w:val="Heading5"/>
    <w:uiPriority w:val="9"/>
    <w:semiHidden/>
    <w:rsid w:val="00530856"/>
    <w:rPr>
      <w:rFonts w:asciiTheme="majorHAnsi" w:eastAsiaTheme="majorEastAsia" w:hAnsiTheme="majorHAnsi" w:cstheme="majorBidi"/>
      <w:i/>
      <w:iCs/>
      <w:color w:val="833C0B" w:themeColor="accent2" w:themeShade="80"/>
      <w:sz w:val="24"/>
      <w:szCs w:val="24"/>
    </w:rPr>
  </w:style>
  <w:style w:type="character" w:customStyle="1" w:styleId="Heading6Char">
    <w:name w:val="Heading 6 Char"/>
    <w:basedOn w:val="DefaultParagraphFont"/>
    <w:link w:val="Heading6"/>
    <w:uiPriority w:val="9"/>
    <w:semiHidden/>
    <w:rsid w:val="00530856"/>
    <w:rPr>
      <w:rFonts w:asciiTheme="majorHAnsi" w:eastAsiaTheme="majorEastAsia" w:hAnsiTheme="majorHAnsi" w:cstheme="majorBidi"/>
      <w:i/>
      <w:iCs/>
      <w:color w:val="385623" w:themeColor="accent6" w:themeShade="80"/>
      <w:sz w:val="23"/>
      <w:szCs w:val="23"/>
    </w:rPr>
  </w:style>
  <w:style w:type="character" w:customStyle="1" w:styleId="Heading7Char">
    <w:name w:val="Heading 7 Char"/>
    <w:basedOn w:val="DefaultParagraphFont"/>
    <w:link w:val="Heading7"/>
    <w:uiPriority w:val="9"/>
    <w:semiHidden/>
    <w:rsid w:val="00530856"/>
    <w:rPr>
      <w:rFonts w:asciiTheme="majorHAnsi" w:eastAsiaTheme="majorEastAsia" w:hAnsiTheme="majorHAnsi" w:cstheme="majorBidi"/>
      <w:color w:val="1F3864" w:themeColor="accent1" w:themeShade="80"/>
    </w:rPr>
  </w:style>
  <w:style w:type="character" w:customStyle="1" w:styleId="Heading8Char">
    <w:name w:val="Heading 8 Char"/>
    <w:basedOn w:val="DefaultParagraphFont"/>
    <w:link w:val="Heading8"/>
    <w:uiPriority w:val="9"/>
    <w:semiHidden/>
    <w:rsid w:val="00530856"/>
    <w:rPr>
      <w:rFonts w:asciiTheme="majorHAnsi" w:eastAsiaTheme="majorEastAsia" w:hAnsiTheme="majorHAnsi" w:cstheme="majorBidi"/>
      <w:color w:val="833C0B" w:themeColor="accent2" w:themeShade="80"/>
      <w:sz w:val="21"/>
      <w:szCs w:val="21"/>
    </w:rPr>
  </w:style>
  <w:style w:type="character" w:customStyle="1" w:styleId="Heading9Char">
    <w:name w:val="Heading 9 Char"/>
    <w:basedOn w:val="DefaultParagraphFont"/>
    <w:link w:val="Heading9"/>
    <w:uiPriority w:val="9"/>
    <w:semiHidden/>
    <w:rsid w:val="00530856"/>
    <w:rPr>
      <w:rFonts w:asciiTheme="majorHAnsi" w:eastAsiaTheme="majorEastAsia" w:hAnsiTheme="majorHAnsi" w:cstheme="majorBidi"/>
      <w:color w:val="385623" w:themeColor="accent6" w:themeShade="80"/>
    </w:rPr>
  </w:style>
  <w:style w:type="paragraph" w:styleId="Caption">
    <w:name w:val="caption"/>
    <w:basedOn w:val="Normal"/>
    <w:next w:val="Normal"/>
    <w:uiPriority w:val="35"/>
    <w:semiHidden/>
    <w:unhideWhenUsed/>
    <w:qFormat/>
    <w:rsid w:val="00530856"/>
    <w:pPr>
      <w:spacing w:line="240" w:lineRule="auto"/>
    </w:pPr>
    <w:rPr>
      <w:b/>
      <w:bCs/>
      <w:smallCaps/>
      <w:color w:val="4472C4" w:themeColor="accent1"/>
      <w:spacing w:val="6"/>
    </w:rPr>
  </w:style>
  <w:style w:type="paragraph" w:styleId="Title">
    <w:name w:val="Title"/>
    <w:basedOn w:val="Normal"/>
    <w:next w:val="Normal"/>
    <w:link w:val="TitleChar"/>
    <w:uiPriority w:val="10"/>
    <w:qFormat/>
    <w:rsid w:val="00530856"/>
    <w:pPr>
      <w:spacing w:after="0" w:line="240" w:lineRule="auto"/>
      <w:contextualSpacing/>
    </w:pPr>
    <w:rPr>
      <w:rFonts w:asciiTheme="majorHAnsi" w:eastAsiaTheme="majorEastAsia" w:hAnsiTheme="majorHAnsi" w:cstheme="majorBidi"/>
      <w:color w:val="2F5496" w:themeColor="accent1" w:themeShade="BF"/>
      <w:spacing w:val="-10"/>
      <w:sz w:val="52"/>
      <w:szCs w:val="52"/>
    </w:rPr>
  </w:style>
  <w:style w:type="character" w:customStyle="1" w:styleId="TitleChar">
    <w:name w:val="Title Char"/>
    <w:basedOn w:val="DefaultParagraphFont"/>
    <w:link w:val="Title"/>
    <w:uiPriority w:val="10"/>
    <w:rsid w:val="00530856"/>
    <w:rPr>
      <w:rFonts w:asciiTheme="majorHAnsi" w:eastAsiaTheme="majorEastAsia" w:hAnsiTheme="majorHAnsi" w:cstheme="majorBidi"/>
      <w:color w:val="2F5496" w:themeColor="accent1" w:themeShade="BF"/>
      <w:spacing w:val="-10"/>
      <w:sz w:val="52"/>
      <w:szCs w:val="52"/>
    </w:rPr>
  </w:style>
  <w:style w:type="paragraph" w:styleId="Subtitle">
    <w:name w:val="Subtitle"/>
    <w:basedOn w:val="Normal"/>
    <w:next w:val="Normal"/>
    <w:link w:val="SubtitleChar"/>
    <w:uiPriority w:val="11"/>
    <w:qFormat/>
    <w:rsid w:val="00530856"/>
    <w:pPr>
      <w:numPr>
        <w:ilvl w:val="1"/>
      </w:numPr>
      <w:spacing w:line="240" w:lineRule="auto"/>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530856"/>
    <w:rPr>
      <w:rFonts w:asciiTheme="majorHAnsi" w:eastAsiaTheme="majorEastAsia" w:hAnsiTheme="majorHAnsi" w:cstheme="majorBidi"/>
    </w:rPr>
  </w:style>
  <w:style w:type="character" w:styleId="Strong">
    <w:name w:val="Strong"/>
    <w:basedOn w:val="DefaultParagraphFont"/>
    <w:uiPriority w:val="22"/>
    <w:qFormat/>
    <w:rsid w:val="00530856"/>
    <w:rPr>
      <w:b/>
      <w:bCs/>
    </w:rPr>
  </w:style>
  <w:style w:type="character" w:styleId="Emphasis">
    <w:name w:val="Emphasis"/>
    <w:basedOn w:val="DefaultParagraphFont"/>
    <w:uiPriority w:val="20"/>
    <w:qFormat/>
    <w:rsid w:val="00530856"/>
    <w:rPr>
      <w:i/>
      <w:iCs/>
    </w:rPr>
  </w:style>
  <w:style w:type="paragraph" w:styleId="NoSpacing">
    <w:name w:val="No Spacing"/>
    <w:link w:val="NoSpacingChar"/>
    <w:uiPriority w:val="1"/>
    <w:qFormat/>
    <w:rsid w:val="00530856"/>
    <w:pPr>
      <w:spacing w:after="0" w:line="240" w:lineRule="auto"/>
    </w:pPr>
  </w:style>
  <w:style w:type="paragraph" w:styleId="Quote">
    <w:name w:val="Quote"/>
    <w:basedOn w:val="Normal"/>
    <w:next w:val="Normal"/>
    <w:link w:val="QuoteChar"/>
    <w:uiPriority w:val="29"/>
    <w:qFormat/>
    <w:rsid w:val="00530856"/>
    <w:pPr>
      <w:spacing w:before="120"/>
      <w:ind w:left="720" w:right="720"/>
      <w:jc w:val="center"/>
    </w:pPr>
    <w:rPr>
      <w:i/>
      <w:iCs/>
    </w:rPr>
  </w:style>
  <w:style w:type="character" w:customStyle="1" w:styleId="QuoteChar">
    <w:name w:val="Quote Char"/>
    <w:basedOn w:val="DefaultParagraphFont"/>
    <w:link w:val="Quote"/>
    <w:uiPriority w:val="29"/>
    <w:rsid w:val="00530856"/>
    <w:rPr>
      <w:i/>
      <w:iCs/>
    </w:rPr>
  </w:style>
  <w:style w:type="paragraph" w:styleId="IntenseQuote">
    <w:name w:val="Intense Quote"/>
    <w:basedOn w:val="Normal"/>
    <w:next w:val="Normal"/>
    <w:link w:val="IntenseQuoteChar"/>
    <w:uiPriority w:val="30"/>
    <w:qFormat/>
    <w:rsid w:val="00530856"/>
    <w:pPr>
      <w:spacing w:before="120" w:line="300" w:lineRule="auto"/>
      <w:ind w:left="576" w:right="576"/>
      <w:jc w:val="center"/>
    </w:pPr>
    <w:rPr>
      <w:rFonts w:asciiTheme="majorHAnsi" w:eastAsiaTheme="majorEastAsia" w:hAnsiTheme="majorHAnsi" w:cstheme="majorBidi"/>
      <w:color w:val="4472C4" w:themeColor="accent1"/>
      <w:sz w:val="24"/>
      <w:szCs w:val="24"/>
    </w:rPr>
  </w:style>
  <w:style w:type="character" w:customStyle="1" w:styleId="IntenseQuoteChar">
    <w:name w:val="Intense Quote Char"/>
    <w:basedOn w:val="DefaultParagraphFont"/>
    <w:link w:val="IntenseQuote"/>
    <w:uiPriority w:val="30"/>
    <w:rsid w:val="00530856"/>
    <w:rPr>
      <w:rFonts w:asciiTheme="majorHAnsi" w:eastAsiaTheme="majorEastAsia" w:hAnsiTheme="majorHAnsi" w:cstheme="majorBidi"/>
      <w:color w:val="4472C4" w:themeColor="accent1"/>
      <w:sz w:val="24"/>
      <w:szCs w:val="24"/>
    </w:rPr>
  </w:style>
  <w:style w:type="character" w:styleId="SubtleEmphasis">
    <w:name w:val="Subtle Emphasis"/>
    <w:basedOn w:val="DefaultParagraphFont"/>
    <w:uiPriority w:val="19"/>
    <w:qFormat/>
    <w:rsid w:val="00530856"/>
    <w:rPr>
      <w:i/>
      <w:iCs/>
      <w:color w:val="404040" w:themeColor="text1" w:themeTint="BF"/>
    </w:rPr>
  </w:style>
  <w:style w:type="character" w:styleId="IntenseEmphasis">
    <w:name w:val="Intense Emphasis"/>
    <w:basedOn w:val="DefaultParagraphFont"/>
    <w:uiPriority w:val="21"/>
    <w:qFormat/>
    <w:rsid w:val="00530856"/>
    <w:rPr>
      <w:b w:val="0"/>
      <w:bCs w:val="0"/>
      <w:i/>
      <w:iCs/>
      <w:color w:val="4472C4" w:themeColor="accent1"/>
    </w:rPr>
  </w:style>
  <w:style w:type="character" w:styleId="SubtleReference">
    <w:name w:val="Subtle Reference"/>
    <w:basedOn w:val="DefaultParagraphFont"/>
    <w:uiPriority w:val="31"/>
    <w:qFormat/>
    <w:rsid w:val="00530856"/>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530856"/>
    <w:rPr>
      <w:b/>
      <w:bCs/>
      <w:smallCaps/>
      <w:color w:val="4472C4" w:themeColor="accent1"/>
      <w:spacing w:val="5"/>
      <w:u w:val="single"/>
    </w:rPr>
  </w:style>
  <w:style w:type="character" w:styleId="BookTitle">
    <w:name w:val="Book Title"/>
    <w:basedOn w:val="DefaultParagraphFont"/>
    <w:uiPriority w:val="33"/>
    <w:qFormat/>
    <w:rsid w:val="00530856"/>
    <w:rPr>
      <w:b/>
      <w:bCs/>
      <w:smallCaps/>
    </w:rPr>
  </w:style>
  <w:style w:type="character" w:customStyle="1" w:styleId="NoSpacingChar">
    <w:name w:val="No Spacing Char"/>
    <w:basedOn w:val="DefaultParagraphFont"/>
    <w:link w:val="NoSpacing"/>
    <w:uiPriority w:val="1"/>
    <w:rsid w:val="00A3408D"/>
  </w:style>
  <w:style w:type="table" w:styleId="TableGrid">
    <w:name w:val="Table Grid"/>
    <w:basedOn w:val="TableNormal"/>
    <w:uiPriority w:val="59"/>
    <w:rsid w:val="00760ECD"/>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9326EF"/>
    <w:rPr>
      <w:sz w:val="16"/>
      <w:szCs w:val="16"/>
    </w:rPr>
  </w:style>
  <w:style w:type="paragraph" w:styleId="CommentText">
    <w:name w:val="annotation text"/>
    <w:basedOn w:val="Normal"/>
    <w:link w:val="CommentTextChar"/>
    <w:uiPriority w:val="99"/>
    <w:unhideWhenUsed/>
    <w:rsid w:val="009326EF"/>
    <w:pPr>
      <w:spacing w:after="0" w:line="240" w:lineRule="auto"/>
    </w:pPr>
    <w:rPr>
      <w:rFonts w:ascii="Times New Roman" w:eastAsia="Times New Roman" w:hAnsi="Times New Roman" w:cs="Times New Roman"/>
      <w:sz w:val="20"/>
      <w:szCs w:val="20"/>
      <w:lang w:eastAsia="en-GB"/>
    </w:rPr>
  </w:style>
  <w:style w:type="character" w:customStyle="1" w:styleId="CommentTextChar">
    <w:name w:val="Comment Text Char"/>
    <w:basedOn w:val="DefaultParagraphFont"/>
    <w:link w:val="CommentText"/>
    <w:uiPriority w:val="99"/>
    <w:rsid w:val="009326EF"/>
    <w:rPr>
      <w:rFonts w:ascii="Times New Roman" w:eastAsia="Times New Roman" w:hAnsi="Times New Roman" w:cs="Times New Roman"/>
      <w:sz w:val="20"/>
      <w:szCs w:val="20"/>
      <w:lang w:eastAsia="en-GB"/>
    </w:rPr>
  </w:style>
  <w:style w:type="table" w:styleId="ListTable3">
    <w:name w:val="List Table 3"/>
    <w:basedOn w:val="TableNormal"/>
    <w:uiPriority w:val="48"/>
    <w:rsid w:val="00CC2C42"/>
    <w:pPr>
      <w:spacing w:after="0" w:line="240" w:lineRule="auto"/>
    </w:pPr>
    <w:rPr>
      <w:rFonts w:eastAsiaTheme="minorHAnsi"/>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customStyle="1" w:styleId="normaltextrun">
    <w:name w:val="normaltextrun"/>
    <w:basedOn w:val="DefaultParagraphFont"/>
    <w:rsid w:val="00E1655C"/>
  </w:style>
  <w:style w:type="paragraph" w:customStyle="1" w:styleId="paragraph">
    <w:name w:val="paragraph"/>
    <w:basedOn w:val="Normal"/>
    <w:rsid w:val="00D4310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D43104"/>
  </w:style>
  <w:style w:type="numbering" w:customStyle="1" w:styleId="CurrentList1">
    <w:name w:val="Current List1"/>
    <w:uiPriority w:val="99"/>
    <w:rsid w:val="00BA480A"/>
    <w:pPr>
      <w:numPr>
        <w:numId w:val="22"/>
      </w:numPr>
    </w:pPr>
  </w:style>
  <w:style w:type="paragraph" w:styleId="TOC1">
    <w:name w:val="toc 1"/>
    <w:basedOn w:val="Normal"/>
    <w:next w:val="Normal"/>
    <w:autoRedefine/>
    <w:uiPriority w:val="39"/>
    <w:unhideWhenUsed/>
    <w:rsid w:val="002D143C"/>
    <w:pPr>
      <w:spacing w:after="100"/>
    </w:pPr>
  </w:style>
  <w:style w:type="paragraph" w:styleId="TOC2">
    <w:name w:val="toc 2"/>
    <w:basedOn w:val="Normal"/>
    <w:next w:val="Normal"/>
    <w:autoRedefine/>
    <w:uiPriority w:val="39"/>
    <w:unhideWhenUsed/>
    <w:rsid w:val="002D143C"/>
    <w:pPr>
      <w:spacing w:after="100"/>
      <w:ind w:left="220"/>
    </w:pPr>
  </w:style>
  <w:style w:type="paragraph" w:styleId="TOC3">
    <w:name w:val="toc 3"/>
    <w:basedOn w:val="Normal"/>
    <w:next w:val="Normal"/>
    <w:autoRedefine/>
    <w:uiPriority w:val="39"/>
    <w:unhideWhenUsed/>
    <w:rsid w:val="00612CBF"/>
    <w:pPr>
      <w:spacing w:after="100"/>
      <w:ind w:left="440"/>
    </w:pPr>
  </w:style>
  <w:style w:type="paragraph" w:styleId="CommentSubject">
    <w:name w:val="annotation subject"/>
    <w:basedOn w:val="CommentText"/>
    <w:next w:val="CommentText"/>
    <w:link w:val="CommentSubjectChar"/>
    <w:uiPriority w:val="99"/>
    <w:semiHidden/>
    <w:unhideWhenUsed/>
    <w:rsid w:val="009763BD"/>
    <w:pPr>
      <w:spacing w:after="160"/>
    </w:pPr>
    <w:rPr>
      <w:rFonts w:asciiTheme="minorHAnsi" w:eastAsiaTheme="minorEastAsia" w:hAnsiTheme="minorHAnsi" w:cstheme="minorBidi"/>
      <w:b/>
      <w:bCs/>
      <w:lang w:eastAsia="en-US"/>
    </w:rPr>
  </w:style>
  <w:style w:type="character" w:customStyle="1" w:styleId="CommentSubjectChar">
    <w:name w:val="Comment Subject Char"/>
    <w:basedOn w:val="CommentTextChar"/>
    <w:link w:val="CommentSubject"/>
    <w:uiPriority w:val="99"/>
    <w:semiHidden/>
    <w:rsid w:val="009763BD"/>
    <w:rPr>
      <w:rFonts w:ascii="Times New Roman" w:eastAsia="Times New Roman" w:hAnsi="Times New Roman" w:cs="Times New Roman"/>
      <w:b/>
      <w:bCs/>
      <w:sz w:val="20"/>
      <w:szCs w:val="20"/>
      <w:lang w:eastAsia="en-GB"/>
    </w:rPr>
  </w:style>
  <w:style w:type="table" w:styleId="GridTable4-Accent1">
    <w:name w:val="Grid Table 4 Accent 1"/>
    <w:basedOn w:val="TableNormal"/>
    <w:uiPriority w:val="49"/>
    <w:rsid w:val="004249C7"/>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8232758">
      <w:bodyDiv w:val="1"/>
      <w:marLeft w:val="0"/>
      <w:marRight w:val="0"/>
      <w:marTop w:val="0"/>
      <w:marBottom w:val="0"/>
      <w:divBdr>
        <w:top w:val="none" w:sz="0" w:space="0" w:color="auto"/>
        <w:left w:val="none" w:sz="0" w:space="0" w:color="auto"/>
        <w:bottom w:val="none" w:sz="0" w:space="0" w:color="auto"/>
        <w:right w:val="none" w:sz="0" w:space="0" w:color="auto"/>
      </w:divBdr>
    </w:div>
    <w:div w:id="585696857">
      <w:bodyDiv w:val="1"/>
      <w:marLeft w:val="0"/>
      <w:marRight w:val="0"/>
      <w:marTop w:val="0"/>
      <w:marBottom w:val="0"/>
      <w:divBdr>
        <w:top w:val="none" w:sz="0" w:space="0" w:color="auto"/>
        <w:left w:val="none" w:sz="0" w:space="0" w:color="auto"/>
        <w:bottom w:val="none" w:sz="0" w:space="0" w:color="auto"/>
        <w:right w:val="none" w:sz="0" w:space="0" w:color="auto"/>
      </w:divBdr>
    </w:div>
    <w:div w:id="638147971">
      <w:bodyDiv w:val="1"/>
      <w:marLeft w:val="0"/>
      <w:marRight w:val="0"/>
      <w:marTop w:val="0"/>
      <w:marBottom w:val="0"/>
      <w:divBdr>
        <w:top w:val="none" w:sz="0" w:space="0" w:color="auto"/>
        <w:left w:val="none" w:sz="0" w:space="0" w:color="auto"/>
        <w:bottom w:val="none" w:sz="0" w:space="0" w:color="auto"/>
        <w:right w:val="none" w:sz="0" w:space="0" w:color="auto"/>
      </w:divBdr>
    </w:div>
    <w:div w:id="775561403">
      <w:bodyDiv w:val="1"/>
      <w:marLeft w:val="0"/>
      <w:marRight w:val="0"/>
      <w:marTop w:val="0"/>
      <w:marBottom w:val="0"/>
      <w:divBdr>
        <w:top w:val="none" w:sz="0" w:space="0" w:color="auto"/>
        <w:left w:val="none" w:sz="0" w:space="0" w:color="auto"/>
        <w:bottom w:val="none" w:sz="0" w:space="0" w:color="auto"/>
        <w:right w:val="none" w:sz="0" w:space="0" w:color="auto"/>
      </w:divBdr>
      <w:divsChild>
        <w:div w:id="752628967">
          <w:marLeft w:val="0"/>
          <w:marRight w:val="0"/>
          <w:marTop w:val="0"/>
          <w:marBottom w:val="0"/>
          <w:divBdr>
            <w:top w:val="none" w:sz="0" w:space="0" w:color="auto"/>
            <w:left w:val="none" w:sz="0" w:space="0" w:color="auto"/>
            <w:bottom w:val="none" w:sz="0" w:space="0" w:color="auto"/>
            <w:right w:val="none" w:sz="0" w:space="0" w:color="auto"/>
          </w:divBdr>
          <w:divsChild>
            <w:div w:id="766656819">
              <w:marLeft w:val="0"/>
              <w:marRight w:val="0"/>
              <w:marTop w:val="0"/>
              <w:marBottom w:val="0"/>
              <w:divBdr>
                <w:top w:val="none" w:sz="0" w:space="0" w:color="auto"/>
                <w:left w:val="none" w:sz="0" w:space="0" w:color="auto"/>
                <w:bottom w:val="none" w:sz="0" w:space="0" w:color="auto"/>
                <w:right w:val="none" w:sz="0" w:space="0" w:color="auto"/>
              </w:divBdr>
            </w:div>
            <w:div w:id="848060405">
              <w:marLeft w:val="0"/>
              <w:marRight w:val="0"/>
              <w:marTop w:val="0"/>
              <w:marBottom w:val="0"/>
              <w:divBdr>
                <w:top w:val="none" w:sz="0" w:space="0" w:color="auto"/>
                <w:left w:val="none" w:sz="0" w:space="0" w:color="auto"/>
                <w:bottom w:val="none" w:sz="0" w:space="0" w:color="auto"/>
                <w:right w:val="none" w:sz="0" w:space="0" w:color="auto"/>
              </w:divBdr>
            </w:div>
            <w:div w:id="1365331769">
              <w:marLeft w:val="0"/>
              <w:marRight w:val="0"/>
              <w:marTop w:val="0"/>
              <w:marBottom w:val="0"/>
              <w:divBdr>
                <w:top w:val="none" w:sz="0" w:space="0" w:color="auto"/>
                <w:left w:val="none" w:sz="0" w:space="0" w:color="auto"/>
                <w:bottom w:val="none" w:sz="0" w:space="0" w:color="auto"/>
                <w:right w:val="none" w:sz="0" w:space="0" w:color="auto"/>
              </w:divBdr>
            </w:div>
            <w:div w:id="1454834384">
              <w:marLeft w:val="0"/>
              <w:marRight w:val="0"/>
              <w:marTop w:val="0"/>
              <w:marBottom w:val="0"/>
              <w:divBdr>
                <w:top w:val="none" w:sz="0" w:space="0" w:color="auto"/>
                <w:left w:val="none" w:sz="0" w:space="0" w:color="auto"/>
                <w:bottom w:val="none" w:sz="0" w:space="0" w:color="auto"/>
                <w:right w:val="none" w:sz="0" w:space="0" w:color="auto"/>
              </w:divBdr>
            </w:div>
            <w:div w:id="1653172386">
              <w:marLeft w:val="0"/>
              <w:marRight w:val="0"/>
              <w:marTop w:val="0"/>
              <w:marBottom w:val="0"/>
              <w:divBdr>
                <w:top w:val="none" w:sz="0" w:space="0" w:color="auto"/>
                <w:left w:val="none" w:sz="0" w:space="0" w:color="auto"/>
                <w:bottom w:val="none" w:sz="0" w:space="0" w:color="auto"/>
                <w:right w:val="none" w:sz="0" w:space="0" w:color="auto"/>
              </w:divBdr>
            </w:div>
            <w:div w:id="1873112690">
              <w:marLeft w:val="0"/>
              <w:marRight w:val="0"/>
              <w:marTop w:val="0"/>
              <w:marBottom w:val="0"/>
              <w:divBdr>
                <w:top w:val="none" w:sz="0" w:space="0" w:color="auto"/>
                <w:left w:val="none" w:sz="0" w:space="0" w:color="auto"/>
                <w:bottom w:val="none" w:sz="0" w:space="0" w:color="auto"/>
                <w:right w:val="none" w:sz="0" w:space="0" w:color="auto"/>
              </w:divBdr>
            </w:div>
          </w:divsChild>
        </w:div>
        <w:div w:id="1987467375">
          <w:marLeft w:val="0"/>
          <w:marRight w:val="0"/>
          <w:marTop w:val="0"/>
          <w:marBottom w:val="0"/>
          <w:divBdr>
            <w:top w:val="none" w:sz="0" w:space="0" w:color="auto"/>
            <w:left w:val="none" w:sz="0" w:space="0" w:color="auto"/>
            <w:bottom w:val="none" w:sz="0" w:space="0" w:color="auto"/>
            <w:right w:val="none" w:sz="0" w:space="0" w:color="auto"/>
          </w:divBdr>
          <w:divsChild>
            <w:div w:id="99865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323082">
      <w:bodyDiv w:val="1"/>
      <w:marLeft w:val="0"/>
      <w:marRight w:val="0"/>
      <w:marTop w:val="0"/>
      <w:marBottom w:val="0"/>
      <w:divBdr>
        <w:top w:val="none" w:sz="0" w:space="0" w:color="auto"/>
        <w:left w:val="none" w:sz="0" w:space="0" w:color="auto"/>
        <w:bottom w:val="none" w:sz="0" w:space="0" w:color="auto"/>
        <w:right w:val="none" w:sz="0" w:space="0" w:color="auto"/>
      </w:divBdr>
    </w:div>
    <w:div w:id="1469782360">
      <w:bodyDiv w:val="1"/>
      <w:marLeft w:val="0"/>
      <w:marRight w:val="0"/>
      <w:marTop w:val="0"/>
      <w:marBottom w:val="0"/>
      <w:divBdr>
        <w:top w:val="none" w:sz="0" w:space="0" w:color="auto"/>
        <w:left w:val="none" w:sz="0" w:space="0" w:color="auto"/>
        <w:bottom w:val="none" w:sz="0" w:space="0" w:color="auto"/>
        <w:right w:val="none" w:sz="0" w:space="0" w:color="auto"/>
      </w:divBdr>
      <w:divsChild>
        <w:div w:id="112948954">
          <w:marLeft w:val="274"/>
          <w:marRight w:val="0"/>
          <w:marTop w:val="60"/>
          <w:marBottom w:val="60"/>
          <w:divBdr>
            <w:top w:val="none" w:sz="0" w:space="0" w:color="auto"/>
            <w:left w:val="none" w:sz="0" w:space="0" w:color="auto"/>
            <w:bottom w:val="none" w:sz="0" w:space="0" w:color="auto"/>
            <w:right w:val="none" w:sz="0" w:space="0" w:color="auto"/>
          </w:divBdr>
        </w:div>
        <w:div w:id="262884780">
          <w:marLeft w:val="274"/>
          <w:marRight w:val="0"/>
          <w:marTop w:val="60"/>
          <w:marBottom w:val="60"/>
          <w:divBdr>
            <w:top w:val="none" w:sz="0" w:space="0" w:color="auto"/>
            <w:left w:val="none" w:sz="0" w:space="0" w:color="auto"/>
            <w:bottom w:val="none" w:sz="0" w:space="0" w:color="auto"/>
            <w:right w:val="none" w:sz="0" w:space="0" w:color="auto"/>
          </w:divBdr>
        </w:div>
        <w:div w:id="278269159">
          <w:marLeft w:val="274"/>
          <w:marRight w:val="0"/>
          <w:marTop w:val="60"/>
          <w:marBottom w:val="60"/>
          <w:divBdr>
            <w:top w:val="none" w:sz="0" w:space="0" w:color="auto"/>
            <w:left w:val="none" w:sz="0" w:space="0" w:color="auto"/>
            <w:bottom w:val="none" w:sz="0" w:space="0" w:color="auto"/>
            <w:right w:val="none" w:sz="0" w:space="0" w:color="auto"/>
          </w:divBdr>
        </w:div>
        <w:div w:id="473832893">
          <w:marLeft w:val="274"/>
          <w:marRight w:val="0"/>
          <w:marTop w:val="60"/>
          <w:marBottom w:val="60"/>
          <w:divBdr>
            <w:top w:val="none" w:sz="0" w:space="0" w:color="auto"/>
            <w:left w:val="none" w:sz="0" w:space="0" w:color="auto"/>
            <w:bottom w:val="none" w:sz="0" w:space="0" w:color="auto"/>
            <w:right w:val="none" w:sz="0" w:space="0" w:color="auto"/>
          </w:divBdr>
        </w:div>
        <w:div w:id="475533820">
          <w:marLeft w:val="274"/>
          <w:marRight w:val="0"/>
          <w:marTop w:val="60"/>
          <w:marBottom w:val="60"/>
          <w:divBdr>
            <w:top w:val="none" w:sz="0" w:space="0" w:color="auto"/>
            <w:left w:val="none" w:sz="0" w:space="0" w:color="auto"/>
            <w:bottom w:val="none" w:sz="0" w:space="0" w:color="auto"/>
            <w:right w:val="none" w:sz="0" w:space="0" w:color="auto"/>
          </w:divBdr>
        </w:div>
        <w:div w:id="853496956">
          <w:marLeft w:val="274"/>
          <w:marRight w:val="0"/>
          <w:marTop w:val="60"/>
          <w:marBottom w:val="60"/>
          <w:divBdr>
            <w:top w:val="none" w:sz="0" w:space="0" w:color="auto"/>
            <w:left w:val="none" w:sz="0" w:space="0" w:color="auto"/>
            <w:bottom w:val="none" w:sz="0" w:space="0" w:color="auto"/>
            <w:right w:val="none" w:sz="0" w:space="0" w:color="auto"/>
          </w:divBdr>
        </w:div>
        <w:div w:id="990401119">
          <w:marLeft w:val="274"/>
          <w:marRight w:val="0"/>
          <w:marTop w:val="60"/>
          <w:marBottom w:val="60"/>
          <w:divBdr>
            <w:top w:val="none" w:sz="0" w:space="0" w:color="auto"/>
            <w:left w:val="none" w:sz="0" w:space="0" w:color="auto"/>
            <w:bottom w:val="none" w:sz="0" w:space="0" w:color="auto"/>
            <w:right w:val="none" w:sz="0" w:space="0" w:color="auto"/>
          </w:divBdr>
        </w:div>
        <w:div w:id="1020618390">
          <w:marLeft w:val="274"/>
          <w:marRight w:val="0"/>
          <w:marTop w:val="60"/>
          <w:marBottom w:val="60"/>
          <w:divBdr>
            <w:top w:val="none" w:sz="0" w:space="0" w:color="auto"/>
            <w:left w:val="none" w:sz="0" w:space="0" w:color="auto"/>
            <w:bottom w:val="none" w:sz="0" w:space="0" w:color="auto"/>
            <w:right w:val="none" w:sz="0" w:space="0" w:color="auto"/>
          </w:divBdr>
        </w:div>
        <w:div w:id="1144548601">
          <w:marLeft w:val="274"/>
          <w:marRight w:val="0"/>
          <w:marTop w:val="60"/>
          <w:marBottom w:val="60"/>
          <w:divBdr>
            <w:top w:val="none" w:sz="0" w:space="0" w:color="auto"/>
            <w:left w:val="none" w:sz="0" w:space="0" w:color="auto"/>
            <w:bottom w:val="none" w:sz="0" w:space="0" w:color="auto"/>
            <w:right w:val="none" w:sz="0" w:space="0" w:color="auto"/>
          </w:divBdr>
        </w:div>
        <w:div w:id="1455759071">
          <w:marLeft w:val="274"/>
          <w:marRight w:val="0"/>
          <w:marTop w:val="60"/>
          <w:marBottom w:val="60"/>
          <w:divBdr>
            <w:top w:val="none" w:sz="0" w:space="0" w:color="auto"/>
            <w:left w:val="none" w:sz="0" w:space="0" w:color="auto"/>
            <w:bottom w:val="none" w:sz="0" w:space="0" w:color="auto"/>
            <w:right w:val="none" w:sz="0" w:space="0" w:color="auto"/>
          </w:divBdr>
        </w:div>
      </w:divsChild>
    </w:div>
    <w:div w:id="1499417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comments" Target="comments.xml"/><Relationship Id="rId2" Type="http://schemas.openxmlformats.org/officeDocument/2006/relationships/customXml" Target="../customXml/item2.xml"/><Relationship Id="rId16" Type="http://schemas.openxmlformats.org/officeDocument/2006/relationships/header" Target="header3.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microsoft.com/office/2011/relationships/people" Target="peop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161720CFFFB144EA353CA2753F46D49" ma:contentTypeVersion="15" ma:contentTypeDescription="Create a new document." ma:contentTypeScope="" ma:versionID="f530f7bb0d67ddf3ac1c09e4f346b24a">
  <xsd:schema xmlns:xsd="http://www.w3.org/2001/XMLSchema" xmlns:xs="http://www.w3.org/2001/XMLSchema" xmlns:p="http://schemas.microsoft.com/office/2006/metadata/properties" xmlns:ns2="f5dd385b-23f3-41ca-91f3-31e8f99e20aa" xmlns:ns3="ecb18fbc-c8e1-410e-8d53-ef52f12960fe" targetNamespace="http://schemas.microsoft.com/office/2006/metadata/properties" ma:root="true" ma:fieldsID="7e928b76f76152500bc66d994553cd7a" ns2:_="" ns3:_="">
    <xsd:import namespace="f5dd385b-23f3-41ca-91f3-31e8f99e20aa"/>
    <xsd:import namespace="ecb18fbc-c8e1-410e-8d53-ef52f12960f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dd385b-23f3-41ca-91f3-31e8f99e20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d3b5818-5592-4a89-994d-4f249e4d7d1b"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cb18fbc-c8e1-410e-8d53-ef52f12960f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302162b-3097-41c9-bce7-08f89f66abe3}" ma:internalName="TaxCatchAll" ma:showField="CatchAllData" ma:web="ecb18fbc-c8e1-410e-8d53-ef52f12960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cb18fbc-c8e1-410e-8d53-ef52f12960fe" xsi:nil="true"/>
    <lcf76f155ced4ddcb4097134ff3c332f xmlns="f5dd385b-23f3-41ca-91f3-31e8f99e20aa">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F9B722-66C2-4060-A156-25B0B80656AD}">
  <ds:schemaRefs>
    <ds:schemaRef ds:uri="http://schemas.openxmlformats.org/officeDocument/2006/bibliography"/>
  </ds:schemaRefs>
</ds:datastoreItem>
</file>

<file path=customXml/itemProps2.xml><?xml version="1.0" encoding="utf-8"?>
<ds:datastoreItem xmlns:ds="http://schemas.openxmlformats.org/officeDocument/2006/customXml" ds:itemID="{431A21A1-E659-4D06-9DD4-8186999478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dd385b-23f3-41ca-91f3-31e8f99e20aa"/>
    <ds:schemaRef ds:uri="ecb18fbc-c8e1-410e-8d53-ef52f12960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7453CE-6E6F-4843-90E3-81CAC37CE157}">
  <ds:schemaRefs>
    <ds:schemaRef ds:uri="http://schemas.microsoft.com/office/2006/metadata/properties"/>
    <ds:schemaRef ds:uri="http://schemas.microsoft.com/office/infopath/2007/PartnerControls"/>
    <ds:schemaRef ds:uri="ecb18fbc-c8e1-410e-8d53-ef52f12960fe"/>
    <ds:schemaRef ds:uri="f5dd385b-23f3-41ca-91f3-31e8f99e20aa"/>
  </ds:schemaRefs>
</ds:datastoreItem>
</file>

<file path=customXml/itemProps4.xml><?xml version="1.0" encoding="utf-8"?>
<ds:datastoreItem xmlns:ds="http://schemas.openxmlformats.org/officeDocument/2006/customXml" ds:itemID="{AE3C2923-1110-4533-AD24-14677043F2C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20</Pages>
  <Words>5715</Words>
  <Characters>31152</Characters>
  <Application>Microsoft Office Word</Application>
  <DocSecurity>0</DocSecurity>
  <Lines>741</Lines>
  <Paragraphs>491</Paragraphs>
  <ScaleCrop>false</ScaleCrop>
  <Company/>
  <LinksUpToDate>false</LinksUpToDate>
  <CharactersWithSpaces>36376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Johnston</dc:creator>
  <cp:keywords/>
  <dc:description/>
  <cp:lastModifiedBy>Brad Richards</cp:lastModifiedBy>
  <cp:revision>98</cp:revision>
  <dcterms:created xsi:type="dcterms:W3CDTF">2024-02-07T14:44:00Z</dcterms:created>
  <dcterms:modified xsi:type="dcterms:W3CDTF">2025-11-07T09:02:00Z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0x010100A161720CFFFB144EA353CA2753F46D49</vt:lpwstr>
  </property>
  <property fmtid="{D5CDD505-2E9C-101B-9397-08002B2CF9AE}" pid="3" name="MediaServiceImageTags">
    <vt:lpwstr/>
  </property>
  <property fmtid="{D5CDD505-2E9C-101B-9397-08002B2CF9AE}" pid="4" name="GrammarlyDocumentId">
    <vt:lpwstr>a911a487-93cc-466a-97ce-df3eb9ee6517</vt:lpwstr>
  </property>
</Properties>
</file>