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495E" w14:textId="0846912E" w:rsidR="00E83C79" w:rsidRDefault="00C4027A" w:rsidP="00C4027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4027A">
        <w:rPr>
          <w:rFonts w:ascii="Arial" w:hAnsi="Arial" w:cs="Arial"/>
          <w:b/>
          <w:bCs/>
          <w:sz w:val="28"/>
          <w:szCs w:val="28"/>
          <w:u w:val="single"/>
        </w:rPr>
        <w:t>Family Group Conferencing</w:t>
      </w:r>
    </w:p>
    <w:p w14:paraId="651ACFA9" w14:textId="63027E5A" w:rsidR="00675BF6" w:rsidRPr="00702B9B" w:rsidRDefault="00C4027A" w:rsidP="00702B9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(Ref: FGC 09/25)</w:t>
      </w:r>
    </w:p>
    <w:p w14:paraId="05854AD4" w14:textId="71B63110" w:rsidR="00936762" w:rsidRDefault="00702B9B" w:rsidP="00C91C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FGC </w:t>
      </w:r>
      <w:r w:rsidR="000E2A6A" w:rsidRPr="000E2A6A">
        <w:rPr>
          <w:rFonts w:ascii="Arial" w:hAnsi="Arial" w:cs="Arial"/>
          <w:b/>
          <w:bCs/>
          <w:sz w:val="24"/>
          <w:szCs w:val="24"/>
        </w:rPr>
        <w:t>Service Demand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51"/>
      </w:tblGrid>
      <w:tr w:rsidR="00936762" w14:paraId="17537B31" w14:textId="77777777" w:rsidTr="004569B6">
        <w:tc>
          <w:tcPr>
            <w:tcW w:w="2263" w:type="dxa"/>
          </w:tcPr>
          <w:p w14:paraId="70F40B6E" w14:textId="77777777" w:rsidR="00936762" w:rsidRDefault="00936762" w:rsidP="009367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0B3924" w14:textId="77777777" w:rsidR="00936762" w:rsidRDefault="00936762" w:rsidP="009367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Financial Year</w:t>
            </w:r>
          </w:p>
          <w:p w14:paraId="63DD2543" w14:textId="3FD1DC0F" w:rsidR="00936762" w:rsidRPr="00936762" w:rsidRDefault="00936762" w:rsidP="009367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4184102" w14:textId="77777777" w:rsidR="00936762" w:rsidRDefault="00936762" w:rsidP="009367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EB6BA9" w14:textId="5D676EF3" w:rsidR="00936762" w:rsidRPr="00936762" w:rsidRDefault="00936762" w:rsidP="009367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of referrals received</w:t>
            </w:r>
          </w:p>
        </w:tc>
        <w:tc>
          <w:tcPr>
            <w:tcW w:w="3351" w:type="dxa"/>
          </w:tcPr>
          <w:p w14:paraId="6372625E" w14:textId="77777777" w:rsidR="00936762" w:rsidRPr="007F20C5" w:rsidRDefault="00936762" w:rsidP="0093676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8DF096" w14:textId="2B8123B4" w:rsidR="00936762" w:rsidRPr="007F20C5" w:rsidRDefault="00936762" w:rsidP="00936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7F20C5">
              <w:rPr>
                <w:rFonts w:ascii="Arial" w:hAnsi="Arial" w:cs="Arial"/>
                <w:b/>
                <w:bCs/>
              </w:rPr>
              <w:t>Number of FGC’s held</w:t>
            </w:r>
          </w:p>
        </w:tc>
      </w:tr>
      <w:tr w:rsidR="00936762" w14:paraId="4A3DC7F2" w14:textId="77777777" w:rsidTr="004569B6">
        <w:tc>
          <w:tcPr>
            <w:tcW w:w="2263" w:type="dxa"/>
          </w:tcPr>
          <w:p w14:paraId="29A2523B" w14:textId="77777777" w:rsidR="00E460ED" w:rsidRDefault="00E460ED" w:rsidP="00E460ED">
            <w:pPr>
              <w:jc w:val="center"/>
              <w:rPr>
                <w:rFonts w:ascii="Arial" w:hAnsi="Arial" w:cs="Arial"/>
              </w:rPr>
            </w:pPr>
          </w:p>
          <w:p w14:paraId="657C73DC" w14:textId="7275BB60" w:rsidR="00936762" w:rsidRDefault="00E460ED" w:rsidP="00E46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/ 2022</w:t>
            </w:r>
          </w:p>
          <w:p w14:paraId="78A9D253" w14:textId="50D46F13" w:rsidR="00E460ED" w:rsidRDefault="00E460ED" w:rsidP="00E46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66608B6" w14:textId="77777777" w:rsidR="00936762" w:rsidRDefault="00936762" w:rsidP="00E460ED">
            <w:pPr>
              <w:jc w:val="center"/>
              <w:rPr>
                <w:rFonts w:ascii="Arial" w:hAnsi="Arial" w:cs="Arial"/>
              </w:rPr>
            </w:pPr>
          </w:p>
          <w:p w14:paraId="25F6BDF4" w14:textId="7A9F65DA" w:rsidR="00E2380C" w:rsidRDefault="00E2380C" w:rsidP="00E46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3351" w:type="dxa"/>
          </w:tcPr>
          <w:p w14:paraId="5C3E37E3" w14:textId="77777777" w:rsidR="00936762" w:rsidRPr="007F20C5" w:rsidRDefault="00936762" w:rsidP="00E460ED">
            <w:pPr>
              <w:jc w:val="center"/>
              <w:rPr>
                <w:rFonts w:ascii="Arial" w:hAnsi="Arial" w:cs="Arial"/>
              </w:rPr>
            </w:pPr>
          </w:p>
          <w:p w14:paraId="05E2009A" w14:textId="52DE2226" w:rsidR="00E2380C" w:rsidRPr="007F20C5" w:rsidRDefault="007F20C5" w:rsidP="00E460ED">
            <w:pPr>
              <w:jc w:val="center"/>
              <w:rPr>
                <w:rFonts w:ascii="Arial" w:hAnsi="Arial" w:cs="Arial"/>
              </w:rPr>
            </w:pPr>
            <w:r w:rsidRPr="007F20C5">
              <w:rPr>
                <w:rFonts w:ascii="Arial" w:hAnsi="Arial" w:cs="Arial"/>
              </w:rPr>
              <w:t>2</w:t>
            </w:r>
            <w:r w:rsidR="00E2380C" w:rsidRPr="007F20C5">
              <w:rPr>
                <w:rFonts w:ascii="Arial" w:hAnsi="Arial" w:cs="Arial"/>
              </w:rPr>
              <w:t>8</w:t>
            </w:r>
          </w:p>
        </w:tc>
      </w:tr>
      <w:tr w:rsidR="00936762" w14:paraId="09E67575" w14:textId="77777777" w:rsidTr="004569B6">
        <w:tc>
          <w:tcPr>
            <w:tcW w:w="2263" w:type="dxa"/>
          </w:tcPr>
          <w:p w14:paraId="29ED5BF8" w14:textId="77777777" w:rsidR="00E460ED" w:rsidRDefault="00E460ED" w:rsidP="00E460ED">
            <w:pPr>
              <w:rPr>
                <w:rFonts w:ascii="Arial" w:hAnsi="Arial" w:cs="Arial"/>
              </w:rPr>
            </w:pPr>
          </w:p>
          <w:p w14:paraId="7251266A" w14:textId="21C42E94" w:rsidR="00E460ED" w:rsidRDefault="00E460ED" w:rsidP="00E46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/ 2023</w:t>
            </w:r>
          </w:p>
          <w:p w14:paraId="3F2C6B00" w14:textId="77777777" w:rsidR="00E460ED" w:rsidRDefault="00E460ED" w:rsidP="00E46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4E9129C" w14:textId="77777777" w:rsidR="00936762" w:rsidRDefault="00936762" w:rsidP="00E460ED">
            <w:pPr>
              <w:jc w:val="center"/>
              <w:rPr>
                <w:rFonts w:ascii="Arial" w:hAnsi="Arial" w:cs="Arial"/>
              </w:rPr>
            </w:pPr>
          </w:p>
          <w:p w14:paraId="2611C1E8" w14:textId="248B87E9" w:rsidR="00E2380C" w:rsidRDefault="00E2380C" w:rsidP="00E46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3351" w:type="dxa"/>
          </w:tcPr>
          <w:p w14:paraId="051D1106" w14:textId="77777777" w:rsidR="00936762" w:rsidRPr="007F20C5" w:rsidRDefault="00936762" w:rsidP="00E460ED">
            <w:pPr>
              <w:jc w:val="center"/>
              <w:rPr>
                <w:rFonts w:ascii="Arial" w:hAnsi="Arial" w:cs="Arial"/>
              </w:rPr>
            </w:pPr>
          </w:p>
          <w:p w14:paraId="1248B222" w14:textId="211A84B1" w:rsidR="00E2380C" w:rsidRPr="007F20C5" w:rsidRDefault="00E2380C" w:rsidP="00E460ED">
            <w:pPr>
              <w:jc w:val="center"/>
              <w:rPr>
                <w:rFonts w:ascii="Arial" w:hAnsi="Arial" w:cs="Arial"/>
              </w:rPr>
            </w:pPr>
            <w:r w:rsidRPr="007F20C5">
              <w:rPr>
                <w:rFonts w:ascii="Arial" w:hAnsi="Arial" w:cs="Arial"/>
              </w:rPr>
              <w:t>3</w:t>
            </w:r>
            <w:r w:rsidR="007F20C5" w:rsidRPr="007F20C5">
              <w:rPr>
                <w:rFonts w:ascii="Arial" w:hAnsi="Arial" w:cs="Arial"/>
              </w:rPr>
              <w:t>4</w:t>
            </w:r>
          </w:p>
        </w:tc>
      </w:tr>
      <w:tr w:rsidR="00936762" w14:paraId="523E97EE" w14:textId="77777777" w:rsidTr="004569B6">
        <w:tc>
          <w:tcPr>
            <w:tcW w:w="2263" w:type="dxa"/>
          </w:tcPr>
          <w:p w14:paraId="418FB81B" w14:textId="77777777" w:rsidR="00936762" w:rsidRDefault="00936762" w:rsidP="00E460ED">
            <w:pPr>
              <w:jc w:val="center"/>
              <w:rPr>
                <w:rFonts w:ascii="Arial" w:hAnsi="Arial" w:cs="Arial"/>
              </w:rPr>
            </w:pPr>
          </w:p>
          <w:p w14:paraId="4DB18997" w14:textId="5DACB891" w:rsidR="00E460ED" w:rsidRDefault="00E460ED" w:rsidP="00E46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/ 2024</w:t>
            </w:r>
          </w:p>
          <w:p w14:paraId="6934B855" w14:textId="77777777" w:rsidR="00E460ED" w:rsidRDefault="00E460ED" w:rsidP="00E46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95D4D0A" w14:textId="77777777" w:rsidR="00936762" w:rsidRDefault="00936762" w:rsidP="00E460ED">
            <w:pPr>
              <w:jc w:val="center"/>
              <w:rPr>
                <w:rFonts w:ascii="Arial" w:hAnsi="Arial" w:cs="Arial"/>
              </w:rPr>
            </w:pPr>
          </w:p>
          <w:p w14:paraId="269082E0" w14:textId="08CB1E8A" w:rsidR="00E2380C" w:rsidRDefault="00E2380C" w:rsidP="00E46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3351" w:type="dxa"/>
          </w:tcPr>
          <w:p w14:paraId="49000A31" w14:textId="77777777" w:rsidR="00936762" w:rsidRPr="007F20C5" w:rsidRDefault="00936762" w:rsidP="00E460ED">
            <w:pPr>
              <w:jc w:val="center"/>
              <w:rPr>
                <w:rFonts w:ascii="Arial" w:hAnsi="Arial" w:cs="Arial"/>
              </w:rPr>
            </w:pPr>
          </w:p>
          <w:p w14:paraId="10F997BB" w14:textId="6A721473" w:rsidR="00E2380C" w:rsidRPr="007F20C5" w:rsidRDefault="007F20C5" w:rsidP="00E460ED">
            <w:pPr>
              <w:jc w:val="center"/>
              <w:rPr>
                <w:rFonts w:ascii="Arial" w:hAnsi="Arial" w:cs="Arial"/>
              </w:rPr>
            </w:pPr>
            <w:r w:rsidRPr="007F20C5">
              <w:rPr>
                <w:rFonts w:ascii="Arial" w:hAnsi="Arial" w:cs="Arial"/>
              </w:rPr>
              <w:t>27</w:t>
            </w:r>
          </w:p>
        </w:tc>
      </w:tr>
      <w:tr w:rsidR="00936762" w14:paraId="444941C3" w14:textId="77777777" w:rsidTr="004569B6">
        <w:tc>
          <w:tcPr>
            <w:tcW w:w="2263" w:type="dxa"/>
          </w:tcPr>
          <w:p w14:paraId="056B38EF" w14:textId="77777777" w:rsidR="00936762" w:rsidRDefault="00936762" w:rsidP="00E460ED">
            <w:pPr>
              <w:jc w:val="center"/>
              <w:rPr>
                <w:rFonts w:ascii="Arial" w:hAnsi="Arial" w:cs="Arial"/>
              </w:rPr>
            </w:pPr>
          </w:p>
          <w:p w14:paraId="60DFE741" w14:textId="184B9F46" w:rsidR="00E460ED" w:rsidRDefault="00E460ED" w:rsidP="00E46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/ 2025</w:t>
            </w:r>
          </w:p>
          <w:p w14:paraId="46576BBD" w14:textId="77777777" w:rsidR="00E460ED" w:rsidRDefault="00E460ED" w:rsidP="00E46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CC3E7ED" w14:textId="77777777" w:rsidR="00936762" w:rsidRDefault="00936762" w:rsidP="00E460ED">
            <w:pPr>
              <w:jc w:val="center"/>
              <w:rPr>
                <w:rFonts w:ascii="Arial" w:hAnsi="Arial" w:cs="Arial"/>
              </w:rPr>
            </w:pPr>
          </w:p>
          <w:p w14:paraId="22CD092E" w14:textId="2E9D4994" w:rsidR="00E2380C" w:rsidRDefault="006167F6" w:rsidP="00E46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3351" w:type="dxa"/>
          </w:tcPr>
          <w:p w14:paraId="59C97269" w14:textId="77777777" w:rsidR="00936762" w:rsidRPr="007F20C5" w:rsidRDefault="00936762" w:rsidP="00E460ED">
            <w:pPr>
              <w:jc w:val="center"/>
              <w:rPr>
                <w:rFonts w:ascii="Arial" w:hAnsi="Arial" w:cs="Arial"/>
              </w:rPr>
            </w:pPr>
          </w:p>
          <w:p w14:paraId="2EE5E32F" w14:textId="53263231" w:rsidR="00E2380C" w:rsidRPr="007F20C5" w:rsidRDefault="007F20C5" w:rsidP="00E460ED">
            <w:pPr>
              <w:jc w:val="center"/>
              <w:rPr>
                <w:rFonts w:ascii="Arial" w:hAnsi="Arial" w:cs="Arial"/>
              </w:rPr>
            </w:pPr>
            <w:r w:rsidRPr="007F20C5">
              <w:rPr>
                <w:rFonts w:ascii="Arial" w:hAnsi="Arial" w:cs="Arial"/>
              </w:rPr>
              <w:t>47</w:t>
            </w:r>
          </w:p>
        </w:tc>
      </w:tr>
    </w:tbl>
    <w:p w14:paraId="498E237C" w14:textId="491B3A8C" w:rsidR="00C91CE5" w:rsidRPr="00C91CE5" w:rsidRDefault="00C91CE5" w:rsidP="00C91CE5">
      <w:pPr>
        <w:rPr>
          <w:rFonts w:ascii="Arial" w:hAnsi="Arial" w:cs="Arial"/>
        </w:rPr>
      </w:pPr>
    </w:p>
    <w:p w14:paraId="3CC3E5E7" w14:textId="33638F0F" w:rsidR="00F22FDE" w:rsidRDefault="00F22FDE" w:rsidP="003D1D34">
      <w:pPr>
        <w:jc w:val="both"/>
        <w:rPr>
          <w:rFonts w:ascii="Arial" w:hAnsi="Arial" w:cs="Arial"/>
        </w:rPr>
      </w:pPr>
      <w:r w:rsidRPr="00702B9B">
        <w:rPr>
          <w:rFonts w:ascii="Arial" w:hAnsi="Arial" w:cs="Arial"/>
        </w:rPr>
        <w:t>On average, 34 FGCs (per year) were held over the course of the last 4 years</w:t>
      </w:r>
      <w:r w:rsidR="003D1D34">
        <w:rPr>
          <w:rFonts w:ascii="Arial" w:hAnsi="Arial" w:cs="Arial"/>
        </w:rPr>
        <w:t>.  The</w:t>
      </w:r>
      <w:r w:rsidRPr="00702B9B">
        <w:rPr>
          <w:rFonts w:ascii="Arial" w:hAnsi="Arial" w:cs="Arial"/>
        </w:rPr>
        <w:t xml:space="preserve"> Service Provider will need to meet the fluctuating needs of the service within their tender proposal.</w:t>
      </w:r>
    </w:p>
    <w:p w14:paraId="733FAD24" w14:textId="4A03645F" w:rsidR="003D1D34" w:rsidRPr="00702B9B" w:rsidRDefault="003D1D34" w:rsidP="00C4027A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F2E6F4B" wp14:editId="3E5E6994">
            <wp:extent cx="5695950" cy="2743200"/>
            <wp:effectExtent l="0" t="0" r="0" b="0"/>
            <wp:docPr id="1501664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FD0B8B-4EF8-2CB3-1B6A-B7511B87E4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6D2A99B" w14:textId="4AE28904" w:rsidR="00675BF6" w:rsidRPr="00702B9B" w:rsidRDefault="000E2A6A" w:rsidP="003D1D34">
      <w:pPr>
        <w:jc w:val="both"/>
        <w:rPr>
          <w:rFonts w:ascii="Arial" w:hAnsi="Arial" w:cs="Arial"/>
        </w:rPr>
      </w:pPr>
      <w:r w:rsidRPr="00702B9B">
        <w:rPr>
          <w:rFonts w:ascii="Arial" w:hAnsi="Arial" w:cs="Arial"/>
        </w:rPr>
        <w:t>Sin</w:t>
      </w:r>
      <w:r w:rsidR="00675BF6" w:rsidRPr="00702B9B">
        <w:rPr>
          <w:rFonts w:ascii="Arial" w:hAnsi="Arial" w:cs="Arial"/>
        </w:rPr>
        <w:t>ce the COVID-19 pandemic, the number of Family Group Conference referrals has steadily increased across Wales, including within Conwy County. This growth reflects a broader shift toward early intervention and family-led planning in response to rising safeguarding concerns and service pressures. In line with existing and forthcoming legislation, such as the anticipated mandate for Family Group Decision Making</w:t>
      </w:r>
      <w:r w:rsidR="00634D4D" w:rsidRPr="00702B9B">
        <w:rPr>
          <w:rFonts w:ascii="Arial" w:hAnsi="Arial" w:cs="Arial"/>
        </w:rPr>
        <w:t xml:space="preserve"> (FGDM)</w:t>
      </w:r>
      <w:r w:rsidR="00675BF6" w:rsidRPr="00702B9B">
        <w:rPr>
          <w:rFonts w:ascii="Arial" w:hAnsi="Arial" w:cs="Arial"/>
        </w:rPr>
        <w:t xml:space="preserve"> at the pre-proceedings stage, demand is expected to continue rising as local authorities strengthen their commitment to empowering families and reducing the need for formal care proceedings.</w:t>
      </w:r>
    </w:p>
    <w:sectPr w:rsidR="00675BF6" w:rsidRPr="00702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F552D"/>
    <w:multiLevelType w:val="multilevel"/>
    <w:tmpl w:val="B672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19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DE"/>
    <w:rsid w:val="00011B2C"/>
    <w:rsid w:val="000D069C"/>
    <w:rsid w:val="000E2A6A"/>
    <w:rsid w:val="00114476"/>
    <w:rsid w:val="00134162"/>
    <w:rsid w:val="001D6D60"/>
    <w:rsid w:val="003D1D34"/>
    <w:rsid w:val="00412983"/>
    <w:rsid w:val="004569B6"/>
    <w:rsid w:val="005535FF"/>
    <w:rsid w:val="006167F6"/>
    <w:rsid w:val="00634D4D"/>
    <w:rsid w:val="00675BF6"/>
    <w:rsid w:val="00702B9B"/>
    <w:rsid w:val="007F20C5"/>
    <w:rsid w:val="00936762"/>
    <w:rsid w:val="00B90CE4"/>
    <w:rsid w:val="00B92528"/>
    <w:rsid w:val="00BA7DDE"/>
    <w:rsid w:val="00C055D8"/>
    <w:rsid w:val="00C4027A"/>
    <w:rsid w:val="00C91CE5"/>
    <w:rsid w:val="00CB2A34"/>
    <w:rsid w:val="00DD79CE"/>
    <w:rsid w:val="00E2380C"/>
    <w:rsid w:val="00E460ED"/>
    <w:rsid w:val="00E50C78"/>
    <w:rsid w:val="00E83C79"/>
    <w:rsid w:val="00EC35D4"/>
    <w:rsid w:val="00EE4A22"/>
    <w:rsid w:val="00F149AE"/>
    <w:rsid w:val="00F2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83FD"/>
  <w15:chartTrackingRefBased/>
  <w15:docId w15:val="{5BEEBC8E-06E4-4034-AFFB-363DC2AD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D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D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D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D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D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D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D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D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D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D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DD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3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orp.conwy.gov.uk\data\SS\Commissioning%20Team\Procurement\10%20Family%20Group%20Conferencing%20Service\Number%20of%20Referrals%20Chronolog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1"/>
              <a:t>Breakdown</a:t>
            </a:r>
            <a:r>
              <a:rPr lang="en-GB" b="1" baseline="0"/>
              <a:t> of FGCs held during 21/22 - 24/25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Sheet2!$A$14</c:f>
              <c:strCache>
                <c:ptCount val="1"/>
                <c:pt idx="0">
                  <c:v>21/22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Sheet2!$B$13:$F$13</c:f>
              <c:strCache>
                <c:ptCount val="5"/>
                <c:pt idx="0">
                  <c:v>Child Protection</c:v>
                </c:pt>
                <c:pt idx="1">
                  <c:v>Family Support</c:v>
                </c:pt>
                <c:pt idx="2">
                  <c:v>Looked After Children</c:v>
                </c:pt>
                <c:pt idx="3">
                  <c:v>PLO</c:v>
                </c:pt>
                <c:pt idx="4">
                  <c:v>Other</c:v>
                </c:pt>
              </c:strCache>
            </c:strRef>
          </c:cat>
          <c:val>
            <c:numRef>
              <c:f>Sheet2!$B$14:$F$14</c:f>
              <c:numCache>
                <c:formatCode>General</c:formatCode>
                <c:ptCount val="5"/>
                <c:pt idx="0">
                  <c:v>19</c:v>
                </c:pt>
                <c:pt idx="1">
                  <c:v>22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2D-465C-B6D5-7BBE4A1211C0}"/>
            </c:ext>
          </c:extLst>
        </c:ser>
        <c:ser>
          <c:idx val="1"/>
          <c:order val="1"/>
          <c:tx>
            <c:strRef>
              <c:f>Sheet2!$A$15</c:f>
              <c:strCache>
                <c:ptCount val="1"/>
                <c:pt idx="0">
                  <c:v>22/23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Sheet2!$B$13:$F$13</c:f>
              <c:strCache>
                <c:ptCount val="5"/>
                <c:pt idx="0">
                  <c:v>Child Protection</c:v>
                </c:pt>
                <c:pt idx="1">
                  <c:v>Family Support</c:v>
                </c:pt>
                <c:pt idx="2">
                  <c:v>Looked After Children</c:v>
                </c:pt>
                <c:pt idx="3">
                  <c:v>PLO</c:v>
                </c:pt>
                <c:pt idx="4">
                  <c:v>Other</c:v>
                </c:pt>
              </c:strCache>
            </c:strRef>
          </c:cat>
          <c:val>
            <c:numRef>
              <c:f>Sheet2!$B$15:$F$15</c:f>
              <c:numCache>
                <c:formatCode>General</c:formatCode>
                <c:ptCount val="5"/>
                <c:pt idx="0">
                  <c:v>14</c:v>
                </c:pt>
                <c:pt idx="1">
                  <c:v>29</c:v>
                </c:pt>
                <c:pt idx="2">
                  <c:v>22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2D-465C-B6D5-7BBE4A1211C0}"/>
            </c:ext>
          </c:extLst>
        </c:ser>
        <c:ser>
          <c:idx val="2"/>
          <c:order val="2"/>
          <c:tx>
            <c:strRef>
              <c:f>Sheet2!$A$16</c:f>
              <c:strCache>
                <c:ptCount val="1"/>
                <c:pt idx="0">
                  <c:v>23/24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Sheet2!$B$13:$F$13</c:f>
              <c:strCache>
                <c:ptCount val="5"/>
                <c:pt idx="0">
                  <c:v>Child Protection</c:v>
                </c:pt>
                <c:pt idx="1">
                  <c:v>Family Support</c:v>
                </c:pt>
                <c:pt idx="2">
                  <c:v>Looked After Children</c:v>
                </c:pt>
                <c:pt idx="3">
                  <c:v>PLO</c:v>
                </c:pt>
                <c:pt idx="4">
                  <c:v>Other</c:v>
                </c:pt>
              </c:strCache>
            </c:strRef>
          </c:cat>
          <c:val>
            <c:numRef>
              <c:f>Sheet2!$B$16:$F$16</c:f>
              <c:numCache>
                <c:formatCode>General</c:formatCode>
                <c:ptCount val="5"/>
                <c:pt idx="0">
                  <c:v>18</c:v>
                </c:pt>
                <c:pt idx="1">
                  <c:v>26</c:v>
                </c:pt>
                <c:pt idx="2">
                  <c:v>7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2D-465C-B6D5-7BBE4A1211C0}"/>
            </c:ext>
          </c:extLst>
        </c:ser>
        <c:ser>
          <c:idx val="3"/>
          <c:order val="3"/>
          <c:tx>
            <c:strRef>
              <c:f>Sheet2!$A$17</c:f>
              <c:strCache>
                <c:ptCount val="1"/>
                <c:pt idx="0">
                  <c:v>24/25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Sheet2!$B$13:$F$13</c:f>
              <c:strCache>
                <c:ptCount val="5"/>
                <c:pt idx="0">
                  <c:v>Child Protection</c:v>
                </c:pt>
                <c:pt idx="1">
                  <c:v>Family Support</c:v>
                </c:pt>
                <c:pt idx="2">
                  <c:v>Looked After Children</c:v>
                </c:pt>
                <c:pt idx="3">
                  <c:v>PLO</c:v>
                </c:pt>
                <c:pt idx="4">
                  <c:v>Other</c:v>
                </c:pt>
              </c:strCache>
            </c:strRef>
          </c:cat>
          <c:val>
            <c:numRef>
              <c:f>Sheet2!$B$17:$F$17</c:f>
              <c:numCache>
                <c:formatCode>General</c:formatCode>
                <c:ptCount val="5"/>
                <c:pt idx="0">
                  <c:v>15</c:v>
                </c:pt>
                <c:pt idx="1">
                  <c:v>20</c:v>
                </c:pt>
                <c:pt idx="2">
                  <c:v>9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2D-465C-B6D5-7BBE4A121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7499456"/>
        <c:axId val="1707506656"/>
      </c:barChart>
      <c:catAx>
        <c:axId val="170749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7506656"/>
        <c:crosses val="autoZero"/>
        <c:auto val="1"/>
        <c:lblAlgn val="ctr"/>
        <c:lblOffset val="100"/>
        <c:noMultiLvlLbl val="0"/>
      </c:catAx>
      <c:valAx>
        <c:axId val="170750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749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162</Words>
  <Characters>863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Owen (Commissioning)</dc:creator>
  <cp:keywords/>
  <dc:description/>
  <cp:lastModifiedBy>Anita Williams</cp:lastModifiedBy>
  <cp:revision>20</cp:revision>
  <dcterms:created xsi:type="dcterms:W3CDTF">2025-10-29T13:31:00Z</dcterms:created>
  <dcterms:modified xsi:type="dcterms:W3CDTF">2025-11-12T16:52:00Z</dcterms:modified>
</cp:coreProperties>
</file>