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2309F" w14:textId="77777777" w:rsidR="00C516B0" w:rsidRDefault="00C516B0">
      <w:pPr>
        <w:pStyle w:val="CoversheetStaticText"/>
        <w:rPr>
          <w:rFonts w:ascii="Arial" w:hAnsi="Arial" w:cs="Arial"/>
        </w:rPr>
      </w:pPr>
    </w:p>
    <w:p w14:paraId="080DEE4F" w14:textId="77777777" w:rsidR="00C516B0" w:rsidRDefault="00C516B0">
      <w:pPr>
        <w:pStyle w:val="CoversheetStaticText"/>
        <w:rPr>
          <w:rFonts w:ascii="Arial" w:hAnsi="Arial" w:cs="Arial"/>
        </w:rPr>
      </w:pPr>
    </w:p>
    <w:p w14:paraId="475B9649" w14:textId="77777777" w:rsidR="00C516B0" w:rsidRDefault="00C516B0">
      <w:pPr>
        <w:pStyle w:val="CoversheetStaticText"/>
        <w:rPr>
          <w:rFonts w:ascii="Arial" w:hAnsi="Arial" w:cs="Arial"/>
        </w:rPr>
      </w:pPr>
    </w:p>
    <w:p w14:paraId="0725BCD5" w14:textId="77777777" w:rsidR="00C516B0" w:rsidRDefault="00C516B0">
      <w:pPr>
        <w:pStyle w:val="CoversheetStaticText"/>
        <w:rPr>
          <w:rFonts w:ascii="Arial" w:hAnsi="Arial" w:cs="Arial"/>
        </w:rPr>
      </w:pPr>
    </w:p>
    <w:p w14:paraId="585D2D0C" w14:textId="77777777" w:rsidR="00C516B0" w:rsidRDefault="00C516B0">
      <w:pPr>
        <w:pStyle w:val="CoversheetStaticText"/>
        <w:rPr>
          <w:rFonts w:ascii="Arial" w:hAnsi="Arial" w:cs="Arial"/>
        </w:rPr>
      </w:pPr>
    </w:p>
    <w:p w14:paraId="59D97FCB" w14:textId="77777777" w:rsidR="00C516B0" w:rsidRDefault="00C516B0" w:rsidP="00C516B0">
      <w:pPr>
        <w:pStyle w:val="AdditionalTitle"/>
        <w:jc w:val="center"/>
      </w:pPr>
    </w:p>
    <w:p w14:paraId="1794C604" w14:textId="52A7CABD" w:rsidR="00C516B0" w:rsidRPr="00974EC2" w:rsidRDefault="00C516B0" w:rsidP="00C516B0">
      <w:pPr>
        <w:pStyle w:val="AdditionalTitle"/>
        <w:jc w:val="center"/>
      </w:pPr>
      <w:r w:rsidRPr="00974EC2">
        <w:t xml:space="preserve">Coleg Y </w:t>
      </w:r>
      <w:proofErr w:type="spellStart"/>
      <w:r w:rsidRPr="00974EC2">
        <w:t>Cymoedd</w:t>
      </w:r>
      <w:proofErr w:type="spellEnd"/>
      <w:r w:rsidRPr="00974EC2">
        <w:t xml:space="preserve"> (the “College”)</w:t>
      </w:r>
    </w:p>
    <w:p w14:paraId="1BB071EB" w14:textId="77777777" w:rsidR="00C516B0" w:rsidRPr="00974EC2" w:rsidRDefault="00C516B0" w:rsidP="00C516B0">
      <w:pPr>
        <w:pStyle w:val="AdditionalTitle"/>
        <w:jc w:val="center"/>
      </w:pPr>
    </w:p>
    <w:p w14:paraId="061B461B" w14:textId="77777777" w:rsidR="00CC52C0" w:rsidRPr="00974EC2" w:rsidRDefault="00C516B0" w:rsidP="00C516B0">
      <w:pPr>
        <w:pStyle w:val="AdditionalTitle"/>
        <w:jc w:val="center"/>
      </w:pPr>
      <w:r w:rsidRPr="00974EC2">
        <w:t xml:space="preserve">Invitation to tender for </w:t>
      </w:r>
    </w:p>
    <w:p w14:paraId="6B2CB023" w14:textId="77777777" w:rsidR="00C516B0" w:rsidRPr="00974EC2" w:rsidRDefault="00C516B0" w:rsidP="00C516B0">
      <w:pPr>
        <w:pStyle w:val="AdditionalTitle"/>
        <w:jc w:val="center"/>
      </w:pPr>
    </w:p>
    <w:p w14:paraId="66FFA099" w14:textId="25A93852" w:rsidR="00341702" w:rsidRPr="00974EC2" w:rsidRDefault="00F41DBE" w:rsidP="00A2313C">
      <w:pPr>
        <w:pStyle w:val="Parasubclause1"/>
        <w:jc w:val="center"/>
        <w:rPr>
          <w:b/>
          <w:bCs/>
        </w:rPr>
      </w:pPr>
      <w:r w:rsidRPr="00A2313C">
        <w:rPr>
          <w:b/>
          <w:bCs/>
        </w:rPr>
        <w:t xml:space="preserve">Ground floor </w:t>
      </w:r>
      <w:r w:rsidR="004B21EB" w:rsidRPr="00A2313C">
        <w:rPr>
          <w:b/>
          <w:bCs/>
        </w:rPr>
        <w:t xml:space="preserve">refurbishment of </w:t>
      </w:r>
      <w:r w:rsidR="00640FBC">
        <w:rPr>
          <w:b/>
          <w:bCs/>
        </w:rPr>
        <w:t xml:space="preserve">and interior design for </w:t>
      </w:r>
      <w:r w:rsidR="004B21EB" w:rsidRPr="00A2313C">
        <w:rPr>
          <w:b/>
          <w:bCs/>
        </w:rPr>
        <w:t>4 – 5 existing classrooms at Block D, Nantgarw</w:t>
      </w:r>
      <w:r w:rsidR="00341702" w:rsidRPr="00A2313C">
        <w:rPr>
          <w:b/>
          <w:bCs/>
        </w:rPr>
        <w:t xml:space="preserve"> C</w:t>
      </w:r>
      <w:r w:rsidR="00A2313C" w:rsidRPr="00A2313C">
        <w:rPr>
          <w:b/>
          <w:bCs/>
        </w:rPr>
        <w:t>a</w:t>
      </w:r>
      <w:r w:rsidR="00341702" w:rsidRPr="00A2313C">
        <w:rPr>
          <w:b/>
          <w:bCs/>
        </w:rPr>
        <w:t xml:space="preserve">mpus, </w:t>
      </w:r>
      <w:proofErr w:type="spellStart"/>
      <w:r w:rsidR="00341702" w:rsidRPr="00974EC2">
        <w:rPr>
          <w:b/>
          <w:bCs/>
        </w:rPr>
        <w:t>Heol</w:t>
      </w:r>
      <w:proofErr w:type="spellEnd"/>
      <w:r w:rsidR="00341702" w:rsidRPr="00974EC2">
        <w:rPr>
          <w:b/>
          <w:bCs/>
        </w:rPr>
        <w:t xml:space="preserve"> y Coleg, Nantgarw, Cardiff, CF15 7QY</w:t>
      </w:r>
    </w:p>
    <w:p w14:paraId="15DD6F3B" w14:textId="77C0F1C2" w:rsidR="00C516B0" w:rsidRPr="00974EC2" w:rsidRDefault="00C516B0" w:rsidP="00C516B0">
      <w:pPr>
        <w:pStyle w:val="AdditionalTitle"/>
        <w:jc w:val="center"/>
      </w:pPr>
    </w:p>
    <w:p w14:paraId="5600F1D7" w14:textId="1708ACDC" w:rsidR="00C516B0" w:rsidRPr="00724E66" w:rsidRDefault="00C516B0" w:rsidP="00C516B0">
      <w:pPr>
        <w:pStyle w:val="AdditionalTitle"/>
        <w:jc w:val="center"/>
      </w:pPr>
    </w:p>
    <w:tbl>
      <w:tblPr>
        <w:tblStyle w:val="TableGrid"/>
        <w:tblW w:w="0" w:type="auto"/>
        <w:tblLook w:val="04A0" w:firstRow="1" w:lastRow="0" w:firstColumn="1" w:lastColumn="0" w:noHBand="0" w:noVBand="1"/>
      </w:tblPr>
      <w:tblGrid>
        <w:gridCol w:w="9350"/>
      </w:tblGrid>
      <w:tr w:rsidR="00C516B0" w:rsidRPr="00974EC2" w14:paraId="7C797D5B" w14:textId="77777777">
        <w:tc>
          <w:tcPr>
            <w:tcW w:w="9350" w:type="dxa"/>
            <w:tcBorders>
              <w:top w:val="single" w:sz="4" w:space="0" w:color="auto"/>
              <w:left w:val="single" w:sz="4" w:space="0" w:color="auto"/>
              <w:bottom w:val="single" w:sz="4" w:space="0" w:color="auto"/>
              <w:right w:val="single" w:sz="4" w:space="0" w:color="auto"/>
            </w:tcBorders>
          </w:tcPr>
          <w:p w14:paraId="16CAC879" w14:textId="5A3E210B" w:rsidR="00C516B0" w:rsidRPr="00974EC2" w:rsidRDefault="00C516B0">
            <w:pPr>
              <w:pStyle w:val="Paragraph"/>
              <w:jc w:val="center"/>
            </w:pPr>
            <w:r w:rsidRPr="00974EC2">
              <w:t xml:space="preserve">UNIQUE IDENTIFIER FOR THE PROCUREMENT: </w:t>
            </w:r>
            <w:r w:rsidR="00D54248">
              <w:t>CYC/ALN/N2025</w:t>
            </w:r>
          </w:p>
        </w:tc>
      </w:tr>
      <w:tr w:rsidR="00C516B0" w:rsidRPr="00974EC2" w14:paraId="155D9237" w14:textId="77777777">
        <w:tc>
          <w:tcPr>
            <w:tcW w:w="9350" w:type="dxa"/>
            <w:tcBorders>
              <w:top w:val="single" w:sz="4" w:space="0" w:color="auto"/>
              <w:left w:val="single" w:sz="4" w:space="0" w:color="auto"/>
              <w:bottom w:val="single" w:sz="4" w:space="0" w:color="auto"/>
              <w:right w:val="single" w:sz="4" w:space="0" w:color="auto"/>
            </w:tcBorders>
          </w:tcPr>
          <w:p w14:paraId="5BCAFD20" w14:textId="542DCE19" w:rsidR="00C516B0" w:rsidRPr="00974EC2" w:rsidRDefault="00C516B0">
            <w:pPr>
              <w:pStyle w:val="Paragraph"/>
              <w:jc w:val="center"/>
            </w:pPr>
            <w:r w:rsidRPr="00974EC2">
              <w:t>TENDER RETURN DATE AND TIME</w:t>
            </w:r>
            <w:r w:rsidR="007241DE">
              <w:t>: MONDAY 19</w:t>
            </w:r>
            <w:r w:rsidR="007241DE" w:rsidRPr="00C55779">
              <w:rPr>
                <w:vertAlign w:val="superscript"/>
              </w:rPr>
              <w:t>th</w:t>
            </w:r>
            <w:r w:rsidR="007241DE">
              <w:t xml:space="preserve"> JANUARY 2026 – 12 NOON</w:t>
            </w:r>
          </w:p>
        </w:tc>
      </w:tr>
    </w:tbl>
    <w:p w14:paraId="3118E469" w14:textId="16ECAFB3" w:rsidR="00C516B0" w:rsidRPr="00974EC2" w:rsidRDefault="00C516B0" w:rsidP="00C516B0">
      <w:pPr>
        <w:pStyle w:val="AdditionalTitle"/>
        <w:jc w:val="center"/>
        <w:sectPr w:rsidR="00C516B0" w:rsidRPr="00974EC2">
          <w:footerReference w:type="default" r:id="rId14"/>
          <w:pgSz w:w="12240" w:h="15840"/>
          <w:pgMar w:top="1440" w:right="1440" w:bottom="1440" w:left="1440" w:header="720" w:footer="720" w:gutter="0"/>
          <w:cols w:space="720"/>
        </w:sectPr>
      </w:pPr>
    </w:p>
    <w:p w14:paraId="22FF50E2" w14:textId="77777777" w:rsidR="00492069" w:rsidRPr="00974EC2" w:rsidRDefault="00492069">
      <w:pPr>
        <w:rPr>
          <w:rFonts w:ascii="Arial" w:hAnsi="Arial" w:cs="Arial"/>
        </w:rPr>
        <w:sectPr w:rsidR="00492069" w:rsidRPr="00974EC2">
          <w:type w:val="continuous"/>
          <w:pgSz w:w="12240" w:h="15840"/>
          <w:pgMar w:top="1440" w:right="1440" w:bottom="1440" w:left="1440" w:header="720" w:footer="720" w:gutter="0"/>
          <w:cols w:space="720"/>
        </w:sectPr>
      </w:pPr>
    </w:p>
    <w:p w14:paraId="37CEC58B" w14:textId="77777777" w:rsidR="00CC52C0" w:rsidRPr="00974EC2" w:rsidRDefault="00A01C2C">
      <w:pPr>
        <w:pStyle w:val="HeadingLevel2"/>
      </w:pPr>
      <w:r w:rsidRPr="00974EC2">
        <w:lastRenderedPageBreak/>
        <w:t>CONTENTS</w:t>
      </w:r>
    </w:p>
    <w:p w14:paraId="127D3E5D" w14:textId="77777777" w:rsidR="00CC52C0" w:rsidRPr="00974EC2" w:rsidRDefault="00A01C2C">
      <w:pPr>
        <w:pStyle w:val="HeadingLevel2"/>
      </w:pPr>
      <w:r w:rsidRPr="00974EC2">
        <w:t>____________________________________________________________</w:t>
      </w:r>
    </w:p>
    <w:p w14:paraId="69CE3998" w14:textId="77777777" w:rsidR="00CC52C0" w:rsidRPr="00974EC2" w:rsidRDefault="00A01C2C">
      <w:pPr>
        <w:pStyle w:val="HeadingLevel2"/>
      </w:pPr>
      <w:r w:rsidRPr="00974EC2">
        <w:t>CLAUSE</w:t>
      </w:r>
    </w:p>
    <w:p w14:paraId="1F961261" w14:textId="5ED94203" w:rsidR="00EF3C68" w:rsidRDefault="00A01C2C">
      <w:pPr>
        <w:pStyle w:val="TOC1"/>
        <w:rPr>
          <w:rFonts w:eastAsiaTheme="minorEastAsia"/>
          <w:sz w:val="24"/>
          <w:szCs w:val="24"/>
          <w:lang w:eastAsia="en-GB"/>
        </w:rPr>
      </w:pPr>
      <w:r w:rsidRPr="00974EC2">
        <w:rPr>
          <w:rFonts w:ascii="Arial" w:eastAsia="Arial" w:hAnsi="Arial" w:cs="Arial"/>
          <w:lang w:eastAsia="en-GB"/>
        </w:rPr>
        <w:fldChar w:fldCharType="begin"/>
      </w:r>
      <w:r w:rsidRPr="00974EC2">
        <w:rPr>
          <w:rFonts w:ascii="Arial" w:hAnsi="Arial" w:cs="Arial"/>
          <w:color w:val="000000"/>
        </w:rPr>
        <w:instrText>TOC \t "Title Clause, 1" \h</w:instrText>
      </w:r>
      <w:r w:rsidRPr="00974EC2">
        <w:rPr>
          <w:rFonts w:ascii="Arial" w:eastAsia="Arial" w:hAnsi="Arial" w:cs="Arial"/>
          <w:lang w:eastAsia="en-GB"/>
        </w:rPr>
        <w:fldChar w:fldCharType="separate"/>
      </w:r>
      <w:hyperlink w:anchor="_Toc216178764" w:history="1">
        <w:r w:rsidR="00EF3C68" w:rsidRPr="003B669E">
          <w:rPr>
            <w:rStyle w:val="Hyperlink"/>
          </w:rPr>
          <w:t>1.</w:t>
        </w:r>
        <w:r w:rsidR="00EF3C68">
          <w:rPr>
            <w:rFonts w:eastAsiaTheme="minorEastAsia"/>
            <w:sz w:val="24"/>
            <w:szCs w:val="24"/>
            <w:lang w:eastAsia="en-GB"/>
          </w:rPr>
          <w:tab/>
        </w:r>
        <w:r w:rsidR="00EF3C68" w:rsidRPr="003B669E">
          <w:rPr>
            <w:rStyle w:val="Hyperlink"/>
          </w:rPr>
          <w:t>Introduction and background</w:t>
        </w:r>
        <w:r w:rsidR="00EF3C68">
          <w:tab/>
        </w:r>
        <w:r w:rsidR="00EF3C68">
          <w:fldChar w:fldCharType="begin"/>
        </w:r>
        <w:r w:rsidR="00EF3C68">
          <w:instrText xml:space="preserve"> PAGEREF _Toc216178764 \h </w:instrText>
        </w:r>
        <w:r w:rsidR="00EF3C68">
          <w:fldChar w:fldCharType="separate"/>
        </w:r>
        <w:r w:rsidR="00EF3C68">
          <w:t>2</w:t>
        </w:r>
        <w:r w:rsidR="00EF3C68">
          <w:fldChar w:fldCharType="end"/>
        </w:r>
      </w:hyperlink>
    </w:p>
    <w:p w14:paraId="5B4BD2ED" w14:textId="0833C0C1" w:rsidR="00EF3C68" w:rsidRDefault="00EF3C68">
      <w:pPr>
        <w:pStyle w:val="TOC1"/>
        <w:rPr>
          <w:rFonts w:eastAsiaTheme="minorEastAsia"/>
          <w:sz w:val="24"/>
          <w:szCs w:val="24"/>
          <w:lang w:eastAsia="en-GB"/>
        </w:rPr>
      </w:pPr>
      <w:hyperlink w:anchor="_Toc216178765" w:history="1">
        <w:r w:rsidRPr="003B669E">
          <w:rPr>
            <w:rStyle w:val="Hyperlink"/>
          </w:rPr>
          <w:t>2.</w:t>
        </w:r>
        <w:r>
          <w:rPr>
            <w:rFonts w:eastAsiaTheme="minorEastAsia"/>
            <w:sz w:val="24"/>
            <w:szCs w:val="24"/>
            <w:lang w:eastAsia="en-GB"/>
          </w:rPr>
          <w:tab/>
        </w:r>
        <w:r w:rsidRPr="003B669E">
          <w:rPr>
            <w:rStyle w:val="Hyperlink"/>
          </w:rPr>
          <w:t>Tender Timetable</w:t>
        </w:r>
        <w:r>
          <w:tab/>
        </w:r>
        <w:r>
          <w:fldChar w:fldCharType="begin"/>
        </w:r>
        <w:r>
          <w:instrText xml:space="preserve"> PAGEREF _Toc216178765 \h </w:instrText>
        </w:r>
        <w:r>
          <w:fldChar w:fldCharType="separate"/>
        </w:r>
        <w:r>
          <w:t>6</w:t>
        </w:r>
        <w:r>
          <w:fldChar w:fldCharType="end"/>
        </w:r>
      </w:hyperlink>
    </w:p>
    <w:p w14:paraId="06E7B713" w14:textId="0A04CF23" w:rsidR="00EF3C68" w:rsidRDefault="00EF3C68">
      <w:pPr>
        <w:pStyle w:val="TOC1"/>
        <w:rPr>
          <w:rFonts w:eastAsiaTheme="minorEastAsia"/>
          <w:sz w:val="24"/>
          <w:szCs w:val="24"/>
          <w:lang w:eastAsia="en-GB"/>
        </w:rPr>
      </w:pPr>
      <w:hyperlink w:anchor="_Toc216178766" w:history="1">
        <w:r w:rsidRPr="003B669E">
          <w:rPr>
            <w:rStyle w:val="Hyperlink"/>
          </w:rPr>
          <w:t>3.</w:t>
        </w:r>
        <w:r>
          <w:rPr>
            <w:rFonts w:eastAsiaTheme="minorEastAsia"/>
            <w:sz w:val="24"/>
            <w:szCs w:val="24"/>
            <w:lang w:eastAsia="en-GB"/>
          </w:rPr>
          <w:tab/>
        </w:r>
        <w:r w:rsidRPr="003B669E">
          <w:rPr>
            <w:rStyle w:val="Hyperlink"/>
          </w:rPr>
          <w:t>Tender completion information</w:t>
        </w:r>
        <w:r>
          <w:tab/>
        </w:r>
        <w:r>
          <w:fldChar w:fldCharType="begin"/>
        </w:r>
        <w:r>
          <w:instrText xml:space="preserve"> PAGEREF _Toc216178766 \h </w:instrText>
        </w:r>
        <w:r>
          <w:fldChar w:fldCharType="separate"/>
        </w:r>
        <w:r>
          <w:t>8</w:t>
        </w:r>
        <w:r>
          <w:fldChar w:fldCharType="end"/>
        </w:r>
      </w:hyperlink>
    </w:p>
    <w:p w14:paraId="026719BD" w14:textId="779A0966" w:rsidR="00EF3C68" w:rsidRDefault="00EF3C68">
      <w:pPr>
        <w:pStyle w:val="TOC1"/>
        <w:rPr>
          <w:rFonts w:eastAsiaTheme="minorEastAsia"/>
          <w:sz w:val="24"/>
          <w:szCs w:val="24"/>
          <w:lang w:eastAsia="en-GB"/>
        </w:rPr>
      </w:pPr>
      <w:hyperlink w:anchor="_Toc216178767" w:history="1">
        <w:r w:rsidRPr="003B669E">
          <w:rPr>
            <w:rStyle w:val="Hyperlink"/>
          </w:rPr>
          <w:t>4.</w:t>
        </w:r>
        <w:r>
          <w:rPr>
            <w:rFonts w:eastAsiaTheme="minorEastAsia"/>
            <w:sz w:val="24"/>
            <w:szCs w:val="24"/>
            <w:lang w:eastAsia="en-GB"/>
          </w:rPr>
          <w:tab/>
        </w:r>
        <w:r w:rsidRPr="003B669E">
          <w:rPr>
            <w:rStyle w:val="Hyperlink"/>
          </w:rPr>
          <w:t>Procurement terms and conditions</w:t>
        </w:r>
        <w:r>
          <w:tab/>
        </w:r>
        <w:r>
          <w:fldChar w:fldCharType="begin"/>
        </w:r>
        <w:r>
          <w:instrText xml:space="preserve"> PAGEREF _Toc216178767 \h </w:instrText>
        </w:r>
        <w:r>
          <w:fldChar w:fldCharType="separate"/>
        </w:r>
        <w:r>
          <w:t>12</w:t>
        </w:r>
        <w:r>
          <w:fldChar w:fldCharType="end"/>
        </w:r>
      </w:hyperlink>
    </w:p>
    <w:p w14:paraId="4853263A" w14:textId="7DB55823" w:rsidR="00EF3C68" w:rsidRDefault="00EF3C68">
      <w:pPr>
        <w:pStyle w:val="TOC1"/>
        <w:rPr>
          <w:rFonts w:eastAsiaTheme="minorEastAsia"/>
          <w:sz w:val="24"/>
          <w:szCs w:val="24"/>
          <w:lang w:eastAsia="en-GB"/>
        </w:rPr>
      </w:pPr>
      <w:hyperlink w:anchor="_Toc216178768" w:history="1">
        <w:r w:rsidRPr="003B669E">
          <w:rPr>
            <w:rStyle w:val="Hyperlink"/>
          </w:rPr>
          <w:t>5.</w:t>
        </w:r>
        <w:r>
          <w:rPr>
            <w:rFonts w:eastAsiaTheme="minorEastAsia"/>
            <w:sz w:val="24"/>
            <w:szCs w:val="24"/>
            <w:lang w:eastAsia="en-GB"/>
          </w:rPr>
          <w:tab/>
        </w:r>
        <w:r w:rsidRPr="003B669E">
          <w:rPr>
            <w:rStyle w:val="Hyperlink"/>
          </w:rPr>
          <w:t>Tender Evaluation Model</w:t>
        </w:r>
        <w:r>
          <w:tab/>
        </w:r>
        <w:r>
          <w:fldChar w:fldCharType="begin"/>
        </w:r>
        <w:r>
          <w:instrText xml:space="preserve"> PAGEREF _Toc216178768 \h </w:instrText>
        </w:r>
        <w:r>
          <w:fldChar w:fldCharType="separate"/>
        </w:r>
        <w:r>
          <w:t>16</w:t>
        </w:r>
        <w:r>
          <w:fldChar w:fldCharType="end"/>
        </w:r>
      </w:hyperlink>
    </w:p>
    <w:p w14:paraId="38EE4C40" w14:textId="6067C942" w:rsidR="00EF3C68" w:rsidRDefault="00EF3C68">
      <w:pPr>
        <w:pStyle w:val="TOC1"/>
        <w:rPr>
          <w:rFonts w:eastAsiaTheme="minorEastAsia"/>
          <w:sz w:val="24"/>
          <w:szCs w:val="24"/>
          <w:lang w:eastAsia="en-GB"/>
        </w:rPr>
      </w:pPr>
      <w:hyperlink w:anchor="_Toc216178769" w:history="1">
        <w:r w:rsidRPr="003B669E">
          <w:rPr>
            <w:rStyle w:val="Hyperlink"/>
          </w:rPr>
          <w:t>6.</w:t>
        </w:r>
        <w:r>
          <w:rPr>
            <w:rFonts w:eastAsiaTheme="minorEastAsia"/>
            <w:sz w:val="24"/>
            <w:szCs w:val="24"/>
            <w:lang w:eastAsia="en-GB"/>
          </w:rPr>
          <w:tab/>
        </w:r>
        <w:r w:rsidRPr="003B669E">
          <w:rPr>
            <w:rStyle w:val="Hyperlink"/>
          </w:rPr>
          <w:t>TUPE</w:t>
        </w:r>
        <w:r>
          <w:tab/>
        </w:r>
        <w:r>
          <w:fldChar w:fldCharType="begin"/>
        </w:r>
        <w:r>
          <w:instrText xml:space="preserve"> PAGEREF _Toc216178769 \h </w:instrText>
        </w:r>
        <w:r>
          <w:fldChar w:fldCharType="separate"/>
        </w:r>
        <w:r>
          <w:t>18</w:t>
        </w:r>
        <w:r>
          <w:fldChar w:fldCharType="end"/>
        </w:r>
      </w:hyperlink>
    </w:p>
    <w:p w14:paraId="28F0012D" w14:textId="1D699A8E" w:rsidR="00EF3C68" w:rsidRDefault="00EF3C68">
      <w:pPr>
        <w:pStyle w:val="TOC1"/>
        <w:rPr>
          <w:rFonts w:eastAsiaTheme="minorEastAsia"/>
          <w:sz w:val="24"/>
          <w:szCs w:val="24"/>
          <w:lang w:eastAsia="en-GB"/>
        </w:rPr>
      </w:pPr>
      <w:hyperlink w:anchor="_Toc216178770" w:history="1">
        <w:r w:rsidRPr="003B669E">
          <w:rPr>
            <w:rStyle w:val="Hyperlink"/>
          </w:rPr>
          <w:t>7.</w:t>
        </w:r>
        <w:r>
          <w:rPr>
            <w:rFonts w:eastAsiaTheme="minorEastAsia"/>
            <w:sz w:val="24"/>
            <w:szCs w:val="24"/>
            <w:lang w:eastAsia="en-GB"/>
          </w:rPr>
          <w:tab/>
        </w:r>
        <w:r w:rsidRPr="003B669E">
          <w:rPr>
            <w:rStyle w:val="Hyperlink"/>
          </w:rPr>
          <w:t>Assessment questions for completion by tenderers</w:t>
        </w:r>
        <w:r>
          <w:tab/>
        </w:r>
        <w:r>
          <w:fldChar w:fldCharType="begin"/>
        </w:r>
        <w:r>
          <w:instrText xml:space="preserve"> PAGEREF _Toc216178770 \h </w:instrText>
        </w:r>
        <w:r>
          <w:fldChar w:fldCharType="separate"/>
        </w:r>
        <w:r>
          <w:t>18</w:t>
        </w:r>
        <w:r>
          <w:fldChar w:fldCharType="end"/>
        </w:r>
      </w:hyperlink>
    </w:p>
    <w:p w14:paraId="1A69F198" w14:textId="759038A1" w:rsidR="00EF3C68" w:rsidRDefault="00EF3C68">
      <w:pPr>
        <w:pStyle w:val="TOC1"/>
        <w:rPr>
          <w:rFonts w:eastAsiaTheme="minorEastAsia"/>
          <w:sz w:val="24"/>
          <w:szCs w:val="24"/>
          <w:lang w:eastAsia="en-GB"/>
        </w:rPr>
      </w:pPr>
      <w:hyperlink w:anchor="_Toc216178771" w:history="1">
        <w:r w:rsidRPr="003B669E">
          <w:rPr>
            <w:rStyle w:val="Hyperlink"/>
          </w:rPr>
          <w:t>8.</w:t>
        </w:r>
        <w:r>
          <w:rPr>
            <w:rFonts w:eastAsiaTheme="minorEastAsia"/>
            <w:sz w:val="24"/>
            <w:szCs w:val="24"/>
            <w:lang w:eastAsia="en-GB"/>
          </w:rPr>
          <w:tab/>
        </w:r>
        <w:r w:rsidRPr="003B669E">
          <w:rPr>
            <w:rStyle w:val="Hyperlink"/>
          </w:rPr>
          <w:t>Construction Specific Requirements</w:t>
        </w:r>
        <w:r>
          <w:tab/>
        </w:r>
        <w:r>
          <w:fldChar w:fldCharType="begin"/>
        </w:r>
        <w:r>
          <w:instrText xml:space="preserve"> PAGEREF _Toc216178771 \h </w:instrText>
        </w:r>
        <w:r>
          <w:fldChar w:fldCharType="separate"/>
        </w:r>
        <w:r>
          <w:t>19</w:t>
        </w:r>
        <w:r>
          <w:fldChar w:fldCharType="end"/>
        </w:r>
      </w:hyperlink>
    </w:p>
    <w:p w14:paraId="23363FB1" w14:textId="738F30A4" w:rsidR="00CC52C0" w:rsidRPr="00974EC2" w:rsidRDefault="00A01C2C">
      <w:pPr>
        <w:pStyle w:val="HeadingLevel2"/>
      </w:pPr>
      <w:r w:rsidRPr="00974EC2">
        <w:fldChar w:fldCharType="end"/>
      </w:r>
    </w:p>
    <w:p w14:paraId="549BF0F2" w14:textId="77777777" w:rsidR="00CC52C0" w:rsidRPr="00974EC2" w:rsidRDefault="00CC52C0">
      <w:pPr>
        <w:pStyle w:val="DescriptiveHeading"/>
        <w:sectPr w:rsidR="00CC52C0" w:rsidRPr="00974EC2">
          <w:footerReference w:type="default" r:id="rId15"/>
          <w:pgSz w:w="12240" w:h="15840"/>
          <w:pgMar w:top="1440" w:right="1440" w:bottom="1440" w:left="1440" w:header="720" w:footer="720" w:gutter="0"/>
          <w:pgNumType w:start="1"/>
          <w:cols w:space="720"/>
        </w:sectPr>
      </w:pPr>
    </w:p>
    <w:p w14:paraId="2BF1890C" w14:textId="77777777" w:rsidR="00CC52C0" w:rsidRPr="00974EC2" w:rsidRDefault="00A01C2C">
      <w:pPr>
        <w:pStyle w:val="TitleClause"/>
      </w:pPr>
      <w:r w:rsidRPr="00974EC2">
        <w:lastRenderedPageBreak/>
        <w:fldChar w:fldCharType="begin"/>
      </w:r>
      <w:r w:rsidRPr="00974EC2">
        <w:instrText>TC "1. Introduction and background" \l 1</w:instrText>
      </w:r>
      <w:r w:rsidRPr="00974EC2">
        <w:fldChar w:fldCharType="end"/>
      </w:r>
      <w:bookmarkStart w:id="0" w:name="a1033551"/>
      <w:bookmarkStart w:id="1" w:name="_Toc216178764"/>
      <w:r w:rsidRPr="00974EC2">
        <w:t>Introduction and background</w:t>
      </w:r>
      <w:bookmarkEnd w:id="0"/>
      <w:bookmarkEnd w:id="1"/>
    </w:p>
    <w:p w14:paraId="6C2349DA" w14:textId="77777777" w:rsidR="00CC52C0" w:rsidRPr="00974EC2" w:rsidRDefault="00A01C2C">
      <w:pPr>
        <w:pStyle w:val="Untitledsubclause1"/>
        <w:rPr>
          <w:b/>
        </w:rPr>
      </w:pPr>
      <w:bookmarkStart w:id="2" w:name="a770563"/>
      <w:r w:rsidRPr="00974EC2">
        <w:rPr>
          <w:b/>
        </w:rPr>
        <w:t>Contents of the ITT</w:t>
      </w:r>
      <w:bookmarkEnd w:id="2"/>
    </w:p>
    <w:p w14:paraId="20D52EC0" w14:textId="77777777" w:rsidR="00CC52C0" w:rsidRPr="00974EC2" w:rsidRDefault="00A01C2C">
      <w:pPr>
        <w:pStyle w:val="Parasubclause1"/>
      </w:pPr>
      <w:r w:rsidRPr="00974EC2">
        <w:t>This invitation to tender (</w:t>
      </w:r>
      <w:r w:rsidRPr="00974EC2">
        <w:rPr>
          <w:rStyle w:val="DefTerm"/>
        </w:rPr>
        <w:t>ITT</w:t>
      </w:r>
      <w:r w:rsidRPr="00974EC2">
        <w:t>) comprises:</w:t>
      </w:r>
    </w:p>
    <w:p w14:paraId="2D6F4DA6" w14:textId="5C515C75" w:rsidR="00CC52C0" w:rsidRPr="00974EC2" w:rsidRDefault="00A01C2C">
      <w:pPr>
        <w:pStyle w:val="subclause1Bullet1"/>
      </w:pPr>
      <w:r w:rsidRPr="00974EC2">
        <w:t>Tender completion requirements, evaluation model and schedules.</w:t>
      </w:r>
    </w:p>
    <w:p w14:paraId="2202A13D" w14:textId="56419142" w:rsidR="00CC52C0" w:rsidRDefault="009617E8">
      <w:pPr>
        <w:pStyle w:val="subclause1Bullet1"/>
      </w:pPr>
      <w:r>
        <w:t xml:space="preserve">The </w:t>
      </w:r>
      <w:r w:rsidRPr="00A036F6">
        <w:t>NEC4 Engineering and Construction Contract June 2017 (with amendments January 2019, October 2020 and January 2023) (</w:t>
      </w:r>
      <w:r w:rsidRPr="00E0386B">
        <w:rPr>
          <w:b/>
          <w:bCs/>
        </w:rPr>
        <w:t>NEC ECC</w:t>
      </w:r>
      <w:r w:rsidRPr="00A036F6">
        <w:t>)</w:t>
      </w:r>
      <w:r>
        <w:t xml:space="preserve">, </w:t>
      </w:r>
      <w:r w:rsidR="00A01C2C" w:rsidRPr="00974EC2">
        <w:t>and schedules.</w:t>
      </w:r>
    </w:p>
    <w:p w14:paraId="5527CA52" w14:textId="2EC20661" w:rsidR="00874790" w:rsidRPr="00974EC2" w:rsidRDefault="004843BB">
      <w:pPr>
        <w:pStyle w:val="subclause1Bullet1"/>
      </w:pPr>
      <w:r>
        <w:t>Client Brief</w:t>
      </w:r>
      <w:r w:rsidR="00C810A2">
        <w:t xml:space="preserve"> and Schedule of </w:t>
      </w:r>
      <w:r w:rsidR="004F4BB2">
        <w:t>Accommodation</w:t>
      </w:r>
      <w:r>
        <w:t>.</w:t>
      </w:r>
    </w:p>
    <w:p w14:paraId="59F06305" w14:textId="7C487224" w:rsidR="00CC52C0" w:rsidRPr="00974EC2" w:rsidRDefault="00A01C2C">
      <w:pPr>
        <w:pStyle w:val="subclause1Bullet1"/>
      </w:pPr>
      <w:r w:rsidRPr="00974EC2">
        <w:t>Technical and commercial questions.</w:t>
      </w:r>
    </w:p>
    <w:p w14:paraId="7613AA0E" w14:textId="77777777" w:rsidR="00CC52C0" w:rsidRPr="00974EC2" w:rsidRDefault="00A01C2C">
      <w:pPr>
        <w:pStyle w:val="Untitledsubclause1"/>
        <w:rPr>
          <w:b/>
        </w:rPr>
      </w:pPr>
      <w:bookmarkStart w:id="3" w:name="a293949"/>
      <w:r w:rsidRPr="00974EC2">
        <w:rPr>
          <w:b/>
        </w:rPr>
        <w:t xml:space="preserve">Introduction </w:t>
      </w:r>
      <w:bookmarkEnd w:id="3"/>
    </w:p>
    <w:p w14:paraId="4B37301D" w14:textId="59A279CD" w:rsidR="00AF2DD7" w:rsidRPr="00974EC2" w:rsidRDefault="00A01C2C">
      <w:pPr>
        <w:pStyle w:val="Parasubclause1"/>
      </w:pPr>
      <w:r w:rsidRPr="00974EC2">
        <w:t xml:space="preserve">The </w:t>
      </w:r>
      <w:r w:rsidR="00C516B0" w:rsidRPr="00974EC2">
        <w:t>College</w:t>
      </w:r>
      <w:r w:rsidRPr="00974EC2">
        <w:t xml:space="preserve"> is conducting the procurement using </w:t>
      </w:r>
      <w:r w:rsidR="00C412BD" w:rsidRPr="00974EC2">
        <w:t xml:space="preserve">a competitive tendering procedure. The </w:t>
      </w:r>
      <w:r w:rsidR="00E71BB8">
        <w:t>c</w:t>
      </w:r>
      <w:r w:rsidR="00402F40" w:rsidRPr="00E71BB8">
        <w:t>ontract</w:t>
      </w:r>
      <w:r w:rsidR="007E09CE">
        <w:t xml:space="preserve"> </w:t>
      </w:r>
      <w:r w:rsidR="00402F40" w:rsidRPr="00974EC2">
        <w:t>is a below-threshold, mixed procurement</w:t>
      </w:r>
      <w:r w:rsidR="00AF2DD7" w:rsidRPr="00974EC2">
        <w:t>. The College is exempt from Part 6 of the Procurement Act 2023 (</w:t>
      </w:r>
      <w:r w:rsidR="00AF2DD7" w:rsidRPr="00974EC2">
        <w:rPr>
          <w:b/>
          <w:bCs/>
        </w:rPr>
        <w:t>PA 2023</w:t>
      </w:r>
      <w:r w:rsidR="00AF2DD7" w:rsidRPr="00974EC2">
        <w:t>)</w:t>
      </w:r>
      <w:r w:rsidR="00402F40" w:rsidRPr="00974EC2">
        <w:t xml:space="preserve"> and therefore is not subject to the </w:t>
      </w:r>
      <w:r w:rsidR="00646D9B" w:rsidRPr="00974EC2">
        <w:t>PA 2023 below-threshold requirements</w:t>
      </w:r>
      <w:r w:rsidR="00E443CC" w:rsidRPr="00974EC2">
        <w:t xml:space="preserve">. </w:t>
      </w:r>
      <w:r w:rsidR="00646D9B" w:rsidRPr="00974EC2">
        <w:t>However, for the sake of transparency, t</w:t>
      </w:r>
      <w:r w:rsidR="00AF2DD7" w:rsidRPr="00974EC2">
        <w:t>he College is adopting similar processes to those set out in the PA 2023</w:t>
      </w:r>
      <w:r w:rsidR="00A4069B" w:rsidRPr="00974EC2">
        <w:t xml:space="preserve">, including but not limited to, issuing a </w:t>
      </w:r>
      <w:r w:rsidR="00AB63AC">
        <w:t>t</w:t>
      </w:r>
      <w:r w:rsidR="00A4069B" w:rsidRPr="00974EC2">
        <w:t>ender notice on Sell2Wales</w:t>
      </w:r>
      <w:r w:rsidR="00AF2DD7" w:rsidRPr="00974EC2">
        <w:t xml:space="preserve">. </w:t>
      </w:r>
    </w:p>
    <w:p w14:paraId="6B6FC2DC" w14:textId="3A174CC6" w:rsidR="00CC52C0" w:rsidRPr="00974EC2" w:rsidRDefault="00E443CC">
      <w:pPr>
        <w:pStyle w:val="Parasubclause1"/>
      </w:pPr>
      <w:r w:rsidRPr="00974EC2">
        <w:t>The procurement is being conducted</w:t>
      </w:r>
      <w:r w:rsidR="00A01C2C" w:rsidRPr="00974EC2">
        <w:t xml:space="preserve"> for the purpose of procuring the </w:t>
      </w:r>
      <w:r w:rsidR="00264B56" w:rsidRPr="00974EC2">
        <w:t>works</w:t>
      </w:r>
      <w:r w:rsidR="0064579D" w:rsidRPr="00974EC2">
        <w:t xml:space="preserve"> and services</w:t>
      </w:r>
      <w:r w:rsidR="00A01C2C" w:rsidRPr="00974EC2">
        <w:t xml:space="preserve"> described in the </w:t>
      </w:r>
      <w:r w:rsidR="00F056CE">
        <w:t xml:space="preserve">Client Brief and Schedule of </w:t>
      </w:r>
      <w:r w:rsidR="000C3451">
        <w:t>Accommodation</w:t>
      </w:r>
      <w:r w:rsidR="00A01C2C" w:rsidRPr="00974EC2">
        <w:t xml:space="preserve"> (</w:t>
      </w:r>
      <w:r w:rsidR="00A35445" w:rsidRPr="00974EC2">
        <w:rPr>
          <w:rStyle w:val="DefTerm"/>
        </w:rPr>
        <w:t>Works</w:t>
      </w:r>
      <w:r w:rsidR="00A01C2C" w:rsidRPr="00974EC2">
        <w:t>).</w:t>
      </w:r>
    </w:p>
    <w:p w14:paraId="661B6390" w14:textId="77777777" w:rsidR="00CC52C0" w:rsidRPr="00974EC2" w:rsidRDefault="00A01C2C">
      <w:pPr>
        <w:pStyle w:val="Parasubclause1"/>
        <w:rPr>
          <w:b/>
          <w:bCs/>
        </w:rPr>
      </w:pPr>
      <w:r w:rsidRPr="00974EC2">
        <w:t>This ITT contains further information about the procurement process, including the timetable, how to submit a response (</w:t>
      </w:r>
      <w:r w:rsidRPr="00974EC2">
        <w:rPr>
          <w:b/>
          <w:bCs/>
        </w:rPr>
        <w:t>Tender</w:t>
      </w:r>
      <w:r w:rsidRPr="00974EC2">
        <w:t>), and criteria by which Tenders will be judged (</w:t>
      </w:r>
      <w:r w:rsidRPr="00974EC2">
        <w:rPr>
          <w:b/>
          <w:bCs/>
        </w:rPr>
        <w:t>Award Criteria</w:t>
      </w:r>
      <w:r w:rsidRPr="00974EC2">
        <w:t xml:space="preserve">). </w:t>
      </w:r>
    </w:p>
    <w:p w14:paraId="43C77BB4" w14:textId="77777777" w:rsidR="00CC52C0" w:rsidRPr="00974EC2" w:rsidRDefault="00A01C2C">
      <w:pPr>
        <w:pStyle w:val="Parasubclause1"/>
      </w:pPr>
      <w:r w:rsidRPr="00974EC2">
        <w:rPr>
          <w:b/>
          <w:bCs/>
        </w:rPr>
        <w:t>Please read this document carefully, as failure to comply may result in exclusion from the procurement or rejection of a Tender.</w:t>
      </w:r>
    </w:p>
    <w:p w14:paraId="56E193E9" w14:textId="6F357963" w:rsidR="00CC52C0" w:rsidRPr="00974EC2" w:rsidRDefault="00A01C2C">
      <w:pPr>
        <w:pStyle w:val="Titlesubclause1"/>
      </w:pPr>
      <w:r w:rsidRPr="00974EC2">
        <w:fldChar w:fldCharType="begin"/>
      </w:r>
      <w:r w:rsidRPr="00974EC2">
        <w:instrText xml:space="preserve">TC "1.3 Introduction to the </w:instrText>
      </w:r>
      <w:r w:rsidR="00C516B0" w:rsidRPr="00974EC2">
        <w:instrText>College</w:instrText>
      </w:r>
      <w:r w:rsidRPr="00974EC2">
        <w:instrText>" \l 2</w:instrText>
      </w:r>
      <w:r w:rsidRPr="00974EC2">
        <w:fldChar w:fldCharType="end"/>
      </w:r>
      <w:bookmarkStart w:id="4" w:name="a926689"/>
      <w:r w:rsidRPr="00974EC2">
        <w:t xml:space="preserve">Introduction to the </w:t>
      </w:r>
      <w:r w:rsidR="00C516B0" w:rsidRPr="00974EC2">
        <w:t>College</w:t>
      </w:r>
      <w:bookmarkEnd w:id="4"/>
    </w:p>
    <w:p w14:paraId="26F44496" w14:textId="43F18F48" w:rsidR="00CC52C0" w:rsidRPr="00974EC2" w:rsidRDefault="00E16A5A">
      <w:pPr>
        <w:pStyle w:val="Parasubclause1"/>
      </w:pPr>
      <w:r w:rsidRPr="00974EC2">
        <w:t xml:space="preserve">Coleg y </w:t>
      </w:r>
      <w:proofErr w:type="spellStart"/>
      <w:r w:rsidRPr="00974EC2">
        <w:t>Cymoedd</w:t>
      </w:r>
      <w:proofErr w:type="spellEnd"/>
      <w:r w:rsidRPr="00974EC2">
        <w:t xml:space="preserve"> (meaning College of the valleys) was formed in 2013, following the merger of The College of </w:t>
      </w:r>
      <w:proofErr w:type="spellStart"/>
      <w:r w:rsidRPr="00974EC2">
        <w:t>Ystrad</w:t>
      </w:r>
      <w:proofErr w:type="spellEnd"/>
      <w:r w:rsidRPr="00974EC2">
        <w:t xml:space="preserve"> </w:t>
      </w:r>
      <w:proofErr w:type="spellStart"/>
      <w:r w:rsidRPr="00974EC2">
        <w:t>Mynach</w:t>
      </w:r>
      <w:proofErr w:type="spellEnd"/>
      <w:r w:rsidRPr="00974EC2">
        <w:t xml:space="preserve"> and Coleg Morgannwg to form one of the largest providers of further education and training in South Wales. It is committed to providing high quality, wide ranging and relevant education, and training courses for the local community.</w:t>
      </w:r>
    </w:p>
    <w:p w14:paraId="612F8CFF" w14:textId="65F20724" w:rsidR="00EE4A0A" w:rsidRPr="00974EC2" w:rsidRDefault="00EE4A0A">
      <w:pPr>
        <w:pStyle w:val="Parasubclause1"/>
      </w:pPr>
      <w:r w:rsidRPr="00974EC2">
        <w:t xml:space="preserve">The College is based in </w:t>
      </w:r>
      <w:r w:rsidR="00D54652" w:rsidRPr="00974EC2">
        <w:t>Southeast</w:t>
      </w:r>
      <w:r w:rsidRPr="00974EC2">
        <w:t xml:space="preserve"> Wales and boasts 4 main campuses across the Rhondda Cynon Taff County Borough Council and Caerphilly County Borough Council. </w:t>
      </w:r>
      <w:r w:rsidR="00487BCE" w:rsidRPr="00974EC2">
        <w:t>The Estate is 59,622m</w:t>
      </w:r>
      <w:r w:rsidR="00487BCE" w:rsidRPr="00974EC2">
        <w:rPr>
          <w:vertAlign w:val="superscript"/>
        </w:rPr>
        <w:t>2</w:t>
      </w:r>
      <w:r w:rsidR="00487BCE" w:rsidRPr="00974EC2">
        <w:t xml:space="preserve"> spread over the 4 campuses: Rhondda (10,237m</w:t>
      </w:r>
      <w:r w:rsidR="00487BCE" w:rsidRPr="00974EC2">
        <w:rPr>
          <w:vertAlign w:val="superscript"/>
        </w:rPr>
        <w:t>2</w:t>
      </w:r>
      <w:r w:rsidR="00487BCE" w:rsidRPr="00974EC2">
        <w:t>), Nantgarw (25,891m</w:t>
      </w:r>
      <w:r w:rsidR="00487BCE" w:rsidRPr="00974EC2">
        <w:rPr>
          <w:vertAlign w:val="superscript"/>
        </w:rPr>
        <w:t>2</w:t>
      </w:r>
      <w:r w:rsidR="00487BCE" w:rsidRPr="00974EC2">
        <w:t xml:space="preserve">), </w:t>
      </w:r>
      <w:proofErr w:type="spellStart"/>
      <w:r w:rsidR="00487BCE" w:rsidRPr="00974EC2">
        <w:t>Ystrad</w:t>
      </w:r>
      <w:proofErr w:type="spellEnd"/>
      <w:r w:rsidR="00487BCE" w:rsidRPr="00974EC2">
        <w:t xml:space="preserve"> </w:t>
      </w:r>
      <w:proofErr w:type="spellStart"/>
      <w:r w:rsidR="00487BCE" w:rsidRPr="00974EC2">
        <w:t>Mynach</w:t>
      </w:r>
      <w:proofErr w:type="spellEnd"/>
      <w:r w:rsidR="00487BCE" w:rsidRPr="00974EC2">
        <w:t xml:space="preserve"> (17,323m</w:t>
      </w:r>
      <w:r w:rsidR="00487BCE" w:rsidRPr="00974EC2">
        <w:rPr>
          <w:vertAlign w:val="superscript"/>
        </w:rPr>
        <w:t>2</w:t>
      </w:r>
      <w:r w:rsidR="00487BCE" w:rsidRPr="00974EC2">
        <w:t xml:space="preserve">) and </w:t>
      </w:r>
      <w:r w:rsidR="00F450D4" w:rsidRPr="00974EC2">
        <w:t>Aberdare (6,171m</w:t>
      </w:r>
      <w:r w:rsidR="00F450D4" w:rsidRPr="00974EC2">
        <w:rPr>
          <w:vertAlign w:val="superscript"/>
        </w:rPr>
        <w:t>2</w:t>
      </w:r>
      <w:r w:rsidR="00F450D4" w:rsidRPr="00974EC2">
        <w:t xml:space="preserve">). It offers learning </w:t>
      </w:r>
      <w:r w:rsidR="00F450D4" w:rsidRPr="00974EC2">
        <w:lastRenderedPageBreak/>
        <w:t>provision at outreach centres within local communities. The College holds the investors in people award, many of the campuses also hold awards</w:t>
      </w:r>
      <w:r w:rsidR="004741DC" w:rsidRPr="00974EC2">
        <w:t xml:space="preserve"> for good and outstanding practice. The College has over 12,000 enrolments with an annual turnover of £40 million. The College employs 800 staff. </w:t>
      </w:r>
    </w:p>
    <w:p w14:paraId="1DCBA2E4" w14:textId="403820D1" w:rsidR="00D03BB7" w:rsidRPr="00974EC2" w:rsidRDefault="00FC7D9D" w:rsidP="00D03BB7">
      <w:pPr>
        <w:pStyle w:val="Parasubclause1"/>
      </w:pPr>
      <w:r w:rsidRPr="00974EC2">
        <w:t xml:space="preserve">Further details about the </w:t>
      </w:r>
      <w:r w:rsidR="00556588">
        <w:t xml:space="preserve">relevant </w:t>
      </w:r>
      <w:r w:rsidRPr="00974EC2">
        <w:t xml:space="preserve">campus </w:t>
      </w:r>
      <w:proofErr w:type="gramStart"/>
      <w:r w:rsidRPr="00974EC2">
        <w:t>is</w:t>
      </w:r>
      <w:proofErr w:type="gramEnd"/>
      <w:r w:rsidRPr="00974EC2">
        <w:t xml:space="preserve"> set out below:</w:t>
      </w:r>
    </w:p>
    <w:p w14:paraId="2A99D40D" w14:textId="77777777" w:rsidR="00D03BB7" w:rsidRPr="00974EC2" w:rsidRDefault="00D03BB7" w:rsidP="00D03BB7">
      <w:pPr>
        <w:pStyle w:val="Parasubclause1"/>
        <w:rPr>
          <w:b/>
          <w:bCs/>
        </w:rPr>
      </w:pPr>
      <w:r w:rsidRPr="00974EC2">
        <w:rPr>
          <w:b/>
          <w:bCs/>
          <w:u w:val="single"/>
        </w:rPr>
        <w:t>Nantgarw Campus</w:t>
      </w:r>
      <w:r w:rsidRPr="00974EC2">
        <w:rPr>
          <w:b/>
          <w:bCs/>
        </w:rPr>
        <w:t xml:space="preserve"> – </w:t>
      </w:r>
      <w:proofErr w:type="spellStart"/>
      <w:r w:rsidRPr="00974EC2">
        <w:rPr>
          <w:b/>
          <w:bCs/>
        </w:rPr>
        <w:t>Heol</w:t>
      </w:r>
      <w:proofErr w:type="spellEnd"/>
      <w:r w:rsidRPr="00974EC2">
        <w:rPr>
          <w:b/>
          <w:bCs/>
        </w:rPr>
        <w:t xml:space="preserve"> y Coleg, Nantgarw, Cardiff, CF15 7QY</w:t>
      </w:r>
    </w:p>
    <w:p w14:paraId="6A68B80F" w14:textId="77777777" w:rsidR="00D03BB7" w:rsidRPr="00974EC2" w:rsidRDefault="00D03BB7" w:rsidP="00D03BB7">
      <w:pPr>
        <w:pStyle w:val="Parasubclause1"/>
      </w:pPr>
      <w:r w:rsidRPr="00974EC2">
        <w:t xml:space="preserve">The Nantgarw Campus has buildings which have been designed to meet the college’s changing and diverse curriculum and to provide staff and over 3,000 students with up to date, modern facilities.  The newest building designed over four floors incorporates facilities for Computing, Information Technology, Science, Care &amp; Childhood Studies, Business &amp; Professional Studies, Sport, Catering, Hair &amp; Beauty, Music and Performing Arts along with a purpose-built state of the art Learning Centre, in addition the Advance Learning programme offers a choice of more than 24 A Level subjects taught in Advance Learning facilities.  </w:t>
      </w:r>
    </w:p>
    <w:p w14:paraId="53995BB0" w14:textId="77777777" w:rsidR="00D03BB7" w:rsidRPr="00974EC2" w:rsidRDefault="00D03BB7" w:rsidP="00D03BB7">
      <w:pPr>
        <w:pStyle w:val="Parasubclause1"/>
      </w:pPr>
      <w:r w:rsidRPr="00974EC2">
        <w:t xml:space="preserve">The Boulevard within the building includes </w:t>
      </w:r>
      <w:proofErr w:type="gramStart"/>
      <w:r w:rsidRPr="00974EC2">
        <w:t>a number of</w:t>
      </w:r>
      <w:proofErr w:type="gramEnd"/>
      <w:r w:rsidRPr="00974EC2">
        <w:t xml:space="preserve"> facilities – a Gym, Crèche and Learning Centre in addition to a training restaurant, a hair and beauty salon and large spaces for music and performing arts.  These facilities are open to the public and local businesses.  A high-quality conference and training facility is also included in the building to support the needs of businesses in the region.  </w:t>
      </w:r>
    </w:p>
    <w:p w14:paraId="0E5D6A9A" w14:textId="77777777" w:rsidR="00D03BB7" w:rsidRPr="00974EC2" w:rsidRDefault="00D03BB7" w:rsidP="00D03BB7">
      <w:pPr>
        <w:pStyle w:val="Parasubclause1"/>
      </w:pPr>
      <w:r w:rsidRPr="00974EC2">
        <w:t xml:space="preserve">In addition, further buildings on the campus are dedicated to Engineering &amp; Construction with their well-established links with industry providing courses and apprenticeships in Mechanical Electrical/Electronic and Aerospace Engineering, Plumbing, Carpentry and Brickwork.  The Centre for Art &amp; Design Technology also on the Nantgarw campus includes large light purpose designed studios and specialist facilities for Photography, Graphics, Costume, Fashion, Textiles, Printmaking &amp; 3D Design.  </w:t>
      </w:r>
    </w:p>
    <w:p w14:paraId="602E096A" w14:textId="77777777" w:rsidR="00D03BB7" w:rsidRPr="00974EC2" w:rsidRDefault="00D03BB7" w:rsidP="00D03BB7">
      <w:pPr>
        <w:pStyle w:val="Parasubclause1"/>
        <w:rPr>
          <w:b/>
          <w:bCs/>
        </w:rPr>
      </w:pPr>
      <w:r w:rsidRPr="00974EC2">
        <w:rPr>
          <w:b/>
          <w:bCs/>
        </w:rPr>
        <w:t xml:space="preserve">Appendix I – Campus Arial Photo </w:t>
      </w:r>
    </w:p>
    <w:p w14:paraId="763D59A8" w14:textId="70AB8F34" w:rsidR="00D03BB7" w:rsidRPr="00974EC2" w:rsidRDefault="00D03BB7" w:rsidP="00D03BB7">
      <w:pPr>
        <w:pStyle w:val="Parasubclause1"/>
      </w:pPr>
      <w:r w:rsidRPr="00974EC2">
        <w:t>The College offer a wide range of Full and Part Time courses from Entry to Degree Leve</w:t>
      </w:r>
      <w:r w:rsidR="00594F8F" w:rsidRPr="00974EC2">
        <w:t>l</w:t>
      </w:r>
      <w:r w:rsidRPr="00974EC2">
        <w:t xml:space="preserve"> in over 15 Curriculum areas.  </w:t>
      </w:r>
    </w:p>
    <w:p w14:paraId="2AA579EB" w14:textId="77777777" w:rsidR="00D03BB7" w:rsidRPr="00974EC2" w:rsidRDefault="00D03BB7" w:rsidP="00D03BB7">
      <w:pPr>
        <w:pStyle w:val="Parasubclause1"/>
      </w:pPr>
      <w:r w:rsidRPr="00974EC2">
        <w:t xml:space="preserve">Working in partnership with more than 800 employers, the College’s Business Services Team offer a wide range of Apprenticeship and Bespoke Commercial Training Packages.  </w:t>
      </w:r>
    </w:p>
    <w:p w14:paraId="2942F7D3" w14:textId="3E7606D0" w:rsidR="00D03BB7" w:rsidRPr="00974EC2" w:rsidRDefault="00D03BB7" w:rsidP="00D03BB7">
      <w:pPr>
        <w:pStyle w:val="Parasubclause1"/>
      </w:pPr>
      <w:r w:rsidRPr="00974EC2">
        <w:t>The College has invested significantly in its facilities in recent years with standout projects including the Nantga</w:t>
      </w:r>
      <w:r w:rsidR="00266B59" w:rsidRPr="00974EC2">
        <w:t>r</w:t>
      </w:r>
      <w:r w:rsidRPr="00974EC2">
        <w:t>w Campus building (a £40 million award winning campus), Aberdare Campus (a £22 million campus opened in 2017), state of the art Railway Training and Motor Vehicle Facilities.</w:t>
      </w:r>
    </w:p>
    <w:p w14:paraId="2E9C63BA" w14:textId="2134B901" w:rsidR="00D03BB7" w:rsidRPr="00974EC2" w:rsidRDefault="00D03BB7" w:rsidP="00D03BB7">
      <w:pPr>
        <w:pStyle w:val="Parasubclause1"/>
      </w:pPr>
      <w:r w:rsidRPr="00974EC2">
        <w:rPr>
          <w:b/>
          <w:bCs/>
        </w:rPr>
        <w:lastRenderedPageBreak/>
        <w:t>Mission</w:t>
      </w:r>
      <w:r w:rsidR="000C26CC" w:rsidRPr="00974EC2">
        <w:rPr>
          <w:b/>
          <w:bCs/>
        </w:rPr>
        <w:br/>
      </w:r>
      <w:r w:rsidRPr="00974EC2">
        <w:t xml:space="preserve">Our mission is your future success.  </w:t>
      </w:r>
    </w:p>
    <w:p w14:paraId="1AE865DE" w14:textId="1A1E1595" w:rsidR="00D03BB7" w:rsidRPr="00974EC2" w:rsidRDefault="00D03BB7" w:rsidP="00D03BB7">
      <w:pPr>
        <w:pStyle w:val="Parasubclause1"/>
      </w:pPr>
      <w:r w:rsidRPr="00974EC2">
        <w:rPr>
          <w:b/>
          <w:bCs/>
        </w:rPr>
        <w:t>Vision</w:t>
      </w:r>
      <w:r w:rsidR="000C26CC" w:rsidRPr="00974EC2">
        <w:rPr>
          <w:b/>
          <w:bCs/>
        </w:rPr>
        <w:br/>
      </w:r>
      <w:r w:rsidRPr="00974EC2">
        <w:t xml:space="preserve">To be recognised as an excellent College by learners, staff, business and communities.  </w:t>
      </w:r>
    </w:p>
    <w:p w14:paraId="1BC77BA8" w14:textId="31D5C66B" w:rsidR="00D03BB7" w:rsidRPr="00974EC2" w:rsidRDefault="00D03BB7" w:rsidP="004B7409">
      <w:pPr>
        <w:pStyle w:val="Parasubclause1"/>
        <w:jc w:val="left"/>
      </w:pPr>
      <w:r w:rsidRPr="00974EC2">
        <w:rPr>
          <w:b/>
          <w:bCs/>
        </w:rPr>
        <w:t>Core Values</w:t>
      </w:r>
      <w:r w:rsidR="00040FFD" w:rsidRPr="00974EC2">
        <w:rPr>
          <w:b/>
          <w:bCs/>
        </w:rPr>
        <w:br/>
      </w:r>
      <w:r w:rsidRPr="00974EC2">
        <w:t>Our Core Values are that:</w:t>
      </w:r>
    </w:p>
    <w:p w14:paraId="4EDFA802" w14:textId="77777777" w:rsidR="00D03BB7" w:rsidRPr="00974EC2" w:rsidRDefault="00D03BB7" w:rsidP="004B7409">
      <w:pPr>
        <w:pStyle w:val="Parasubclause1"/>
        <w:numPr>
          <w:ilvl w:val="0"/>
          <w:numId w:val="49"/>
        </w:numPr>
        <w:spacing w:before="0" w:after="0"/>
      </w:pPr>
      <w:r w:rsidRPr="00974EC2">
        <w:t xml:space="preserve">We focus on learners.  </w:t>
      </w:r>
    </w:p>
    <w:p w14:paraId="753D359B" w14:textId="77777777" w:rsidR="00D03BB7" w:rsidRPr="00974EC2" w:rsidRDefault="00D03BB7" w:rsidP="004B7409">
      <w:pPr>
        <w:pStyle w:val="Parasubclause1"/>
        <w:numPr>
          <w:ilvl w:val="0"/>
          <w:numId w:val="49"/>
        </w:numPr>
        <w:spacing w:before="0" w:after="0"/>
      </w:pPr>
      <w:r w:rsidRPr="00974EC2">
        <w:t xml:space="preserve">We strive for high performance.  </w:t>
      </w:r>
    </w:p>
    <w:p w14:paraId="483E7631" w14:textId="77777777" w:rsidR="00D03BB7" w:rsidRPr="00974EC2" w:rsidRDefault="00D03BB7" w:rsidP="004B7409">
      <w:pPr>
        <w:pStyle w:val="Parasubclause1"/>
        <w:numPr>
          <w:ilvl w:val="0"/>
          <w:numId w:val="49"/>
        </w:numPr>
        <w:spacing w:before="0" w:after="0"/>
      </w:pPr>
      <w:r w:rsidRPr="00974EC2">
        <w:t xml:space="preserve">We value and invest in all people.  </w:t>
      </w:r>
    </w:p>
    <w:p w14:paraId="1F490B72" w14:textId="77777777" w:rsidR="00D03BB7" w:rsidRPr="00974EC2" w:rsidRDefault="00D03BB7" w:rsidP="004B7409">
      <w:pPr>
        <w:pStyle w:val="Parasubclause1"/>
        <w:numPr>
          <w:ilvl w:val="0"/>
          <w:numId w:val="49"/>
        </w:numPr>
        <w:spacing w:before="0" w:after="0"/>
      </w:pPr>
      <w:r w:rsidRPr="00974EC2">
        <w:t xml:space="preserve">We seek continuous improvement.  </w:t>
      </w:r>
    </w:p>
    <w:p w14:paraId="3232F425" w14:textId="5347956F" w:rsidR="00C3346A" w:rsidRDefault="00D03BB7" w:rsidP="002F66B7">
      <w:pPr>
        <w:pStyle w:val="Parasubclause1"/>
        <w:numPr>
          <w:ilvl w:val="0"/>
          <w:numId w:val="49"/>
        </w:numPr>
        <w:spacing w:before="0"/>
      </w:pPr>
      <w:r w:rsidRPr="00974EC2">
        <w:t>We are aspirational, we listen and collaborate.</w:t>
      </w:r>
    </w:p>
    <w:p w14:paraId="6A62CA03" w14:textId="00847C7D" w:rsidR="00D54652" w:rsidRDefault="00C3346A" w:rsidP="00C3346A">
      <w:pPr>
        <w:pStyle w:val="Untitledsubclause1"/>
        <w:rPr>
          <w:b/>
        </w:rPr>
      </w:pPr>
      <w:r>
        <w:rPr>
          <w:b/>
        </w:rPr>
        <w:t>Operational Hours</w:t>
      </w:r>
    </w:p>
    <w:p w14:paraId="7AB914B8" w14:textId="77777777" w:rsidR="00776A52" w:rsidRDefault="00776A52" w:rsidP="00776A52">
      <w:pPr>
        <w:pStyle w:val="Parasubclause1"/>
      </w:pPr>
      <w:r w:rsidRPr="0093597D">
        <w:t>The hours of operations for the sake of this contract are in accordance with the definitions of ‘College Operating Hours’ and ‘Out of College Operating Hours’.  These being:</w:t>
      </w:r>
    </w:p>
    <w:p w14:paraId="056E3CD8" w14:textId="6E78A01D" w:rsidR="00776A52" w:rsidRPr="002F66B7" w:rsidRDefault="00C7208F" w:rsidP="00776A52">
      <w:pPr>
        <w:pStyle w:val="Parasubclause1"/>
        <w:rPr>
          <w:b/>
          <w:bCs/>
        </w:rPr>
      </w:pPr>
      <w:r w:rsidRPr="002F66B7">
        <w:rPr>
          <w:b/>
          <w:bCs/>
        </w:rPr>
        <w:t>College Operating Hours:</w:t>
      </w:r>
    </w:p>
    <w:p w14:paraId="137A761C" w14:textId="0CABBE75" w:rsidR="00C7208F" w:rsidRDefault="00EC1111" w:rsidP="00776A52">
      <w:pPr>
        <w:pStyle w:val="Parasubclause1"/>
      </w:pPr>
      <w:r>
        <w:t>08:00-21:00 hours Monday to Thursday</w:t>
      </w:r>
    </w:p>
    <w:p w14:paraId="5FA44BF1" w14:textId="6324572B" w:rsidR="00EC1111" w:rsidRDefault="00C15E54" w:rsidP="00776A52">
      <w:pPr>
        <w:pStyle w:val="Parasubclause1"/>
      </w:pPr>
      <w:r>
        <w:t>08:00-17:00 hours Friday</w:t>
      </w:r>
    </w:p>
    <w:p w14:paraId="7ACE8759" w14:textId="5C53FBAF" w:rsidR="00C15E54" w:rsidRDefault="00C15E54" w:rsidP="00776A52">
      <w:pPr>
        <w:pStyle w:val="Parasubclause1"/>
      </w:pPr>
      <w:r>
        <w:t>08:00-13:00 hours Saturday</w:t>
      </w:r>
      <w:r w:rsidR="00F6619F">
        <w:t>s</w:t>
      </w:r>
      <w:r>
        <w:t xml:space="preserve"> (At Nantgarw only)</w:t>
      </w:r>
    </w:p>
    <w:p w14:paraId="45D0B61D" w14:textId="59E662F7" w:rsidR="00C15E54" w:rsidRDefault="009F472B" w:rsidP="00776A52">
      <w:pPr>
        <w:pStyle w:val="Parasubclause1"/>
      </w:pPr>
      <w:r>
        <w:t>CLOSED Sundays</w:t>
      </w:r>
    </w:p>
    <w:p w14:paraId="73150399" w14:textId="4D9F310F" w:rsidR="009F472B" w:rsidRPr="002F66B7" w:rsidRDefault="009F472B" w:rsidP="00776A52">
      <w:pPr>
        <w:pStyle w:val="Parasubclause1"/>
        <w:rPr>
          <w:b/>
          <w:bCs/>
        </w:rPr>
      </w:pPr>
      <w:r w:rsidRPr="002F66B7">
        <w:rPr>
          <w:b/>
          <w:bCs/>
        </w:rPr>
        <w:t>Out of College Operating Hours:</w:t>
      </w:r>
    </w:p>
    <w:p w14:paraId="481D56C8" w14:textId="76A16B18" w:rsidR="009F472B" w:rsidRDefault="009F472B" w:rsidP="00776A52">
      <w:pPr>
        <w:pStyle w:val="Parasubclause1"/>
      </w:pPr>
      <w:r>
        <w:t>21:00-08:00</w:t>
      </w:r>
      <w:r w:rsidR="006D6064">
        <w:t xml:space="preserve"> hours </w:t>
      </w:r>
      <w:r w:rsidR="003B6086">
        <w:t>Tuesday</w:t>
      </w:r>
      <w:r w:rsidR="006D6064">
        <w:t xml:space="preserve"> to Friday</w:t>
      </w:r>
    </w:p>
    <w:p w14:paraId="48658B61" w14:textId="4D153038" w:rsidR="006D6064" w:rsidRDefault="006D6064" w:rsidP="00776A52">
      <w:pPr>
        <w:pStyle w:val="Parasubclause1"/>
      </w:pPr>
      <w:r>
        <w:t>17:00-08:00 hours Friday to Saturday</w:t>
      </w:r>
    </w:p>
    <w:p w14:paraId="482B2717" w14:textId="4B5E6FE0" w:rsidR="006D6064" w:rsidRPr="006D6064" w:rsidRDefault="006D6064" w:rsidP="002F66B7">
      <w:pPr>
        <w:pStyle w:val="Parasubclause1"/>
      </w:pPr>
      <w:r>
        <w:t>13:00 hours Saturday to 08:00 hours Monday</w:t>
      </w:r>
    </w:p>
    <w:p w14:paraId="03F7FA66" w14:textId="251290DA" w:rsidR="00CC52C0" w:rsidRPr="00974EC2" w:rsidRDefault="00A01C2C">
      <w:pPr>
        <w:pStyle w:val="Untitledsubclause1"/>
        <w:rPr>
          <w:b/>
        </w:rPr>
      </w:pPr>
      <w:bookmarkStart w:id="5" w:name="a240542"/>
      <w:r w:rsidRPr="00974EC2">
        <w:rPr>
          <w:b/>
        </w:rPr>
        <w:t xml:space="preserve">Overview of the </w:t>
      </w:r>
      <w:r w:rsidR="00A35445" w:rsidRPr="00974EC2">
        <w:rPr>
          <w:b/>
        </w:rPr>
        <w:t>Works</w:t>
      </w:r>
      <w:r w:rsidRPr="00974EC2">
        <w:rPr>
          <w:b/>
        </w:rPr>
        <w:t xml:space="preserve"> requirements</w:t>
      </w:r>
      <w:bookmarkEnd w:id="5"/>
    </w:p>
    <w:p w14:paraId="1F504909" w14:textId="77777777" w:rsidR="00B7267A" w:rsidRPr="00745026" w:rsidRDefault="00B7267A" w:rsidP="00B7267A">
      <w:pPr>
        <w:rPr>
          <w:b/>
          <w:bCs/>
        </w:rPr>
      </w:pPr>
      <w:r w:rsidRPr="00745026">
        <w:rPr>
          <w:b/>
          <w:bCs/>
        </w:rPr>
        <w:t xml:space="preserve">What ILS Means at Coleg y </w:t>
      </w:r>
      <w:proofErr w:type="spellStart"/>
      <w:r w:rsidRPr="00745026">
        <w:rPr>
          <w:b/>
          <w:bCs/>
        </w:rPr>
        <w:t>Cymoedd</w:t>
      </w:r>
      <w:proofErr w:type="spellEnd"/>
      <w:r w:rsidRPr="00745026">
        <w:rPr>
          <w:b/>
          <w:bCs/>
        </w:rPr>
        <w:t xml:space="preserve"> </w:t>
      </w:r>
    </w:p>
    <w:p w14:paraId="59B1EA45" w14:textId="77777777" w:rsidR="00B7267A" w:rsidRPr="00B7267A" w:rsidRDefault="00B7267A" w:rsidP="00B7267A">
      <w:pPr>
        <w:rPr>
          <w:rFonts w:ascii="Arial" w:hAnsi="Arial" w:cs="Arial"/>
        </w:rPr>
      </w:pPr>
      <w:r w:rsidRPr="00B7267A">
        <w:rPr>
          <w:rFonts w:ascii="Arial" w:hAnsi="Arial" w:cs="Arial"/>
        </w:rPr>
        <w:t>Independent Life Skills (ILS) provides a highly personalised, experiential curriculum for learners aged 16–25 with a wide range of additional learning needs. Rooted in the Curriculum for Wales four purposes and underpinned by the RARPA framework, the ILS provision is designed to help learners become increasingly independent, confident, and prepared for their next steps after college.</w:t>
      </w:r>
      <w:r w:rsidRPr="00B7267A">
        <w:rPr>
          <w:rFonts w:ascii="Arial" w:hAnsi="Arial" w:cs="Arial"/>
        </w:rPr>
        <w:br/>
        <w:t xml:space="preserve">We would like our approach to emphasises real-life, practical learning experiences where </w:t>
      </w:r>
      <w:r w:rsidRPr="00B7267A">
        <w:rPr>
          <w:rFonts w:ascii="Arial" w:hAnsi="Arial" w:cs="Arial"/>
        </w:rPr>
        <w:lastRenderedPageBreak/>
        <w:t>learners develop essential skills for independent living, employability and community participation. Currently, sessions focus on communication, problem-solving, managing daily routines, self-care, cooking, budgeting, social interaction and everyday life skills -all delivered through authentic, meaningful tasks rather than traditional classroom-based teaching. Above all, ILS aims to give every learner a sense of agency, dignity and success by enabling them to take ownership of their progress and achievements.</w:t>
      </w:r>
    </w:p>
    <w:p w14:paraId="435C3B5B" w14:textId="77777777" w:rsidR="00B7267A" w:rsidRPr="00B7267A" w:rsidRDefault="00B7267A" w:rsidP="00B7267A">
      <w:pPr>
        <w:rPr>
          <w:rFonts w:ascii="Arial" w:hAnsi="Arial" w:cs="Arial"/>
          <w:b/>
          <w:bCs/>
        </w:rPr>
      </w:pPr>
      <w:r w:rsidRPr="00B7267A">
        <w:rPr>
          <w:rFonts w:ascii="Arial" w:hAnsi="Arial" w:cs="Arial"/>
          <w:b/>
          <w:bCs/>
        </w:rPr>
        <w:t>Why This Work Is Needed</w:t>
      </w:r>
    </w:p>
    <w:p w14:paraId="5FD12383" w14:textId="77777777" w:rsidR="00B7267A" w:rsidRPr="00B7267A" w:rsidRDefault="00B7267A" w:rsidP="00B7267A">
      <w:pPr>
        <w:rPr>
          <w:rFonts w:ascii="Arial" w:hAnsi="Arial" w:cs="Arial"/>
        </w:rPr>
      </w:pPr>
      <w:r w:rsidRPr="00B7267A">
        <w:rPr>
          <w:rFonts w:ascii="Arial" w:hAnsi="Arial" w:cs="Arial"/>
        </w:rPr>
        <w:t>Many of our current teaching spaces no longer reflect the learning methods required to deliver a modern, hands-on ILS curriculum. While our staff are skilled in adapting activities, the existing rooms can limit opportunities for learners to practise independence safely and meaningfully.</w:t>
      </w:r>
      <w:r w:rsidRPr="00B7267A">
        <w:rPr>
          <w:rFonts w:ascii="Arial" w:hAnsi="Arial" w:cs="Arial"/>
        </w:rPr>
        <w:br/>
        <w:t>As the ALNET reforms continue to shape FE provision in Wales, learners with ALN require environments that are flexible, accessible and designed around their sensory, social, and practical needs. To fully implement RARPA- which relies on demonstrating progress through purposeful, personalised activity- our physical learning environment must mirror the everyday contexts in which these skills are used.</w:t>
      </w:r>
      <w:r w:rsidRPr="00B7267A">
        <w:rPr>
          <w:rFonts w:ascii="Arial" w:hAnsi="Arial" w:cs="Arial"/>
        </w:rPr>
        <w:br/>
        <w:t>The refurbishment is therefore essential to ensure our learning spaces match the ambition of our curriculum and provide an environment where learners can genuinely thrive.</w:t>
      </w:r>
    </w:p>
    <w:p w14:paraId="0AFA6C50" w14:textId="77777777" w:rsidR="00B7267A" w:rsidRPr="00B7267A" w:rsidRDefault="00B7267A" w:rsidP="00B7267A">
      <w:pPr>
        <w:rPr>
          <w:rFonts w:ascii="Arial" w:hAnsi="Arial" w:cs="Arial"/>
          <w:b/>
          <w:bCs/>
        </w:rPr>
      </w:pPr>
      <w:r w:rsidRPr="00B7267A">
        <w:rPr>
          <w:rFonts w:ascii="Arial" w:hAnsi="Arial" w:cs="Arial"/>
          <w:b/>
          <w:bCs/>
        </w:rPr>
        <w:t>What We Aim to Achieve Through the New Refurbished Rooms</w:t>
      </w:r>
    </w:p>
    <w:p w14:paraId="3199FB8C" w14:textId="77777777" w:rsidR="00B7267A" w:rsidRPr="00B7267A" w:rsidRDefault="00B7267A" w:rsidP="00B7267A">
      <w:pPr>
        <w:rPr>
          <w:rFonts w:ascii="Arial" w:hAnsi="Arial" w:cs="Arial"/>
        </w:rPr>
      </w:pPr>
      <w:r w:rsidRPr="00B7267A">
        <w:rPr>
          <w:rFonts w:ascii="Arial" w:hAnsi="Arial" w:cs="Arial"/>
        </w:rPr>
        <w:t>The redesign will create flexible, multi-purpose learning environments that replicate real-life home and community settings. This includes open, spacious rooms that can be partitioned to meet different needs- from small-group focused sessions to larger practical activities.</w:t>
      </w:r>
      <w:r w:rsidRPr="00B7267A">
        <w:rPr>
          <w:rFonts w:ascii="Arial" w:hAnsi="Arial" w:cs="Arial"/>
        </w:rPr>
        <w:br/>
      </w:r>
    </w:p>
    <w:p w14:paraId="7B53FB01" w14:textId="77777777" w:rsidR="00B7267A" w:rsidRPr="00B7267A" w:rsidRDefault="00B7267A" w:rsidP="00B7267A">
      <w:pPr>
        <w:rPr>
          <w:rFonts w:ascii="Arial" w:hAnsi="Arial" w:cs="Arial"/>
        </w:rPr>
      </w:pPr>
      <w:r w:rsidRPr="00B7267A">
        <w:rPr>
          <w:rFonts w:ascii="Arial" w:hAnsi="Arial" w:cs="Arial"/>
        </w:rPr>
        <w:t>The vision is to create environments that support:</w:t>
      </w:r>
    </w:p>
    <w:p w14:paraId="5FD14AB3" w14:textId="77777777" w:rsidR="00B7267A" w:rsidRPr="00B7267A" w:rsidRDefault="00B7267A" w:rsidP="00B7267A">
      <w:pPr>
        <w:spacing w:line="278" w:lineRule="auto"/>
        <w:ind w:left="720"/>
        <w:rPr>
          <w:rFonts w:ascii="Arial" w:hAnsi="Arial" w:cs="Arial"/>
        </w:rPr>
      </w:pPr>
    </w:p>
    <w:p w14:paraId="7B2BA03F" w14:textId="77777777" w:rsidR="00B7267A" w:rsidRPr="00B7267A" w:rsidRDefault="00B7267A" w:rsidP="00B7267A">
      <w:pPr>
        <w:numPr>
          <w:ilvl w:val="0"/>
          <w:numId w:val="71"/>
        </w:numPr>
        <w:spacing w:line="278" w:lineRule="auto"/>
        <w:rPr>
          <w:rFonts w:ascii="Arial" w:hAnsi="Arial" w:cs="Arial"/>
        </w:rPr>
      </w:pPr>
      <w:r w:rsidRPr="00B7267A">
        <w:rPr>
          <w:rFonts w:ascii="Arial" w:hAnsi="Arial" w:cs="Arial"/>
          <w:b/>
          <w:bCs/>
        </w:rPr>
        <w:t>Authentic independent living practice-</w:t>
      </w:r>
      <w:r w:rsidRPr="00B7267A">
        <w:rPr>
          <w:rFonts w:ascii="Arial" w:hAnsi="Arial" w:cs="Arial"/>
        </w:rPr>
        <w:t xml:space="preserve"> including kitchen, laundry and home-management areas.</w:t>
      </w:r>
    </w:p>
    <w:p w14:paraId="53AF8E51" w14:textId="77777777" w:rsidR="00B7267A" w:rsidRPr="00B7267A" w:rsidRDefault="00B7267A" w:rsidP="00B7267A">
      <w:pPr>
        <w:numPr>
          <w:ilvl w:val="0"/>
          <w:numId w:val="71"/>
        </w:numPr>
        <w:spacing w:line="278" w:lineRule="auto"/>
        <w:rPr>
          <w:rFonts w:ascii="Arial" w:hAnsi="Arial" w:cs="Arial"/>
        </w:rPr>
      </w:pPr>
      <w:r w:rsidRPr="00B7267A">
        <w:rPr>
          <w:rFonts w:ascii="Arial" w:hAnsi="Arial" w:cs="Arial"/>
          <w:b/>
          <w:bCs/>
        </w:rPr>
        <w:t xml:space="preserve">Hands-on, experiential learning- </w:t>
      </w:r>
      <w:r w:rsidRPr="00B7267A">
        <w:rPr>
          <w:rFonts w:ascii="Arial" w:hAnsi="Arial" w:cs="Arial"/>
        </w:rPr>
        <w:t>where learners can rehearse the routines and decision-making required in everyday life and tasks.</w:t>
      </w:r>
    </w:p>
    <w:p w14:paraId="10F395F7" w14:textId="77777777" w:rsidR="00B7267A" w:rsidRPr="00B7267A" w:rsidRDefault="00B7267A" w:rsidP="00B7267A">
      <w:pPr>
        <w:numPr>
          <w:ilvl w:val="0"/>
          <w:numId w:val="71"/>
        </w:numPr>
        <w:spacing w:line="278" w:lineRule="auto"/>
        <w:rPr>
          <w:rFonts w:ascii="Arial" w:hAnsi="Arial" w:cs="Arial"/>
        </w:rPr>
      </w:pPr>
      <w:r w:rsidRPr="00B7267A">
        <w:rPr>
          <w:rFonts w:ascii="Arial" w:hAnsi="Arial" w:cs="Arial"/>
          <w:b/>
          <w:bCs/>
        </w:rPr>
        <w:t>Improved accessibility and flow-</w:t>
      </w:r>
      <w:r w:rsidRPr="00B7267A">
        <w:rPr>
          <w:rFonts w:ascii="Arial" w:hAnsi="Arial" w:cs="Arial"/>
        </w:rPr>
        <w:t xml:space="preserve"> allowing learners with mobility needs, sensory sensitivities or anxiety to move confidently and safely through their learning space.</w:t>
      </w:r>
    </w:p>
    <w:p w14:paraId="6BCCE4B8" w14:textId="77777777" w:rsidR="00B7267A" w:rsidRPr="00B7267A" w:rsidRDefault="00B7267A" w:rsidP="00B7267A">
      <w:pPr>
        <w:numPr>
          <w:ilvl w:val="0"/>
          <w:numId w:val="71"/>
        </w:numPr>
        <w:spacing w:line="278" w:lineRule="auto"/>
        <w:rPr>
          <w:rFonts w:ascii="Arial" w:hAnsi="Arial" w:cs="Arial"/>
        </w:rPr>
      </w:pPr>
      <w:r w:rsidRPr="00B7267A">
        <w:rPr>
          <w:rFonts w:ascii="Arial" w:hAnsi="Arial" w:cs="Arial"/>
          <w:b/>
          <w:bCs/>
        </w:rPr>
        <w:t xml:space="preserve">Digital Space- </w:t>
      </w:r>
      <w:r w:rsidRPr="00B7267A">
        <w:rPr>
          <w:rFonts w:ascii="Arial" w:hAnsi="Arial" w:cs="Arial"/>
        </w:rPr>
        <w:t>Where learners can enhance their technology and improve digital literacy in a modernised environment.</w:t>
      </w:r>
    </w:p>
    <w:p w14:paraId="2E6F4554" w14:textId="77777777" w:rsidR="00B7267A" w:rsidRPr="00B7267A" w:rsidRDefault="00B7267A" w:rsidP="00B7267A">
      <w:pPr>
        <w:numPr>
          <w:ilvl w:val="0"/>
          <w:numId w:val="71"/>
        </w:numPr>
        <w:spacing w:line="278" w:lineRule="auto"/>
        <w:rPr>
          <w:rFonts w:ascii="Arial" w:hAnsi="Arial" w:cs="Arial"/>
        </w:rPr>
      </w:pPr>
      <w:r w:rsidRPr="00B7267A">
        <w:rPr>
          <w:rFonts w:ascii="Arial" w:hAnsi="Arial" w:cs="Arial"/>
          <w:b/>
          <w:bCs/>
        </w:rPr>
        <w:t>Collaborative and social learning-</w:t>
      </w:r>
      <w:r w:rsidRPr="00B7267A">
        <w:rPr>
          <w:rFonts w:ascii="Arial" w:hAnsi="Arial" w:cs="Arial"/>
        </w:rPr>
        <w:t xml:space="preserve"> reflecting the real-world interactions learners need to prepare for work, community engagement, and independence.</w:t>
      </w:r>
    </w:p>
    <w:p w14:paraId="7DC3834D" w14:textId="77777777" w:rsidR="00B7267A" w:rsidRPr="00B7267A" w:rsidRDefault="00B7267A" w:rsidP="00B7267A">
      <w:pPr>
        <w:rPr>
          <w:rFonts w:ascii="Arial" w:hAnsi="Arial" w:cs="Arial"/>
        </w:rPr>
      </w:pPr>
      <w:r w:rsidRPr="00B7267A">
        <w:rPr>
          <w:rFonts w:ascii="Arial" w:hAnsi="Arial" w:cs="Arial"/>
        </w:rPr>
        <w:t>Ultimately, we want a space that removes barriers, enhances confidence, and allows staff to deliver high-quality, innovative learning experiences aligned to the Curriculum for Wales and RARPA.</w:t>
      </w:r>
    </w:p>
    <w:p w14:paraId="50910E5E" w14:textId="77777777" w:rsidR="00B7267A" w:rsidRPr="00B7267A" w:rsidRDefault="00B7267A" w:rsidP="00B7267A">
      <w:pPr>
        <w:rPr>
          <w:rFonts w:ascii="Arial" w:hAnsi="Arial" w:cs="Arial"/>
        </w:rPr>
      </w:pPr>
    </w:p>
    <w:p w14:paraId="67E10D7A" w14:textId="77777777" w:rsidR="00B7267A" w:rsidRPr="00B7267A" w:rsidRDefault="00B7267A" w:rsidP="00B7267A">
      <w:pPr>
        <w:rPr>
          <w:rFonts w:ascii="Arial" w:hAnsi="Arial" w:cs="Arial"/>
          <w:b/>
          <w:bCs/>
        </w:rPr>
      </w:pPr>
      <w:r w:rsidRPr="00B7267A">
        <w:rPr>
          <w:rFonts w:ascii="Arial" w:hAnsi="Arial" w:cs="Arial"/>
          <w:b/>
          <w:bCs/>
        </w:rPr>
        <w:lastRenderedPageBreak/>
        <w:t>Benefits to Learner Outcomes</w:t>
      </w:r>
    </w:p>
    <w:p w14:paraId="03326697" w14:textId="77777777" w:rsidR="00B7267A" w:rsidRPr="00B7267A" w:rsidRDefault="00B7267A" w:rsidP="00B7267A">
      <w:pPr>
        <w:rPr>
          <w:rFonts w:ascii="Arial" w:hAnsi="Arial" w:cs="Arial"/>
        </w:rPr>
      </w:pPr>
      <w:r w:rsidRPr="00B7267A">
        <w:rPr>
          <w:rFonts w:ascii="Arial" w:hAnsi="Arial" w:cs="Arial"/>
        </w:rPr>
        <w:t>The enhanced learning environment will have a direct and measurable impact on learner progress. Learners will be able to:</w:t>
      </w:r>
    </w:p>
    <w:p w14:paraId="3F9655D2" w14:textId="77777777" w:rsidR="00B7267A" w:rsidRPr="00B7267A" w:rsidRDefault="00B7267A" w:rsidP="00B7267A">
      <w:pPr>
        <w:spacing w:line="278" w:lineRule="auto"/>
        <w:ind w:left="720"/>
        <w:rPr>
          <w:rFonts w:ascii="Arial" w:hAnsi="Arial" w:cs="Arial"/>
        </w:rPr>
      </w:pPr>
    </w:p>
    <w:p w14:paraId="05671E28" w14:textId="77777777" w:rsidR="00B7267A" w:rsidRPr="00B7267A" w:rsidRDefault="00B7267A" w:rsidP="00B7267A">
      <w:pPr>
        <w:numPr>
          <w:ilvl w:val="0"/>
          <w:numId w:val="72"/>
        </w:numPr>
        <w:spacing w:line="278" w:lineRule="auto"/>
        <w:rPr>
          <w:rFonts w:ascii="Arial" w:hAnsi="Arial" w:cs="Arial"/>
        </w:rPr>
      </w:pPr>
      <w:r w:rsidRPr="00B7267A">
        <w:rPr>
          <w:rFonts w:ascii="Arial" w:hAnsi="Arial" w:cs="Arial"/>
          <w:b/>
          <w:bCs/>
        </w:rPr>
        <w:t>Develop independent living skills more effectively-</w:t>
      </w:r>
      <w:r w:rsidRPr="00B7267A">
        <w:rPr>
          <w:rFonts w:ascii="Arial" w:hAnsi="Arial" w:cs="Arial"/>
        </w:rPr>
        <w:t xml:space="preserve"> due to realistic, purpose-built spaces that encourage active participation.</w:t>
      </w:r>
    </w:p>
    <w:p w14:paraId="5FFC85DF" w14:textId="77777777" w:rsidR="00B7267A" w:rsidRPr="00B7267A" w:rsidRDefault="00B7267A" w:rsidP="00B7267A">
      <w:pPr>
        <w:numPr>
          <w:ilvl w:val="0"/>
          <w:numId w:val="72"/>
        </w:numPr>
        <w:spacing w:line="278" w:lineRule="auto"/>
        <w:rPr>
          <w:rFonts w:ascii="Arial" w:hAnsi="Arial" w:cs="Arial"/>
        </w:rPr>
      </w:pPr>
      <w:r w:rsidRPr="00B7267A">
        <w:rPr>
          <w:rFonts w:ascii="Arial" w:hAnsi="Arial" w:cs="Arial"/>
          <w:b/>
          <w:bCs/>
        </w:rPr>
        <w:t>Experience higher levels of engagement and motivation-</w:t>
      </w:r>
      <w:r w:rsidRPr="00B7267A">
        <w:rPr>
          <w:rFonts w:ascii="Arial" w:hAnsi="Arial" w:cs="Arial"/>
        </w:rPr>
        <w:t xml:space="preserve"> as learning becomes more relevant, meaningful, and hands-on.</w:t>
      </w:r>
    </w:p>
    <w:p w14:paraId="75A8B5B1" w14:textId="77777777" w:rsidR="00B7267A" w:rsidRPr="00B7267A" w:rsidRDefault="00B7267A" w:rsidP="00B7267A">
      <w:pPr>
        <w:numPr>
          <w:ilvl w:val="0"/>
          <w:numId w:val="72"/>
        </w:numPr>
        <w:spacing w:line="278" w:lineRule="auto"/>
        <w:rPr>
          <w:rFonts w:ascii="Arial" w:hAnsi="Arial" w:cs="Arial"/>
        </w:rPr>
      </w:pPr>
      <w:r w:rsidRPr="00B7267A">
        <w:rPr>
          <w:rFonts w:ascii="Arial" w:hAnsi="Arial" w:cs="Arial"/>
          <w:b/>
          <w:bCs/>
        </w:rPr>
        <w:t>Build confidence, communication and problem-solving abilities-</w:t>
      </w:r>
      <w:r w:rsidRPr="00B7267A">
        <w:rPr>
          <w:rFonts w:ascii="Arial" w:hAnsi="Arial" w:cs="Arial"/>
        </w:rPr>
        <w:t xml:space="preserve"> through practical tasks that mirror genuine adult responsibilities.</w:t>
      </w:r>
    </w:p>
    <w:p w14:paraId="644F46E7" w14:textId="77777777" w:rsidR="00B7267A" w:rsidRPr="00B7267A" w:rsidRDefault="00B7267A" w:rsidP="00B7267A">
      <w:pPr>
        <w:numPr>
          <w:ilvl w:val="0"/>
          <w:numId w:val="72"/>
        </w:numPr>
        <w:spacing w:line="278" w:lineRule="auto"/>
        <w:rPr>
          <w:rFonts w:ascii="Arial" w:hAnsi="Arial" w:cs="Arial"/>
        </w:rPr>
      </w:pPr>
      <w:r w:rsidRPr="00B7267A">
        <w:rPr>
          <w:rFonts w:ascii="Arial" w:hAnsi="Arial" w:cs="Arial"/>
          <w:b/>
          <w:bCs/>
        </w:rPr>
        <w:t>Show clearer progress through RARPA-</w:t>
      </w:r>
      <w:r w:rsidRPr="00B7267A">
        <w:rPr>
          <w:rFonts w:ascii="Arial" w:hAnsi="Arial" w:cs="Arial"/>
        </w:rPr>
        <w:t xml:space="preserve"> with learning activities that naturally generate evidence of achievement and personal growth.</w:t>
      </w:r>
    </w:p>
    <w:p w14:paraId="505FF2A5" w14:textId="77777777" w:rsidR="00B7267A" w:rsidRPr="00B7267A" w:rsidRDefault="00B7267A" w:rsidP="00B7267A">
      <w:pPr>
        <w:numPr>
          <w:ilvl w:val="0"/>
          <w:numId w:val="72"/>
        </w:numPr>
        <w:spacing w:line="278" w:lineRule="auto"/>
        <w:rPr>
          <w:rFonts w:ascii="Arial" w:hAnsi="Arial" w:cs="Arial"/>
        </w:rPr>
      </w:pPr>
      <w:r w:rsidRPr="00B7267A">
        <w:rPr>
          <w:rFonts w:ascii="Arial" w:hAnsi="Arial" w:cs="Arial"/>
          <w:b/>
          <w:bCs/>
        </w:rPr>
        <w:t>Access a calmer, better-organised environment-</w:t>
      </w:r>
      <w:r w:rsidRPr="00B7267A">
        <w:rPr>
          <w:rFonts w:ascii="Arial" w:hAnsi="Arial" w:cs="Arial"/>
        </w:rPr>
        <w:t xml:space="preserve"> that supports emotional regulation, safety and wellbeing- crucial for learners with ALN.</w:t>
      </w:r>
    </w:p>
    <w:p w14:paraId="0BEC7EE8" w14:textId="77777777" w:rsidR="00B7267A" w:rsidRPr="00B7267A" w:rsidRDefault="00B7267A" w:rsidP="00B7267A">
      <w:pPr>
        <w:rPr>
          <w:rFonts w:ascii="Arial" w:hAnsi="Arial" w:cs="Arial"/>
        </w:rPr>
      </w:pPr>
      <w:r w:rsidRPr="00B7267A">
        <w:rPr>
          <w:rFonts w:ascii="Arial" w:hAnsi="Arial" w:cs="Arial"/>
        </w:rPr>
        <w:t>The refurbishment will transform the learner experience, creating a modern, inclusive ILS hub where learners can gain the skills and confidence needed for their future pathways, whether progression within college, supported employment, or increased independence in daily life.</w:t>
      </w:r>
    </w:p>
    <w:p w14:paraId="295A74D5" w14:textId="0E7BA6A2" w:rsidR="00824A88" w:rsidRDefault="003F5847" w:rsidP="003F5847">
      <w:pPr>
        <w:pStyle w:val="Untitledsubclause1"/>
        <w:rPr>
          <w:b/>
        </w:rPr>
      </w:pPr>
      <w:r w:rsidRPr="0077369A">
        <w:rPr>
          <w:b/>
        </w:rPr>
        <w:t>Procurement Outline</w:t>
      </w:r>
    </w:p>
    <w:p w14:paraId="2CE649F6" w14:textId="75A87C75" w:rsidR="003F5847" w:rsidRPr="0077369A" w:rsidRDefault="00AE5FCE" w:rsidP="00AE5FCE">
      <w:pPr>
        <w:pStyle w:val="Parasubclause1"/>
        <w:rPr>
          <w:b/>
        </w:rPr>
      </w:pPr>
      <w:r w:rsidRPr="0077369A">
        <w:t xml:space="preserve">The project is to be procured as a single stage competitive </w:t>
      </w:r>
      <w:r w:rsidR="00C46869">
        <w:t>T</w:t>
      </w:r>
      <w:r w:rsidRPr="0077369A">
        <w:t>ender</w:t>
      </w:r>
      <w:r>
        <w:rPr>
          <w:b/>
        </w:rPr>
        <w:t>.</w:t>
      </w:r>
    </w:p>
    <w:p w14:paraId="2524878C" w14:textId="77777777" w:rsidR="00CC52C0" w:rsidRPr="00974EC2" w:rsidRDefault="00A01C2C">
      <w:pPr>
        <w:pStyle w:val="Untitledsubclause1"/>
        <w:rPr>
          <w:b/>
        </w:rPr>
      </w:pPr>
      <w:bookmarkStart w:id="6" w:name="a948100"/>
      <w:r w:rsidRPr="00974EC2">
        <w:rPr>
          <w:b/>
        </w:rPr>
        <w:t>Value of the contract</w:t>
      </w:r>
      <w:bookmarkEnd w:id="6"/>
    </w:p>
    <w:p w14:paraId="54937B19" w14:textId="301F8B85" w:rsidR="00CC52C0" w:rsidRPr="00974EC2" w:rsidRDefault="00D9263A">
      <w:pPr>
        <w:pStyle w:val="Parasubclause1"/>
      </w:pPr>
      <w:r w:rsidRPr="00A00F24">
        <w:rPr>
          <w:highlight w:val="yellow"/>
        </w:rPr>
        <w:t>The College has a budget of</w:t>
      </w:r>
      <w:r w:rsidR="00A01C2C" w:rsidRPr="00A00F24">
        <w:rPr>
          <w:highlight w:val="yellow"/>
        </w:rPr>
        <w:t xml:space="preserve"> </w:t>
      </w:r>
      <w:r w:rsidR="001F097D" w:rsidRPr="00A00F24">
        <w:rPr>
          <w:highlight w:val="yellow"/>
        </w:rPr>
        <w:t>t</w:t>
      </w:r>
      <w:r w:rsidR="00D1560E" w:rsidRPr="00A00F24">
        <w:rPr>
          <w:highlight w:val="yellow"/>
        </w:rPr>
        <w:t>wo</w:t>
      </w:r>
      <w:r w:rsidR="001F097D" w:rsidRPr="00A00F24">
        <w:rPr>
          <w:highlight w:val="yellow"/>
        </w:rPr>
        <w:t xml:space="preserve"> hundred</w:t>
      </w:r>
      <w:r w:rsidR="00D1560E" w:rsidRPr="00A00F24">
        <w:rPr>
          <w:highlight w:val="yellow"/>
        </w:rPr>
        <w:t xml:space="preserve"> and fifty</w:t>
      </w:r>
      <w:r w:rsidR="001F097D" w:rsidRPr="00A00F24">
        <w:rPr>
          <w:highlight w:val="yellow"/>
        </w:rPr>
        <w:t xml:space="preserve"> thousand pounds (£</w:t>
      </w:r>
      <w:r w:rsidR="00D1560E" w:rsidRPr="00A00F24">
        <w:rPr>
          <w:highlight w:val="yellow"/>
        </w:rPr>
        <w:t>25</w:t>
      </w:r>
      <w:r w:rsidR="001F097D" w:rsidRPr="00A00F24">
        <w:rPr>
          <w:highlight w:val="yellow"/>
        </w:rPr>
        <w:t>0,000) (inclusive of VAT)</w:t>
      </w:r>
      <w:r w:rsidRPr="00A00F24">
        <w:rPr>
          <w:highlight w:val="yellow"/>
        </w:rPr>
        <w:t xml:space="preserve"> for the Works</w:t>
      </w:r>
      <w:r w:rsidR="00A01C2C" w:rsidRPr="00A00F24">
        <w:rPr>
          <w:highlight w:val="yellow"/>
        </w:rPr>
        <w:t>.</w:t>
      </w:r>
    </w:p>
    <w:p w14:paraId="75F773AE" w14:textId="23422B8B" w:rsidR="00CC52C0" w:rsidRPr="00974EC2" w:rsidRDefault="008221C3">
      <w:pPr>
        <w:pStyle w:val="Parasubclause1"/>
      </w:pPr>
      <w:r w:rsidRPr="00974EC2">
        <w:t xml:space="preserve">This </w:t>
      </w:r>
      <w:r w:rsidR="00266B59" w:rsidRPr="00974EC2">
        <w:t>budget</w:t>
      </w:r>
      <w:r w:rsidRPr="00974EC2">
        <w:t xml:space="preserve"> is given in</w:t>
      </w:r>
      <w:r w:rsidR="00A01C2C" w:rsidRPr="00974EC2">
        <w:t xml:space="preserve"> good faith as a guide </w:t>
      </w:r>
      <w:r w:rsidR="004F0BF1" w:rsidRPr="00974EC2">
        <w:t>to</w:t>
      </w:r>
      <w:r w:rsidR="00A01C2C" w:rsidRPr="00974EC2">
        <w:t xml:space="preserve"> assist you in submitting your Tender. </w:t>
      </w:r>
      <w:r w:rsidR="004F0BF1" w:rsidRPr="00974EC2">
        <w:t>It</w:t>
      </w:r>
      <w:r w:rsidR="00A01C2C" w:rsidRPr="00974EC2">
        <w:t xml:space="preserve"> should not be interpreted as an undertaking to purchase any goods or services to any </w:t>
      </w:r>
      <w:proofErr w:type="gramStart"/>
      <w:r w:rsidR="00A01C2C" w:rsidRPr="00974EC2">
        <w:t>particular value</w:t>
      </w:r>
      <w:proofErr w:type="gramEnd"/>
      <w:r w:rsidR="00A01C2C" w:rsidRPr="00974EC2">
        <w:t xml:space="preserve"> and do</w:t>
      </w:r>
      <w:r w:rsidR="004F0BF1" w:rsidRPr="00974EC2">
        <w:t>es</w:t>
      </w:r>
      <w:r w:rsidR="00A01C2C" w:rsidRPr="00974EC2">
        <w:t xml:space="preserve"> not form part of the Contract</w:t>
      </w:r>
      <w:r w:rsidR="004A1BF1">
        <w:t xml:space="preserve"> (“</w:t>
      </w:r>
      <w:r w:rsidR="004A1BF1" w:rsidRPr="00090355">
        <w:rPr>
          <w:b/>
          <w:bCs/>
        </w:rPr>
        <w:t>Contract</w:t>
      </w:r>
      <w:r w:rsidR="004A1BF1">
        <w:t>” for the purposes of this ITT means the signed agreement between the College and the Supplier)</w:t>
      </w:r>
      <w:r w:rsidR="00A01C2C" w:rsidRPr="00974EC2">
        <w:t>.</w:t>
      </w:r>
      <w:r w:rsidR="00A00F24">
        <w:t xml:space="preserve"> This budget cannot be exceeded.</w:t>
      </w:r>
    </w:p>
    <w:p w14:paraId="311DC37D" w14:textId="77777777" w:rsidR="00CC52C0" w:rsidRPr="00974EC2" w:rsidRDefault="00A01C2C">
      <w:pPr>
        <w:pStyle w:val="Untitledsubclause1"/>
        <w:rPr>
          <w:b/>
        </w:rPr>
      </w:pPr>
      <w:bookmarkStart w:id="7" w:name="a296540"/>
      <w:r w:rsidRPr="00974EC2">
        <w:rPr>
          <w:b/>
        </w:rPr>
        <w:t>Contract duration</w:t>
      </w:r>
      <w:bookmarkEnd w:id="7"/>
    </w:p>
    <w:p w14:paraId="5E6AB66C" w14:textId="4EDEB83D" w:rsidR="00D35D52" w:rsidRPr="00974EC2" w:rsidRDefault="00D35D52" w:rsidP="00D35D52">
      <w:pPr>
        <w:pStyle w:val="Parasubclause1"/>
      </w:pPr>
      <w:r w:rsidRPr="00974EC2">
        <w:t xml:space="preserve">The College proposes to </w:t>
      </w:r>
      <w:proofErr w:type="gramStart"/>
      <w:r w:rsidRPr="00974EC2">
        <w:t>enter into</w:t>
      </w:r>
      <w:proofErr w:type="gramEnd"/>
      <w:r w:rsidRPr="00974EC2">
        <w:t xml:space="preserve"> </w:t>
      </w:r>
      <w:r w:rsidR="004A1BF1">
        <w:t>the</w:t>
      </w:r>
      <w:r w:rsidRPr="00974EC2">
        <w:t xml:space="preserve"> Contract with the successful Tenderer (</w:t>
      </w:r>
      <w:r w:rsidRPr="00974EC2">
        <w:rPr>
          <w:b/>
          <w:bCs/>
        </w:rPr>
        <w:t>Supplier</w:t>
      </w:r>
      <w:r w:rsidRPr="00974EC2">
        <w:t xml:space="preserve">) to carry out the Works. The College requires the Works to be carried out </w:t>
      </w:r>
      <w:r w:rsidR="00236E7D">
        <w:t xml:space="preserve">commencing </w:t>
      </w:r>
      <w:r w:rsidR="00B01A4F">
        <w:t>Monday 16</w:t>
      </w:r>
      <w:r w:rsidR="00B01A4F" w:rsidRPr="00B01A4F">
        <w:rPr>
          <w:vertAlign w:val="superscript"/>
        </w:rPr>
        <w:t>th</w:t>
      </w:r>
      <w:r w:rsidR="00B01A4F">
        <w:t xml:space="preserve"> February 2026 for 3 weeks completing </w:t>
      </w:r>
      <w:r w:rsidR="00080248">
        <w:t>6</w:t>
      </w:r>
      <w:r w:rsidR="00080248" w:rsidRPr="00080248">
        <w:rPr>
          <w:vertAlign w:val="superscript"/>
        </w:rPr>
        <w:t>th</w:t>
      </w:r>
      <w:r w:rsidR="00080248">
        <w:t xml:space="preserve"> March 2026</w:t>
      </w:r>
      <w:r w:rsidRPr="00974EC2">
        <w:t xml:space="preserve">.  </w:t>
      </w:r>
    </w:p>
    <w:p w14:paraId="6B1166C1" w14:textId="77777777" w:rsidR="00CC52C0" w:rsidRPr="00974EC2" w:rsidRDefault="00A01C2C">
      <w:pPr>
        <w:pStyle w:val="Untitledsubclause1"/>
        <w:rPr>
          <w:b/>
        </w:rPr>
      </w:pPr>
      <w:bookmarkStart w:id="8" w:name="a862650"/>
      <w:r w:rsidRPr="00974EC2">
        <w:rPr>
          <w:b/>
        </w:rPr>
        <w:t>Purpose and scope of this ITT</w:t>
      </w:r>
      <w:bookmarkEnd w:id="8"/>
    </w:p>
    <w:p w14:paraId="159FE6FD" w14:textId="77777777" w:rsidR="00CC52C0" w:rsidRPr="00974EC2" w:rsidRDefault="00A01C2C">
      <w:pPr>
        <w:pStyle w:val="Parasubclause1"/>
      </w:pPr>
      <w:r w:rsidRPr="00974EC2">
        <w:lastRenderedPageBreak/>
        <w:t>This ITT:</w:t>
      </w:r>
    </w:p>
    <w:p w14:paraId="326D288A" w14:textId="77777777" w:rsidR="00CC52C0" w:rsidRPr="00974EC2" w:rsidRDefault="00A01C2C">
      <w:pPr>
        <w:pStyle w:val="subclause1Bullet1"/>
      </w:pPr>
      <w:r w:rsidRPr="00974EC2">
        <w:t>Asks Tenderers to submit their Tenders in accordance with the instructions set out in the remainder of this ITT.</w:t>
      </w:r>
    </w:p>
    <w:p w14:paraId="20B90B8E" w14:textId="77777777" w:rsidR="00CC52C0" w:rsidRPr="00974EC2" w:rsidRDefault="00A01C2C">
      <w:pPr>
        <w:pStyle w:val="subclause1Bullet1"/>
      </w:pPr>
      <w:r w:rsidRPr="00974EC2">
        <w:t>Sets out the overall timetable and process for the procurement of Tenders.</w:t>
      </w:r>
    </w:p>
    <w:p w14:paraId="75FCFCC2" w14:textId="77777777" w:rsidR="00CC52C0" w:rsidRPr="00974EC2" w:rsidRDefault="00A01C2C">
      <w:pPr>
        <w:pStyle w:val="subclause1Bullet1"/>
      </w:pPr>
      <w:r w:rsidRPr="00974EC2">
        <w:t>Provides Tenderers with sufficient information to enable them to submit a compliant Tender (including providing templates where relevant).</w:t>
      </w:r>
    </w:p>
    <w:p w14:paraId="057984D5" w14:textId="77777777" w:rsidR="00CC52C0" w:rsidRPr="00974EC2" w:rsidRDefault="00A01C2C">
      <w:pPr>
        <w:pStyle w:val="subclause1Bullet1"/>
      </w:pPr>
      <w:r w:rsidRPr="00974EC2">
        <w:t>Sets out the Award Criteria and the model that will be used to evaluate the Tenders (</w:t>
      </w:r>
      <w:r w:rsidRPr="00974EC2">
        <w:rPr>
          <w:b/>
          <w:bCs/>
        </w:rPr>
        <w:t>Tender Evaluation Model</w:t>
      </w:r>
      <w:r w:rsidRPr="00974EC2">
        <w:t>).</w:t>
      </w:r>
    </w:p>
    <w:p w14:paraId="21E997A7" w14:textId="77777777" w:rsidR="00CC52C0" w:rsidRPr="00974EC2" w:rsidRDefault="00A01C2C">
      <w:pPr>
        <w:pStyle w:val="subclause1Bullet1"/>
      </w:pPr>
      <w:r w:rsidRPr="00974EC2">
        <w:t>Explains the administrative arrangements for the receipt of Tenders.</w:t>
      </w:r>
    </w:p>
    <w:p w14:paraId="196BA4F5" w14:textId="77777777" w:rsidR="00CC52C0" w:rsidRPr="00974EC2" w:rsidRDefault="00A01C2C">
      <w:pPr>
        <w:pStyle w:val="Untitledsubclause1"/>
        <w:rPr>
          <w:b/>
        </w:rPr>
      </w:pPr>
      <w:bookmarkStart w:id="9" w:name="a817202"/>
      <w:r w:rsidRPr="00974EC2">
        <w:rPr>
          <w:b/>
        </w:rPr>
        <w:t xml:space="preserve">Requests for clarification </w:t>
      </w:r>
      <w:bookmarkEnd w:id="9"/>
    </w:p>
    <w:p w14:paraId="51A402D3" w14:textId="348D7950" w:rsidR="00CC52C0" w:rsidRPr="00974EC2" w:rsidRDefault="00A01C2C">
      <w:pPr>
        <w:pStyle w:val="Parasubclause1"/>
      </w:pPr>
      <w:r w:rsidRPr="00974EC2">
        <w:t>Any clarifications relating to this ITT must be submitted</w:t>
      </w:r>
      <w:r w:rsidR="006335BA" w:rsidRPr="00974EC2">
        <w:t xml:space="preserve"> through Sell2Wales</w:t>
      </w:r>
      <w:r w:rsidRPr="00974EC2">
        <w:t>.</w:t>
      </w:r>
    </w:p>
    <w:p w14:paraId="1C0D3EDB" w14:textId="3273B7F9" w:rsidR="00CC52C0" w:rsidRPr="00974EC2" w:rsidRDefault="00A01C2C">
      <w:pPr>
        <w:pStyle w:val="Parasubclause1"/>
      </w:pPr>
      <w:r w:rsidRPr="00974EC2">
        <w:t xml:space="preserve">The </w:t>
      </w:r>
      <w:r w:rsidR="00C516B0" w:rsidRPr="00974EC2">
        <w:t>College</w:t>
      </w:r>
      <w:r w:rsidRPr="00974EC2">
        <w:t xml:space="preserve"> will respond to all reasonable clarifications as soon as possible through publishing the Tenderers' questions and the </w:t>
      </w:r>
      <w:r w:rsidR="00C516B0" w:rsidRPr="00974EC2">
        <w:t>College</w:t>
      </w:r>
      <w:r w:rsidRPr="00974EC2">
        <w:t xml:space="preserve">'s response to them on </w:t>
      </w:r>
      <w:r w:rsidR="008E1341" w:rsidRPr="00974EC2">
        <w:t>Sell2Wales</w:t>
      </w:r>
      <w:r w:rsidRPr="00974EC2">
        <w:t xml:space="preserve"> (</w:t>
      </w:r>
      <w:r w:rsidRPr="00974EC2">
        <w:rPr>
          <w:rStyle w:val="DefTerm"/>
        </w:rPr>
        <w:t>Clarifications Log</w:t>
      </w:r>
      <w:r w:rsidRPr="00974EC2">
        <w:t xml:space="preserve">). </w:t>
      </w:r>
    </w:p>
    <w:p w14:paraId="4331281B" w14:textId="585CC1D4" w:rsidR="00CC52C0" w:rsidRPr="00974EC2" w:rsidRDefault="00A01C2C">
      <w:pPr>
        <w:pStyle w:val="Parasubclause1"/>
      </w:pPr>
      <w:r w:rsidRPr="00974EC2">
        <w:t xml:space="preserve">If a Tenderer wishes the </w:t>
      </w:r>
      <w:r w:rsidR="00C516B0" w:rsidRPr="00974EC2">
        <w:t>College</w:t>
      </w:r>
      <w:r w:rsidRPr="00974EC2">
        <w:t xml:space="preserve"> to treat a clarification as confidential and not issue the response to all Tenderers, it must state this when submitting the clarification. If, in the opinion of the </w:t>
      </w:r>
      <w:r w:rsidR="00C516B0" w:rsidRPr="00974EC2">
        <w:t>College</w:t>
      </w:r>
      <w:r w:rsidRPr="00974EC2">
        <w:t xml:space="preserve">, the clarification is not confidential, the </w:t>
      </w:r>
      <w:r w:rsidR="00C516B0" w:rsidRPr="00974EC2">
        <w:t>College</w:t>
      </w:r>
      <w:r w:rsidRPr="00974EC2">
        <w:t xml:space="preserve"> will inform the </w:t>
      </w:r>
      <w:r w:rsidR="0040108C" w:rsidRPr="00974EC2">
        <w:t>Tenderer,</w:t>
      </w:r>
      <w:r w:rsidRPr="00974EC2">
        <w:t xml:space="preserve"> and it will have an opportunity to withdraw it. If the clarification is not withdrawn, the response will be issued to all Tenderers. If the original clarification is withdrawn, the Tenderer may either submit an amended request for the clarification to be treated as confidential, which would be considered by the </w:t>
      </w:r>
      <w:r w:rsidR="00C516B0" w:rsidRPr="00974EC2">
        <w:t>College</w:t>
      </w:r>
      <w:r w:rsidRPr="00974EC2">
        <w:t xml:space="preserve"> in the same manner as the original request, or raise a new request to be treated as a non-confidential request.</w:t>
      </w:r>
    </w:p>
    <w:p w14:paraId="4FDC77C3" w14:textId="75F09DAA" w:rsidR="00CC52C0" w:rsidRPr="00B2058D" w:rsidRDefault="00A01C2C" w:rsidP="00B2058D">
      <w:pPr>
        <w:pStyle w:val="Parasubclause1"/>
      </w:pPr>
      <w:r w:rsidRPr="00B2058D">
        <w:t xml:space="preserve">The deadline for receipt of clarifications relating to the </w:t>
      </w:r>
      <w:r w:rsidR="00A35445" w:rsidRPr="00B2058D">
        <w:t>Works</w:t>
      </w:r>
      <w:r w:rsidRPr="00B2058D">
        <w:t xml:space="preserve"> or this ITT is set out in </w:t>
      </w:r>
      <w:r w:rsidRPr="00B2058D">
        <w:fldChar w:fldCharType="begin"/>
      </w:r>
      <w:r w:rsidRPr="00B2058D">
        <w:instrText>PAGEREF a257729\# "'paragraph '"  \h</w:instrText>
      </w:r>
      <w:r w:rsidRPr="00B2058D">
        <w:fldChar w:fldCharType="separate"/>
      </w:r>
      <w:r w:rsidRPr="00B2058D">
        <w:t xml:space="preserve">paragraph </w:t>
      </w:r>
      <w:r w:rsidRPr="00B2058D">
        <w:fldChar w:fldCharType="end"/>
      </w:r>
      <w:r w:rsidRPr="00B2058D">
        <w:fldChar w:fldCharType="begin"/>
      </w:r>
      <w:r w:rsidRPr="00B2058D">
        <w:instrText>REF a257729 \h \w</w:instrText>
      </w:r>
      <w:r w:rsidR="00C516B0" w:rsidRPr="00B2058D">
        <w:instrText xml:space="preserve"> \* MERGEFORMAT </w:instrText>
      </w:r>
      <w:r w:rsidRPr="00B2058D">
        <w:fldChar w:fldCharType="separate"/>
      </w:r>
      <w:r w:rsidRPr="00B2058D">
        <w:t>2</w:t>
      </w:r>
      <w:r w:rsidRPr="00B2058D">
        <w:fldChar w:fldCharType="end"/>
      </w:r>
      <w:r w:rsidRPr="00B2058D">
        <w:t xml:space="preserve">. The </w:t>
      </w:r>
      <w:r w:rsidR="00C516B0" w:rsidRPr="00B2058D">
        <w:t>College</w:t>
      </w:r>
      <w:r w:rsidRPr="00B2058D">
        <w:t xml:space="preserve"> reserves the right not to answer any requests for clarification submitted after this </w:t>
      </w:r>
      <w:r w:rsidR="0040108C" w:rsidRPr="00B2058D">
        <w:t>date or</w:t>
      </w:r>
      <w:r w:rsidRPr="00B2058D">
        <w:t xml:space="preserve"> submitted via any means other than </w:t>
      </w:r>
      <w:r w:rsidR="008E1341" w:rsidRPr="00B2058D">
        <w:t>Sell2Wales</w:t>
      </w:r>
      <w:r w:rsidRPr="00B2058D">
        <w:t>.</w:t>
      </w:r>
    </w:p>
    <w:p w14:paraId="1ABBE8C8" w14:textId="3308E027" w:rsidR="008508A0" w:rsidRPr="00974EC2" w:rsidRDefault="008508A0" w:rsidP="008508A0">
      <w:pPr>
        <w:pStyle w:val="Parasubclause1"/>
      </w:pPr>
      <w:r>
        <w:t xml:space="preserve">Neither the College, nor any staff member of the College, has the authority to </w:t>
      </w:r>
      <w:r w:rsidR="0098586C">
        <w:t>make any verbal representations or ex</w:t>
      </w:r>
      <w:r w:rsidR="00187463">
        <w:t xml:space="preserve">planation to the Tenderers </w:t>
      </w:r>
      <w:r w:rsidR="007C1F07">
        <w:t>or others as to the meaning of any</w:t>
      </w:r>
      <w:r w:rsidR="003B524E">
        <w:t xml:space="preserve">thing </w:t>
      </w:r>
      <w:r w:rsidR="00177157">
        <w:t xml:space="preserve">contained </w:t>
      </w:r>
      <w:r w:rsidR="003B524E">
        <w:t>within this ITT</w:t>
      </w:r>
      <w:r w:rsidR="00492D77">
        <w:t>,</w:t>
      </w:r>
      <w:r w:rsidR="007C1F07">
        <w:t xml:space="preserve"> </w:t>
      </w:r>
      <w:r w:rsidR="00BF47E1">
        <w:t xml:space="preserve">which includes </w:t>
      </w:r>
      <w:r w:rsidR="00177157">
        <w:t>without limitation</w:t>
      </w:r>
      <w:r w:rsidR="00BF47E1">
        <w:t>:</w:t>
      </w:r>
      <w:r w:rsidR="00177157">
        <w:t xml:space="preserve"> </w:t>
      </w:r>
      <w:r w:rsidR="009617E8">
        <w:t xml:space="preserve">the NEC ECC, </w:t>
      </w:r>
      <w:r w:rsidR="00BF47E1">
        <w:t xml:space="preserve">the </w:t>
      </w:r>
      <w:r w:rsidR="007722AD">
        <w:t>Client Brief and Schedule of Accommodation</w:t>
      </w:r>
      <w:r w:rsidR="00177157">
        <w:t>,</w:t>
      </w:r>
      <w:r w:rsidR="007722AD">
        <w:t xml:space="preserve"> </w:t>
      </w:r>
      <w:r w:rsidR="00BF47E1">
        <w:t xml:space="preserve">any </w:t>
      </w:r>
      <w:r w:rsidR="007C1F07">
        <w:t>specification, drawings or other documents, or as to anything</w:t>
      </w:r>
      <w:r w:rsidR="00BF47E1">
        <w:t xml:space="preserve"> which is</w:t>
      </w:r>
      <w:r w:rsidR="007C1F07">
        <w:t xml:space="preserve"> to be done</w:t>
      </w:r>
      <w:r w:rsidR="0058357F">
        <w:t xml:space="preserve"> or not to be done by the Contractor following acceptance of </w:t>
      </w:r>
      <w:r w:rsidR="00BF47E1">
        <w:t>their</w:t>
      </w:r>
      <w:r w:rsidR="0058357F">
        <w:t xml:space="preserve"> Tender, or as to any </w:t>
      </w:r>
      <w:r w:rsidR="0041692C">
        <w:t>other matter or thing.</w:t>
      </w:r>
    </w:p>
    <w:p w14:paraId="57EB5984" w14:textId="3FD6592D" w:rsidR="00CC52C0" w:rsidRDefault="00A01C2C">
      <w:pPr>
        <w:pStyle w:val="Parasubclause1"/>
      </w:pPr>
      <w:r w:rsidRPr="00974EC2">
        <w:t xml:space="preserve">Tenderers are advised not to rely on communications from the </w:t>
      </w:r>
      <w:r w:rsidR="00C516B0" w:rsidRPr="00974EC2">
        <w:t>College</w:t>
      </w:r>
      <w:r w:rsidRPr="00974EC2">
        <w:t xml:space="preserve"> in respect of the </w:t>
      </w:r>
      <w:r w:rsidR="00A35445" w:rsidRPr="00974EC2">
        <w:t>Works</w:t>
      </w:r>
      <w:r w:rsidRPr="00974EC2">
        <w:t xml:space="preserve"> or ITT unless they are made in accordance with these instructions.</w:t>
      </w:r>
    </w:p>
    <w:p w14:paraId="7AD60972" w14:textId="77777777" w:rsidR="00CC52C0" w:rsidRPr="00974EC2" w:rsidRDefault="00A01C2C">
      <w:pPr>
        <w:pStyle w:val="Untitledsubclause1"/>
        <w:rPr>
          <w:b/>
        </w:rPr>
      </w:pPr>
      <w:bookmarkStart w:id="10" w:name="a229730"/>
      <w:r w:rsidRPr="00974EC2">
        <w:rPr>
          <w:b/>
        </w:rPr>
        <w:lastRenderedPageBreak/>
        <w:t>Clarifications about the contents of the Tender</w:t>
      </w:r>
      <w:bookmarkEnd w:id="10"/>
    </w:p>
    <w:p w14:paraId="78312BB1" w14:textId="37A86ACD" w:rsidR="008E51E6" w:rsidRPr="00FB1465" w:rsidRDefault="00A01C2C" w:rsidP="006A6743">
      <w:pPr>
        <w:pStyle w:val="Parasubclause1"/>
      </w:pPr>
      <w:r w:rsidRPr="006A6743">
        <w:t xml:space="preserve">The </w:t>
      </w:r>
      <w:r w:rsidR="00C516B0" w:rsidRPr="006A6743">
        <w:t>College</w:t>
      </w:r>
      <w:r w:rsidRPr="006A6743">
        <w:t xml:space="preserve"> reserves the right (but is not obliged) to seek clarification of any aspect of a Tenderer's Tender during the evaluation phase where necessary for the purposes of carrying out a fair evaluation. Tenderers are asked to respond to such requests promptly. Vague or ambiguous answers are likely to score poorly or render the Tender non-compliant.</w:t>
      </w:r>
    </w:p>
    <w:p w14:paraId="19F9301D" w14:textId="77777777" w:rsidR="00CC52C0" w:rsidRPr="00974EC2" w:rsidRDefault="00A01C2C">
      <w:pPr>
        <w:pStyle w:val="TitleClause"/>
      </w:pPr>
      <w:r w:rsidRPr="00974EC2">
        <w:fldChar w:fldCharType="begin"/>
      </w:r>
      <w:r w:rsidRPr="00974EC2">
        <w:instrText>TC "2. Tender Timetable" \l 1</w:instrText>
      </w:r>
      <w:r w:rsidRPr="00974EC2">
        <w:fldChar w:fldCharType="end"/>
      </w:r>
      <w:bookmarkStart w:id="11" w:name="a257729"/>
      <w:bookmarkStart w:id="12" w:name="_Toc216178765"/>
      <w:r w:rsidRPr="00974EC2">
        <w:t>Tender Timetable</w:t>
      </w:r>
      <w:bookmarkEnd w:id="11"/>
      <w:bookmarkEnd w:id="12"/>
    </w:p>
    <w:p w14:paraId="07B787EE" w14:textId="77777777" w:rsidR="00CC52C0" w:rsidRPr="00974EC2" w:rsidRDefault="00A01C2C">
      <w:pPr>
        <w:pStyle w:val="Untitledsubclause1"/>
        <w:rPr>
          <w:b/>
        </w:rPr>
      </w:pPr>
      <w:bookmarkStart w:id="13" w:name="a977995"/>
      <w:r w:rsidRPr="00974EC2">
        <w:rPr>
          <w:b/>
        </w:rPr>
        <w:t>Key dates</w:t>
      </w:r>
      <w:bookmarkEnd w:id="13"/>
    </w:p>
    <w:p w14:paraId="26E66A91" w14:textId="77777777" w:rsidR="00CC52C0" w:rsidRDefault="00A01C2C">
      <w:pPr>
        <w:pStyle w:val="Parasubclause1"/>
      </w:pPr>
      <w:r w:rsidRPr="00974EC2">
        <w:t xml:space="preserve">This procurement will follow a clear, structured and transparent process to ensure a fair and level playing field is </w:t>
      </w:r>
      <w:proofErr w:type="gramStart"/>
      <w:r w:rsidRPr="00974EC2">
        <w:t>maintained at all times</w:t>
      </w:r>
      <w:proofErr w:type="gramEnd"/>
      <w:r w:rsidRPr="00974EC2">
        <w:t>, and that all Tenderers are treated equally.</w:t>
      </w:r>
    </w:p>
    <w:p w14:paraId="6C67E8FB" w14:textId="7A177CC7" w:rsidR="0068164C" w:rsidRPr="00974EC2" w:rsidRDefault="0068164C">
      <w:pPr>
        <w:pStyle w:val="Parasubclause1"/>
      </w:pPr>
      <w:r>
        <w:t xml:space="preserve">Contractors are required to send email to </w:t>
      </w:r>
      <w:hyperlink r:id="rId16" w:history="1">
        <w:r w:rsidRPr="00671089">
          <w:rPr>
            <w:rStyle w:val="Hyperlink"/>
            <w:rFonts w:ascii="Arial" w:hAnsi="Arial"/>
          </w:rPr>
          <w:t>leigh.hughes@felicitas-consultancy.co.uk</w:t>
        </w:r>
      </w:hyperlink>
      <w:r>
        <w:t xml:space="preserve"> </w:t>
      </w:r>
      <w:r w:rsidR="000C636B">
        <w:t xml:space="preserve">by </w:t>
      </w:r>
      <w:r w:rsidR="000C636B" w:rsidRPr="000C636B">
        <w:rPr>
          <w:b/>
          <w:bCs/>
          <w:highlight w:val="yellow"/>
        </w:rPr>
        <w:t>Monday 5</w:t>
      </w:r>
      <w:r w:rsidR="000C636B" w:rsidRPr="000C636B">
        <w:rPr>
          <w:b/>
          <w:bCs/>
          <w:highlight w:val="yellow"/>
          <w:vertAlign w:val="superscript"/>
        </w:rPr>
        <w:t>th</w:t>
      </w:r>
      <w:r w:rsidR="000C636B" w:rsidRPr="000C636B">
        <w:rPr>
          <w:b/>
          <w:bCs/>
          <w:highlight w:val="yellow"/>
        </w:rPr>
        <w:t xml:space="preserve"> January 2026</w:t>
      </w:r>
      <w:r w:rsidR="000C636B">
        <w:t xml:space="preserve"> confirmation of their intention to submit a compliant tender by the dates shown in the schedule below</w:t>
      </w:r>
    </w:p>
    <w:p w14:paraId="7093160B" w14:textId="77777777" w:rsidR="00CC52C0" w:rsidRPr="00974EC2" w:rsidRDefault="00A01C2C">
      <w:pPr>
        <w:pStyle w:val="Parasubclause1"/>
      </w:pPr>
      <w:r w:rsidRPr="00974EC2">
        <w:t>The key dates for this procurement (</w:t>
      </w:r>
      <w:r w:rsidRPr="00974EC2">
        <w:rPr>
          <w:rStyle w:val="DefTerm"/>
        </w:rPr>
        <w:t>Timetable</w:t>
      </w:r>
      <w:r w:rsidRPr="00974EC2">
        <w:t>) are currently anticipated to be as follows: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670"/>
        <w:gridCol w:w="4670"/>
      </w:tblGrid>
      <w:tr w:rsidR="00492069" w:rsidRPr="00974EC2" w14:paraId="18675142" w14:textId="77777777">
        <w:tc>
          <w:tcPr>
            <w:tcW w:w="2500" w:type="pct"/>
            <w:tcBorders>
              <w:top w:val="single" w:sz="8" w:space="0" w:color="000000"/>
              <w:left w:val="single" w:sz="8" w:space="0" w:color="000000"/>
              <w:bottom w:val="single" w:sz="8" w:space="0" w:color="000000"/>
              <w:right w:val="single" w:sz="8" w:space="0" w:color="000000"/>
            </w:tcBorders>
          </w:tcPr>
          <w:p w14:paraId="55C1A073" w14:textId="77777777" w:rsidR="00CC52C0" w:rsidRPr="00974EC2" w:rsidRDefault="00A01C2C">
            <w:pPr>
              <w:pStyle w:val="Paragraph"/>
              <w:jc w:val="left"/>
              <w:rPr>
                <w:b/>
              </w:rPr>
            </w:pPr>
            <w:r w:rsidRPr="00974EC2">
              <w:rPr>
                <w:b/>
              </w:rPr>
              <w:t>Event</w:t>
            </w:r>
          </w:p>
        </w:tc>
        <w:tc>
          <w:tcPr>
            <w:tcW w:w="2500" w:type="pct"/>
            <w:tcBorders>
              <w:top w:val="single" w:sz="8" w:space="0" w:color="000000"/>
              <w:left w:val="single" w:sz="8" w:space="0" w:color="000000"/>
              <w:bottom w:val="single" w:sz="8" w:space="0" w:color="000000"/>
              <w:right w:val="single" w:sz="8" w:space="0" w:color="000000"/>
            </w:tcBorders>
          </w:tcPr>
          <w:p w14:paraId="003550BF" w14:textId="77777777" w:rsidR="00CC52C0" w:rsidRPr="00974EC2" w:rsidRDefault="00A01C2C">
            <w:pPr>
              <w:pStyle w:val="Paragraph"/>
              <w:jc w:val="left"/>
              <w:rPr>
                <w:b/>
              </w:rPr>
            </w:pPr>
            <w:r w:rsidRPr="00974EC2">
              <w:rPr>
                <w:b/>
              </w:rPr>
              <w:t>Date</w:t>
            </w:r>
          </w:p>
        </w:tc>
      </w:tr>
      <w:tr w:rsidR="00492069" w:rsidRPr="00974EC2" w14:paraId="68AF617C" w14:textId="77777777">
        <w:tc>
          <w:tcPr>
            <w:tcW w:w="2500" w:type="pct"/>
            <w:tcBorders>
              <w:top w:val="single" w:sz="8" w:space="0" w:color="000000"/>
              <w:left w:val="single" w:sz="8" w:space="0" w:color="000000"/>
              <w:bottom w:val="single" w:sz="8" w:space="0" w:color="000000"/>
              <w:right w:val="single" w:sz="8" w:space="0" w:color="000000"/>
            </w:tcBorders>
          </w:tcPr>
          <w:p w14:paraId="4EA50859" w14:textId="1D27EF4A" w:rsidR="00CC52C0" w:rsidRPr="00974EC2" w:rsidRDefault="00FB7E80">
            <w:pPr>
              <w:pStyle w:val="Paragraph"/>
              <w:jc w:val="left"/>
            </w:pPr>
            <w:r w:rsidRPr="00974EC2">
              <w:t>Publication of the Tender Notice and ITT (including associated documents)</w:t>
            </w:r>
          </w:p>
        </w:tc>
        <w:tc>
          <w:tcPr>
            <w:tcW w:w="2500" w:type="pct"/>
            <w:tcBorders>
              <w:top w:val="single" w:sz="8" w:space="0" w:color="000000"/>
              <w:left w:val="single" w:sz="8" w:space="0" w:color="000000"/>
              <w:bottom w:val="single" w:sz="8" w:space="0" w:color="000000"/>
              <w:right w:val="single" w:sz="8" w:space="0" w:color="000000"/>
            </w:tcBorders>
          </w:tcPr>
          <w:p w14:paraId="2C3E2F75" w14:textId="5B7FDA0E" w:rsidR="00CC52C0" w:rsidRPr="00974EC2" w:rsidRDefault="00444838">
            <w:pPr>
              <w:pStyle w:val="Paragraph"/>
              <w:jc w:val="left"/>
            </w:pPr>
            <w:r>
              <w:t>Friday 19</w:t>
            </w:r>
            <w:r w:rsidRPr="00444838">
              <w:rPr>
                <w:vertAlign w:val="superscript"/>
              </w:rPr>
              <w:t>th</w:t>
            </w:r>
            <w:r>
              <w:t xml:space="preserve"> December 2025</w:t>
            </w:r>
          </w:p>
        </w:tc>
      </w:tr>
      <w:tr w:rsidR="00492069" w:rsidRPr="00974EC2" w14:paraId="7FB836A8" w14:textId="77777777">
        <w:tc>
          <w:tcPr>
            <w:tcW w:w="2500" w:type="pct"/>
            <w:tcBorders>
              <w:top w:val="single" w:sz="8" w:space="0" w:color="000000"/>
              <w:left w:val="single" w:sz="8" w:space="0" w:color="000000"/>
              <w:bottom w:val="single" w:sz="8" w:space="0" w:color="000000"/>
              <w:right w:val="single" w:sz="8" w:space="0" w:color="000000"/>
            </w:tcBorders>
          </w:tcPr>
          <w:p w14:paraId="2650F501" w14:textId="77777777" w:rsidR="00CC52C0" w:rsidRPr="00974EC2" w:rsidRDefault="00A01C2C">
            <w:pPr>
              <w:pStyle w:val="Paragraph"/>
              <w:jc w:val="left"/>
            </w:pPr>
            <w:r w:rsidRPr="00974EC2">
              <w:t>Deadline for receipt of requests for clarification</w:t>
            </w:r>
          </w:p>
        </w:tc>
        <w:tc>
          <w:tcPr>
            <w:tcW w:w="2500" w:type="pct"/>
            <w:tcBorders>
              <w:top w:val="single" w:sz="8" w:space="0" w:color="000000"/>
              <w:left w:val="single" w:sz="8" w:space="0" w:color="000000"/>
              <w:bottom w:val="single" w:sz="8" w:space="0" w:color="000000"/>
              <w:right w:val="single" w:sz="8" w:space="0" w:color="000000"/>
            </w:tcBorders>
          </w:tcPr>
          <w:p w14:paraId="0AD3F059" w14:textId="36BB50F7" w:rsidR="00CC52C0" w:rsidRPr="00974EC2" w:rsidRDefault="006E4D25">
            <w:pPr>
              <w:pStyle w:val="Paragraph"/>
              <w:jc w:val="left"/>
            </w:pPr>
            <w:r>
              <w:t>Wednesday 7</w:t>
            </w:r>
            <w:r w:rsidRPr="006E4D25">
              <w:rPr>
                <w:vertAlign w:val="superscript"/>
              </w:rPr>
              <w:t>th</w:t>
            </w:r>
            <w:r>
              <w:t xml:space="preserve"> January 2026</w:t>
            </w:r>
          </w:p>
        </w:tc>
      </w:tr>
      <w:tr w:rsidR="00492069" w:rsidRPr="00974EC2" w14:paraId="1107EC21" w14:textId="77777777">
        <w:tc>
          <w:tcPr>
            <w:tcW w:w="2500" w:type="pct"/>
            <w:tcBorders>
              <w:top w:val="single" w:sz="8" w:space="0" w:color="000000"/>
              <w:left w:val="single" w:sz="8" w:space="0" w:color="000000"/>
              <w:bottom w:val="single" w:sz="8" w:space="0" w:color="000000"/>
              <w:right w:val="single" w:sz="8" w:space="0" w:color="000000"/>
            </w:tcBorders>
          </w:tcPr>
          <w:p w14:paraId="5915D14D" w14:textId="77777777" w:rsidR="00CC52C0" w:rsidRPr="00974EC2" w:rsidRDefault="00A01C2C">
            <w:pPr>
              <w:pStyle w:val="Paragraph"/>
              <w:jc w:val="left"/>
            </w:pPr>
            <w:r w:rsidRPr="00974EC2">
              <w:t>Target date for responses to clarification requests</w:t>
            </w:r>
          </w:p>
        </w:tc>
        <w:tc>
          <w:tcPr>
            <w:tcW w:w="2500" w:type="pct"/>
            <w:tcBorders>
              <w:top w:val="single" w:sz="8" w:space="0" w:color="000000"/>
              <w:left w:val="single" w:sz="8" w:space="0" w:color="000000"/>
              <w:bottom w:val="single" w:sz="8" w:space="0" w:color="000000"/>
              <w:right w:val="single" w:sz="8" w:space="0" w:color="000000"/>
            </w:tcBorders>
          </w:tcPr>
          <w:p w14:paraId="350B63FF" w14:textId="1C2CBAA5" w:rsidR="00CC52C0" w:rsidRPr="00974EC2" w:rsidRDefault="006E4D25">
            <w:pPr>
              <w:pStyle w:val="Paragraph"/>
              <w:jc w:val="left"/>
            </w:pPr>
            <w:r>
              <w:t>Friday 9</w:t>
            </w:r>
            <w:r w:rsidRPr="006E4D25">
              <w:rPr>
                <w:vertAlign w:val="superscript"/>
              </w:rPr>
              <w:t>th</w:t>
            </w:r>
            <w:r>
              <w:t xml:space="preserve"> January 2026</w:t>
            </w:r>
          </w:p>
        </w:tc>
      </w:tr>
      <w:tr w:rsidR="00492069" w:rsidRPr="00974EC2" w14:paraId="797AEADB" w14:textId="77777777">
        <w:tc>
          <w:tcPr>
            <w:tcW w:w="2500" w:type="pct"/>
            <w:tcBorders>
              <w:top w:val="single" w:sz="8" w:space="0" w:color="000000"/>
              <w:left w:val="single" w:sz="8" w:space="0" w:color="000000"/>
              <w:bottom w:val="single" w:sz="8" w:space="0" w:color="000000"/>
              <w:right w:val="single" w:sz="8" w:space="0" w:color="000000"/>
            </w:tcBorders>
          </w:tcPr>
          <w:p w14:paraId="6BD16D9D" w14:textId="77777777" w:rsidR="00CC52C0" w:rsidRPr="00974EC2" w:rsidRDefault="00A01C2C">
            <w:pPr>
              <w:pStyle w:val="Paragraph"/>
              <w:jc w:val="left"/>
            </w:pPr>
            <w:r w:rsidRPr="00974EC2">
              <w:t>Deadline for receipt of Tenders</w:t>
            </w:r>
          </w:p>
        </w:tc>
        <w:tc>
          <w:tcPr>
            <w:tcW w:w="2500" w:type="pct"/>
            <w:tcBorders>
              <w:top w:val="single" w:sz="8" w:space="0" w:color="000000"/>
              <w:left w:val="single" w:sz="8" w:space="0" w:color="000000"/>
              <w:bottom w:val="single" w:sz="8" w:space="0" w:color="000000"/>
              <w:right w:val="single" w:sz="8" w:space="0" w:color="000000"/>
            </w:tcBorders>
          </w:tcPr>
          <w:p w14:paraId="5C671419" w14:textId="72A45EA6" w:rsidR="00CC52C0" w:rsidRPr="00974EC2" w:rsidRDefault="006E4D25">
            <w:pPr>
              <w:pStyle w:val="Paragraph"/>
              <w:jc w:val="left"/>
            </w:pPr>
            <w:r>
              <w:t>Monday 19</w:t>
            </w:r>
            <w:r w:rsidRPr="006E4D25">
              <w:rPr>
                <w:vertAlign w:val="superscript"/>
              </w:rPr>
              <w:t>th</w:t>
            </w:r>
            <w:r>
              <w:t xml:space="preserve"> January 2026</w:t>
            </w:r>
            <w:r w:rsidR="00A01C2C" w:rsidRPr="00974EC2">
              <w:t xml:space="preserve">, </w:t>
            </w:r>
            <w:r>
              <w:t>12 noon</w:t>
            </w:r>
          </w:p>
        </w:tc>
      </w:tr>
      <w:tr w:rsidR="00CB01D4" w:rsidRPr="00974EC2" w14:paraId="1CED2B4A" w14:textId="77777777">
        <w:tc>
          <w:tcPr>
            <w:tcW w:w="2500" w:type="pct"/>
            <w:tcBorders>
              <w:top w:val="single" w:sz="8" w:space="0" w:color="000000"/>
              <w:left w:val="single" w:sz="8" w:space="0" w:color="000000"/>
              <w:bottom w:val="single" w:sz="8" w:space="0" w:color="000000"/>
              <w:right w:val="single" w:sz="8" w:space="0" w:color="000000"/>
            </w:tcBorders>
          </w:tcPr>
          <w:p w14:paraId="77003CD9" w14:textId="1C748A34" w:rsidR="00CB01D4" w:rsidRPr="00974EC2" w:rsidRDefault="002C5D2B">
            <w:pPr>
              <w:pStyle w:val="Paragraph"/>
              <w:jc w:val="left"/>
            </w:pPr>
            <w:r w:rsidRPr="00974EC2">
              <w:t>1</w:t>
            </w:r>
            <w:r w:rsidRPr="00974EC2">
              <w:rPr>
                <w:vertAlign w:val="superscript"/>
              </w:rPr>
              <w:t>st</w:t>
            </w:r>
            <w:r w:rsidRPr="00974EC2">
              <w:t xml:space="preserve"> stage evaluation of Tenders </w:t>
            </w:r>
          </w:p>
        </w:tc>
        <w:tc>
          <w:tcPr>
            <w:tcW w:w="2500" w:type="pct"/>
            <w:tcBorders>
              <w:top w:val="single" w:sz="8" w:space="0" w:color="000000"/>
              <w:left w:val="single" w:sz="8" w:space="0" w:color="000000"/>
              <w:bottom w:val="single" w:sz="8" w:space="0" w:color="000000"/>
              <w:right w:val="single" w:sz="8" w:space="0" w:color="000000"/>
            </w:tcBorders>
          </w:tcPr>
          <w:p w14:paraId="5F2B5873" w14:textId="12386922" w:rsidR="00CB01D4" w:rsidRPr="00974EC2" w:rsidRDefault="005C5D75">
            <w:pPr>
              <w:pStyle w:val="Paragraph"/>
              <w:jc w:val="left"/>
            </w:pPr>
            <w:r>
              <w:t>Wednesday 21</w:t>
            </w:r>
            <w:r w:rsidRPr="005C5D75">
              <w:rPr>
                <w:vertAlign w:val="superscript"/>
              </w:rPr>
              <w:t>st</w:t>
            </w:r>
            <w:r>
              <w:t xml:space="preserve"> January 2026</w:t>
            </w:r>
          </w:p>
        </w:tc>
      </w:tr>
      <w:tr w:rsidR="00CB01D4" w:rsidRPr="00974EC2" w14:paraId="74229A4D" w14:textId="77777777">
        <w:tc>
          <w:tcPr>
            <w:tcW w:w="2500" w:type="pct"/>
            <w:tcBorders>
              <w:top w:val="single" w:sz="8" w:space="0" w:color="000000"/>
              <w:left w:val="single" w:sz="8" w:space="0" w:color="000000"/>
              <w:bottom w:val="single" w:sz="8" w:space="0" w:color="000000"/>
              <w:right w:val="single" w:sz="8" w:space="0" w:color="000000"/>
            </w:tcBorders>
          </w:tcPr>
          <w:p w14:paraId="729C8A46" w14:textId="302F56AD" w:rsidR="00CB01D4" w:rsidRPr="00974EC2" w:rsidRDefault="00CB01D4" w:rsidP="00CB01D4">
            <w:pPr>
              <w:pStyle w:val="Paragraph"/>
              <w:jc w:val="left"/>
            </w:pPr>
            <w:r w:rsidRPr="00974EC2">
              <w:t xml:space="preserve">Notification of </w:t>
            </w:r>
            <w:r w:rsidR="002C5D2B" w:rsidRPr="00974EC2">
              <w:t>progression to P</w:t>
            </w:r>
            <w:r w:rsidRPr="00974EC2">
              <w:t>resentations</w:t>
            </w:r>
          </w:p>
        </w:tc>
        <w:tc>
          <w:tcPr>
            <w:tcW w:w="2500" w:type="pct"/>
            <w:tcBorders>
              <w:top w:val="single" w:sz="8" w:space="0" w:color="000000"/>
              <w:left w:val="single" w:sz="8" w:space="0" w:color="000000"/>
              <w:bottom w:val="single" w:sz="8" w:space="0" w:color="000000"/>
              <w:right w:val="single" w:sz="8" w:space="0" w:color="000000"/>
            </w:tcBorders>
          </w:tcPr>
          <w:p w14:paraId="7A71A061" w14:textId="245C49EB" w:rsidR="00CB01D4" w:rsidRPr="00974EC2" w:rsidRDefault="005C5D75" w:rsidP="00CB01D4">
            <w:pPr>
              <w:pStyle w:val="Paragraph"/>
              <w:jc w:val="left"/>
            </w:pPr>
            <w:r>
              <w:t>Wednesday 21</w:t>
            </w:r>
            <w:r w:rsidRPr="005C5D75">
              <w:rPr>
                <w:vertAlign w:val="superscript"/>
              </w:rPr>
              <w:t>st</w:t>
            </w:r>
            <w:r>
              <w:t xml:space="preserve"> January 2026</w:t>
            </w:r>
          </w:p>
        </w:tc>
      </w:tr>
      <w:tr w:rsidR="00CB01D4" w:rsidRPr="00974EC2" w14:paraId="1194B21E" w14:textId="77777777">
        <w:tc>
          <w:tcPr>
            <w:tcW w:w="2500" w:type="pct"/>
            <w:tcBorders>
              <w:top w:val="single" w:sz="8" w:space="0" w:color="000000"/>
              <w:left w:val="single" w:sz="8" w:space="0" w:color="000000"/>
              <w:bottom w:val="single" w:sz="8" w:space="0" w:color="000000"/>
              <w:right w:val="single" w:sz="8" w:space="0" w:color="000000"/>
            </w:tcBorders>
          </w:tcPr>
          <w:p w14:paraId="40E4F9F3" w14:textId="77777777" w:rsidR="00CB01D4" w:rsidRPr="00974EC2" w:rsidRDefault="00CB01D4" w:rsidP="00CB01D4">
            <w:pPr>
              <w:pStyle w:val="Paragraph"/>
              <w:jc w:val="left"/>
            </w:pPr>
            <w:r w:rsidRPr="00974EC2">
              <w:t>Presentations</w:t>
            </w:r>
          </w:p>
        </w:tc>
        <w:tc>
          <w:tcPr>
            <w:tcW w:w="2500" w:type="pct"/>
            <w:tcBorders>
              <w:top w:val="single" w:sz="8" w:space="0" w:color="000000"/>
              <w:left w:val="single" w:sz="8" w:space="0" w:color="000000"/>
              <w:bottom w:val="single" w:sz="8" w:space="0" w:color="000000"/>
              <w:right w:val="single" w:sz="8" w:space="0" w:color="000000"/>
            </w:tcBorders>
          </w:tcPr>
          <w:p w14:paraId="2B55B1DA" w14:textId="756B0BE8" w:rsidR="00CB01D4" w:rsidRPr="00974EC2" w:rsidRDefault="005C5D75" w:rsidP="00CB01D4">
            <w:pPr>
              <w:pStyle w:val="Paragraph"/>
              <w:jc w:val="left"/>
            </w:pPr>
            <w:r>
              <w:t>Monday 26</w:t>
            </w:r>
            <w:r w:rsidRPr="005C5D75">
              <w:rPr>
                <w:vertAlign w:val="superscript"/>
              </w:rPr>
              <w:t>th</w:t>
            </w:r>
            <w:r>
              <w:t xml:space="preserve"> January</w:t>
            </w:r>
            <w:r w:rsidR="00CB01D4" w:rsidRPr="00974EC2">
              <w:t xml:space="preserve">, </w:t>
            </w:r>
            <w:r>
              <w:t>Nantgarw Campus</w:t>
            </w:r>
          </w:p>
        </w:tc>
      </w:tr>
      <w:tr w:rsidR="00CB01D4" w:rsidRPr="00974EC2" w14:paraId="7E99E765" w14:textId="77777777">
        <w:tc>
          <w:tcPr>
            <w:tcW w:w="2500" w:type="pct"/>
            <w:tcBorders>
              <w:top w:val="single" w:sz="8" w:space="0" w:color="000000"/>
              <w:left w:val="single" w:sz="8" w:space="0" w:color="000000"/>
              <w:bottom w:val="single" w:sz="8" w:space="0" w:color="000000"/>
              <w:right w:val="single" w:sz="8" w:space="0" w:color="000000"/>
            </w:tcBorders>
          </w:tcPr>
          <w:p w14:paraId="1081EC0A" w14:textId="75C7BAEE" w:rsidR="00CB01D4" w:rsidRPr="00974EC2" w:rsidRDefault="002C5D2B" w:rsidP="00CB01D4">
            <w:pPr>
              <w:pStyle w:val="Paragraph"/>
              <w:jc w:val="left"/>
            </w:pPr>
            <w:r w:rsidRPr="00974EC2">
              <w:t>Final e</w:t>
            </w:r>
            <w:r w:rsidR="00CB01D4" w:rsidRPr="00974EC2">
              <w:t>valuation of Tenders</w:t>
            </w:r>
          </w:p>
        </w:tc>
        <w:tc>
          <w:tcPr>
            <w:tcW w:w="2500" w:type="pct"/>
            <w:tcBorders>
              <w:top w:val="single" w:sz="8" w:space="0" w:color="000000"/>
              <w:left w:val="single" w:sz="8" w:space="0" w:color="000000"/>
              <w:bottom w:val="single" w:sz="8" w:space="0" w:color="000000"/>
              <w:right w:val="single" w:sz="8" w:space="0" w:color="000000"/>
            </w:tcBorders>
          </w:tcPr>
          <w:p w14:paraId="6348E584" w14:textId="0CFF43DF" w:rsidR="00CB01D4" w:rsidRPr="00974EC2" w:rsidRDefault="005C5D75" w:rsidP="00CB01D4">
            <w:pPr>
              <w:pStyle w:val="Paragraph"/>
              <w:jc w:val="left"/>
            </w:pPr>
            <w:r>
              <w:t xml:space="preserve">Wednesday </w:t>
            </w:r>
            <w:r w:rsidR="00EB40A9">
              <w:t>28</w:t>
            </w:r>
            <w:r w:rsidR="00EB40A9" w:rsidRPr="00EB40A9">
              <w:rPr>
                <w:vertAlign w:val="superscript"/>
              </w:rPr>
              <w:t>th</w:t>
            </w:r>
            <w:r w:rsidR="00EB40A9">
              <w:t xml:space="preserve"> January 2026</w:t>
            </w:r>
          </w:p>
        </w:tc>
      </w:tr>
      <w:tr w:rsidR="006722C9" w:rsidRPr="00974EC2" w14:paraId="1D7D8E8B" w14:textId="77777777">
        <w:tc>
          <w:tcPr>
            <w:tcW w:w="2500" w:type="pct"/>
            <w:tcBorders>
              <w:top w:val="single" w:sz="8" w:space="0" w:color="000000"/>
              <w:left w:val="single" w:sz="8" w:space="0" w:color="000000"/>
              <w:bottom w:val="single" w:sz="8" w:space="0" w:color="000000"/>
              <w:right w:val="single" w:sz="8" w:space="0" w:color="000000"/>
            </w:tcBorders>
          </w:tcPr>
          <w:p w14:paraId="02E7B88D" w14:textId="32105297" w:rsidR="006722C9" w:rsidRPr="00974EC2" w:rsidRDefault="006722C9" w:rsidP="006722C9">
            <w:pPr>
              <w:pStyle w:val="Paragraph"/>
              <w:jc w:val="left"/>
            </w:pPr>
            <w:r w:rsidRPr="00974EC2">
              <w:t>Notification of contract award decision to Tenderers</w:t>
            </w:r>
          </w:p>
        </w:tc>
        <w:tc>
          <w:tcPr>
            <w:tcW w:w="2500" w:type="pct"/>
            <w:tcBorders>
              <w:top w:val="single" w:sz="8" w:space="0" w:color="000000"/>
              <w:left w:val="single" w:sz="8" w:space="0" w:color="000000"/>
              <w:bottom w:val="single" w:sz="8" w:space="0" w:color="000000"/>
              <w:right w:val="single" w:sz="8" w:space="0" w:color="000000"/>
            </w:tcBorders>
          </w:tcPr>
          <w:p w14:paraId="0E9FA4AF" w14:textId="2B7713E7" w:rsidR="006722C9" w:rsidRPr="00974EC2" w:rsidRDefault="00EB40A9" w:rsidP="006722C9">
            <w:pPr>
              <w:pStyle w:val="Paragraph"/>
              <w:jc w:val="left"/>
            </w:pPr>
            <w:r>
              <w:t xml:space="preserve">Friday </w:t>
            </w:r>
            <w:r w:rsidR="000F40EF">
              <w:t>30</w:t>
            </w:r>
            <w:r w:rsidRPr="00EB40A9">
              <w:rPr>
                <w:vertAlign w:val="superscript"/>
              </w:rPr>
              <w:t>th</w:t>
            </w:r>
            <w:r>
              <w:t xml:space="preserve"> January 2026</w:t>
            </w:r>
          </w:p>
        </w:tc>
      </w:tr>
      <w:tr w:rsidR="006722C9" w:rsidRPr="00974EC2" w14:paraId="482AF945" w14:textId="77777777">
        <w:tc>
          <w:tcPr>
            <w:tcW w:w="2500" w:type="pct"/>
            <w:tcBorders>
              <w:top w:val="single" w:sz="8" w:space="0" w:color="000000"/>
              <w:left w:val="single" w:sz="8" w:space="0" w:color="000000"/>
              <w:bottom w:val="single" w:sz="8" w:space="0" w:color="000000"/>
              <w:right w:val="single" w:sz="8" w:space="0" w:color="000000"/>
            </w:tcBorders>
          </w:tcPr>
          <w:p w14:paraId="714F03DA" w14:textId="695E35A3" w:rsidR="006722C9" w:rsidRPr="00974EC2" w:rsidRDefault="006722C9" w:rsidP="006722C9">
            <w:pPr>
              <w:pStyle w:val="Paragraph"/>
              <w:jc w:val="left"/>
            </w:pPr>
            <w:r w:rsidRPr="00974EC2">
              <w:t xml:space="preserve">Publication of </w:t>
            </w:r>
            <w:r w:rsidR="00D25F6A" w:rsidRPr="00974EC2">
              <w:t>C</w:t>
            </w:r>
            <w:r w:rsidRPr="00974EC2">
              <w:t xml:space="preserve">ontract </w:t>
            </w:r>
            <w:r w:rsidR="00D25F6A" w:rsidRPr="00974EC2">
              <w:t>D</w:t>
            </w:r>
            <w:r w:rsidRPr="00974EC2">
              <w:t xml:space="preserve">etails </w:t>
            </w:r>
            <w:r w:rsidR="00D25F6A" w:rsidRPr="00974EC2">
              <w:t>N</w:t>
            </w:r>
            <w:r w:rsidRPr="00974EC2">
              <w:t>otice</w:t>
            </w:r>
          </w:p>
        </w:tc>
        <w:tc>
          <w:tcPr>
            <w:tcW w:w="2500" w:type="pct"/>
            <w:tcBorders>
              <w:top w:val="single" w:sz="8" w:space="0" w:color="000000"/>
              <w:left w:val="single" w:sz="8" w:space="0" w:color="000000"/>
              <w:bottom w:val="single" w:sz="8" w:space="0" w:color="000000"/>
              <w:right w:val="single" w:sz="8" w:space="0" w:color="000000"/>
            </w:tcBorders>
          </w:tcPr>
          <w:p w14:paraId="7F53AD44" w14:textId="41C2FA2B" w:rsidR="006722C9" w:rsidRPr="00974EC2" w:rsidRDefault="000F40EF" w:rsidP="006722C9">
            <w:pPr>
              <w:pStyle w:val="Paragraph"/>
              <w:jc w:val="left"/>
            </w:pPr>
            <w:r>
              <w:t>Friday 30</w:t>
            </w:r>
            <w:r w:rsidRPr="000F40EF">
              <w:rPr>
                <w:vertAlign w:val="superscript"/>
              </w:rPr>
              <w:t>th</w:t>
            </w:r>
            <w:r>
              <w:t xml:space="preserve"> January 2026</w:t>
            </w:r>
          </w:p>
        </w:tc>
      </w:tr>
      <w:tr w:rsidR="006722C9" w:rsidRPr="00974EC2" w14:paraId="4208E043" w14:textId="77777777">
        <w:tc>
          <w:tcPr>
            <w:tcW w:w="2500" w:type="pct"/>
            <w:tcBorders>
              <w:top w:val="single" w:sz="8" w:space="0" w:color="000000"/>
              <w:left w:val="single" w:sz="8" w:space="0" w:color="000000"/>
              <w:bottom w:val="single" w:sz="8" w:space="0" w:color="000000"/>
              <w:right w:val="single" w:sz="8" w:space="0" w:color="000000"/>
            </w:tcBorders>
          </w:tcPr>
          <w:p w14:paraId="11454965" w14:textId="77777777" w:rsidR="006722C9" w:rsidRPr="00974EC2" w:rsidRDefault="006722C9" w:rsidP="006722C9">
            <w:pPr>
              <w:pStyle w:val="Paragraph"/>
              <w:jc w:val="left"/>
            </w:pPr>
            <w:r w:rsidRPr="00974EC2">
              <w:t>Confirm contract award</w:t>
            </w:r>
          </w:p>
        </w:tc>
        <w:tc>
          <w:tcPr>
            <w:tcW w:w="2500" w:type="pct"/>
            <w:tcBorders>
              <w:top w:val="single" w:sz="8" w:space="0" w:color="000000"/>
              <w:left w:val="single" w:sz="8" w:space="0" w:color="000000"/>
              <w:bottom w:val="single" w:sz="8" w:space="0" w:color="000000"/>
              <w:right w:val="single" w:sz="8" w:space="0" w:color="000000"/>
            </w:tcBorders>
          </w:tcPr>
          <w:p w14:paraId="2A1D5314" w14:textId="41A4994E" w:rsidR="006722C9" w:rsidRPr="00974EC2" w:rsidRDefault="00C20EC1" w:rsidP="006722C9">
            <w:pPr>
              <w:pStyle w:val="Paragraph"/>
              <w:jc w:val="left"/>
            </w:pPr>
            <w:r>
              <w:t>Wednesday 4</w:t>
            </w:r>
            <w:r w:rsidRPr="00C20EC1">
              <w:rPr>
                <w:vertAlign w:val="superscript"/>
              </w:rPr>
              <w:t>th</w:t>
            </w:r>
            <w:r>
              <w:t xml:space="preserve"> February 2026</w:t>
            </w:r>
          </w:p>
        </w:tc>
      </w:tr>
      <w:tr w:rsidR="006722C9" w:rsidRPr="00974EC2" w14:paraId="08FF2DF5" w14:textId="77777777">
        <w:tc>
          <w:tcPr>
            <w:tcW w:w="2500" w:type="pct"/>
            <w:tcBorders>
              <w:top w:val="single" w:sz="8" w:space="0" w:color="000000"/>
              <w:left w:val="single" w:sz="8" w:space="0" w:color="000000"/>
              <w:bottom w:val="single" w:sz="8" w:space="0" w:color="000000"/>
              <w:right w:val="single" w:sz="8" w:space="0" w:color="000000"/>
            </w:tcBorders>
          </w:tcPr>
          <w:p w14:paraId="69903471" w14:textId="1D462C28" w:rsidR="006722C9" w:rsidRPr="00974EC2" w:rsidRDefault="006722C9" w:rsidP="006722C9">
            <w:pPr>
              <w:pStyle w:val="Paragraph"/>
              <w:jc w:val="left"/>
            </w:pPr>
            <w:r w:rsidRPr="00974EC2">
              <w:lastRenderedPageBreak/>
              <w:t>Contract start [and Works commencement date]</w:t>
            </w:r>
          </w:p>
        </w:tc>
        <w:tc>
          <w:tcPr>
            <w:tcW w:w="2500" w:type="pct"/>
            <w:tcBorders>
              <w:top w:val="single" w:sz="8" w:space="0" w:color="000000"/>
              <w:left w:val="single" w:sz="8" w:space="0" w:color="000000"/>
              <w:bottom w:val="single" w:sz="8" w:space="0" w:color="000000"/>
              <w:right w:val="single" w:sz="8" w:space="0" w:color="000000"/>
            </w:tcBorders>
          </w:tcPr>
          <w:p w14:paraId="5C38C58A" w14:textId="1169ACAE" w:rsidR="006722C9" w:rsidRPr="00974EC2" w:rsidRDefault="00C20EC1" w:rsidP="006722C9">
            <w:pPr>
              <w:pStyle w:val="Paragraph"/>
              <w:jc w:val="left"/>
            </w:pPr>
            <w:r>
              <w:t>Monday 16</w:t>
            </w:r>
            <w:r w:rsidRPr="00C20EC1">
              <w:rPr>
                <w:vertAlign w:val="superscript"/>
              </w:rPr>
              <w:t>th</w:t>
            </w:r>
            <w:r>
              <w:t xml:space="preserve"> February 2026</w:t>
            </w:r>
          </w:p>
        </w:tc>
      </w:tr>
    </w:tbl>
    <w:p w14:paraId="4F2F704D" w14:textId="77777777" w:rsidR="00CC52C0" w:rsidRDefault="00A01C2C">
      <w:pPr>
        <w:pStyle w:val="Parasubclause1"/>
      </w:pPr>
      <w:r w:rsidRPr="00974EC2">
        <w:t>Any changes to the procurement Timetable shall be notified to all Tenderers as soon as practicable.</w:t>
      </w:r>
    </w:p>
    <w:p w14:paraId="37D61CC5" w14:textId="3B185F0F" w:rsidR="00AA1FDF" w:rsidRDefault="00AA1FDF">
      <w:pPr>
        <w:pStyle w:val="Parasubclause1"/>
      </w:pPr>
      <w:r>
        <w:t xml:space="preserve">Tenders are to be submitted by the tender return date to </w:t>
      </w:r>
      <w:hyperlink r:id="rId17" w:history="1">
        <w:r w:rsidRPr="00671089">
          <w:rPr>
            <w:rStyle w:val="Hyperlink"/>
            <w:rFonts w:ascii="Arial" w:hAnsi="Arial"/>
          </w:rPr>
          <w:t>karen.workman@cymoedd.ac.uk</w:t>
        </w:r>
      </w:hyperlink>
    </w:p>
    <w:p w14:paraId="35960966" w14:textId="4DC0FC1F" w:rsidR="004A4078" w:rsidRPr="00974EC2" w:rsidRDefault="004A4078">
      <w:pPr>
        <w:pStyle w:val="Untitledsubclause1"/>
      </w:pPr>
      <w:r w:rsidRPr="00974EC2">
        <w:rPr>
          <w:b/>
          <w:bCs/>
        </w:rPr>
        <w:t>Tender Process</w:t>
      </w:r>
    </w:p>
    <w:p w14:paraId="342CA059" w14:textId="3735D9F6" w:rsidR="00CD08E7" w:rsidRPr="00974EC2" w:rsidRDefault="004A4078" w:rsidP="004B7409">
      <w:pPr>
        <w:pStyle w:val="Untitledsubclause1"/>
        <w:numPr>
          <w:ilvl w:val="0"/>
          <w:numId w:val="0"/>
        </w:numPr>
        <w:ind w:left="720"/>
      </w:pPr>
      <w:r w:rsidRPr="00974EC2">
        <w:t>The procurement will follow a staged process, consisting o</w:t>
      </w:r>
      <w:r w:rsidR="00CD08E7" w:rsidRPr="00974EC2">
        <w:t xml:space="preserve">f: </w:t>
      </w:r>
    </w:p>
    <w:p w14:paraId="33DFE33D" w14:textId="11806DF4" w:rsidR="004A4078" w:rsidRPr="00974EC2" w:rsidRDefault="00CD08E7" w:rsidP="00CD08E7">
      <w:pPr>
        <w:pStyle w:val="Parasubclause1"/>
        <w:numPr>
          <w:ilvl w:val="0"/>
          <w:numId w:val="50"/>
        </w:numPr>
      </w:pPr>
      <w:r w:rsidRPr="00974EC2">
        <w:t xml:space="preserve">Stage 1 – An initial down selection stage, immediately followed by a full written </w:t>
      </w:r>
      <w:r w:rsidR="00247301">
        <w:t>T</w:t>
      </w:r>
      <w:r w:rsidRPr="00974EC2">
        <w:t xml:space="preserve">ender evaluation – Tenderers will need to submit </w:t>
      </w:r>
      <w:r w:rsidR="00123C7A" w:rsidRPr="00974EC2">
        <w:t xml:space="preserve">documentation to satisfy both elements of this Stage, but only those who pass the down selection stage will have their full written </w:t>
      </w:r>
      <w:r w:rsidR="00247301">
        <w:t>T</w:t>
      </w:r>
      <w:r w:rsidR="00123C7A" w:rsidRPr="00974EC2">
        <w:t xml:space="preserve">ender evaluated; and </w:t>
      </w:r>
    </w:p>
    <w:p w14:paraId="3891CB1C" w14:textId="7F3612C9" w:rsidR="00123C7A" w:rsidRPr="00974EC2" w:rsidRDefault="00123C7A" w:rsidP="004B7409">
      <w:pPr>
        <w:pStyle w:val="Parasubclause1"/>
        <w:numPr>
          <w:ilvl w:val="0"/>
          <w:numId w:val="50"/>
        </w:numPr>
      </w:pPr>
      <w:r w:rsidRPr="00974EC2">
        <w:t xml:space="preserve">Stage 2 </w:t>
      </w:r>
      <w:r w:rsidR="00F41A4A" w:rsidRPr="00974EC2">
        <w:t>–</w:t>
      </w:r>
      <w:r w:rsidRPr="00974EC2">
        <w:t xml:space="preserve"> </w:t>
      </w:r>
      <w:r w:rsidR="00F41A4A" w:rsidRPr="00974EC2">
        <w:t xml:space="preserve">Shortlisted bidders (i.e. those who submitted the Top 3 scored bids in Stage 1, will </w:t>
      </w:r>
      <w:r w:rsidR="00795759" w:rsidRPr="00974EC2">
        <w:t>be invited to a Presentation round (see paragraph 2.5).</w:t>
      </w:r>
    </w:p>
    <w:p w14:paraId="005C0361" w14:textId="77777777" w:rsidR="00CC52C0" w:rsidRPr="00974EC2" w:rsidRDefault="00A01C2C">
      <w:pPr>
        <w:pStyle w:val="Untitledsubclause1"/>
        <w:rPr>
          <w:b/>
        </w:rPr>
      </w:pPr>
      <w:bookmarkStart w:id="14" w:name="a894315"/>
      <w:r w:rsidRPr="00974EC2">
        <w:rPr>
          <w:b/>
        </w:rPr>
        <w:t>Deadline for receipt of Tenders</w:t>
      </w:r>
      <w:bookmarkEnd w:id="14"/>
    </w:p>
    <w:p w14:paraId="64FA3DAF" w14:textId="367B94E8" w:rsidR="00CC52C0" w:rsidRPr="00974EC2" w:rsidRDefault="00A01C2C">
      <w:pPr>
        <w:pStyle w:val="Parasubclause1"/>
      </w:pPr>
      <w:r w:rsidRPr="00974EC2">
        <w:t xml:space="preserve">Responses to this ITT must arrive in the manner prescribed under </w:t>
      </w:r>
      <w:r w:rsidRPr="00974EC2">
        <w:fldChar w:fldCharType="begin"/>
      </w:r>
      <w:r w:rsidRPr="00974EC2">
        <w:instrText>PAGEREF a103584\# "'paragraph '"  \h</w:instrText>
      </w:r>
      <w:r w:rsidRPr="00974EC2">
        <w:fldChar w:fldCharType="separate"/>
      </w:r>
      <w:r w:rsidRPr="00974EC2">
        <w:t xml:space="preserve">paragraph </w:t>
      </w:r>
      <w:r w:rsidRPr="00974EC2">
        <w:fldChar w:fldCharType="end"/>
      </w:r>
      <w:r w:rsidRPr="00974EC2">
        <w:fldChar w:fldCharType="begin"/>
      </w:r>
      <w:r w:rsidRPr="00974EC2">
        <w:instrText>REF a103584 \h \w</w:instrText>
      </w:r>
      <w:r w:rsidR="00C516B0" w:rsidRPr="00974EC2">
        <w:instrText xml:space="preserve"> \* MERGEFORMAT </w:instrText>
      </w:r>
      <w:r w:rsidRPr="00974EC2">
        <w:fldChar w:fldCharType="separate"/>
      </w:r>
      <w:r w:rsidRPr="00974EC2">
        <w:t>3.1</w:t>
      </w:r>
      <w:r w:rsidRPr="00974EC2">
        <w:fldChar w:fldCharType="end"/>
      </w:r>
      <w:r w:rsidR="00765A7D">
        <w:t xml:space="preserve"> prior to the deadline.</w:t>
      </w:r>
      <w:r w:rsidRPr="00974EC2">
        <w:t xml:space="preserve"> </w:t>
      </w:r>
    </w:p>
    <w:p w14:paraId="118D34DC" w14:textId="6C15230D" w:rsidR="00977D8C" w:rsidRDefault="00977D8C">
      <w:pPr>
        <w:pStyle w:val="Parasubclause1"/>
      </w:pPr>
      <w:r>
        <w:t>Do not leave your response until the last minute or hours before the deadline</w:t>
      </w:r>
      <w:r w:rsidR="00817981">
        <w:t xml:space="preserve">. </w:t>
      </w:r>
      <w:r w:rsidR="003B2EF8" w:rsidRPr="003B2EF8">
        <w:t xml:space="preserve">If you experience connection problems, you will miss the </w:t>
      </w:r>
      <w:r w:rsidR="007C3896" w:rsidRPr="003B2EF8">
        <w:t>deadline,</w:t>
      </w:r>
      <w:r w:rsidR="003B2EF8" w:rsidRPr="003B2EF8">
        <w:t xml:space="preserve"> and your response may be deemed non-compliant and rejected. Always upload generic information early to avoid last minute time pressure.</w:t>
      </w:r>
    </w:p>
    <w:p w14:paraId="672733E1" w14:textId="774359F4" w:rsidR="003B2EF8" w:rsidRDefault="00F104CD">
      <w:pPr>
        <w:pStyle w:val="Parasubclause1"/>
      </w:pPr>
      <w:r w:rsidRPr="00F104CD">
        <w:t>The speed at which your submission is received will also depend on the size of the file and the internet bandwidth available to you. Allow sufficient time when tendering electronically. As a general guide, a simple two-page text file should take less than 30 seconds to transmit. A large file (i.e. one approaching 4MB file size) may take several minutes to transmit.</w:t>
      </w:r>
    </w:p>
    <w:p w14:paraId="5FAB4849" w14:textId="02CC0E4A" w:rsidR="005A3825" w:rsidRDefault="005A3825">
      <w:pPr>
        <w:pStyle w:val="Parasubclause1"/>
      </w:pPr>
      <w:proofErr w:type="gramStart"/>
      <w:r w:rsidRPr="005A3825">
        <w:t>A</w:t>
      </w:r>
      <w:r>
        <w:t>ll</w:t>
      </w:r>
      <w:r w:rsidRPr="005A3825">
        <w:t xml:space="preserve"> of</w:t>
      </w:r>
      <w:proofErr w:type="gramEnd"/>
      <w:r w:rsidRPr="005A3825">
        <w:t xml:space="preserve"> the submission </w:t>
      </w:r>
      <w:r>
        <w:t>must</w:t>
      </w:r>
      <w:r w:rsidRPr="005A3825">
        <w:t xml:space="preserve"> be received prior to the submission deadline. If your transmission is part received when the deadline is reached, the submission will fail. </w:t>
      </w:r>
      <w:proofErr w:type="gramStart"/>
      <w:r w:rsidRPr="005A3825">
        <w:t>As a general rule</w:t>
      </w:r>
      <w:proofErr w:type="gramEnd"/>
      <w:r w:rsidRPr="005A3825">
        <w:t>, if the transmission process has not completed within 10 minutes, it has been unsuccessful.</w:t>
      </w:r>
    </w:p>
    <w:p w14:paraId="6F1D4B2C" w14:textId="31A7E872" w:rsidR="00CC52C0" w:rsidRPr="00974EC2" w:rsidRDefault="00A01C2C">
      <w:pPr>
        <w:pStyle w:val="Parasubclause1"/>
      </w:pPr>
      <w:r w:rsidRPr="00974EC2">
        <w:t xml:space="preserve">Any Tender received after the Deadline shall not be opened or considered, unless there are exceptional mitigating circumstances such as a technical failure in connection with </w:t>
      </w:r>
      <w:r w:rsidR="008E1341" w:rsidRPr="00974EC2">
        <w:t>Sell2Wales</w:t>
      </w:r>
      <w:r w:rsidRPr="00974EC2">
        <w:t xml:space="preserve">, which shall be considered by the </w:t>
      </w:r>
      <w:r w:rsidR="00C516B0" w:rsidRPr="00974EC2">
        <w:t>College</w:t>
      </w:r>
      <w:r w:rsidRPr="00974EC2">
        <w:t xml:space="preserve"> in its absolute discretion.</w:t>
      </w:r>
    </w:p>
    <w:p w14:paraId="51D9D517" w14:textId="3E0C5515" w:rsidR="00CC52C0" w:rsidRDefault="00A01C2C">
      <w:pPr>
        <w:pStyle w:val="Parasubclause1"/>
      </w:pPr>
      <w:r w:rsidRPr="00974EC2">
        <w:lastRenderedPageBreak/>
        <w:t xml:space="preserve">The </w:t>
      </w:r>
      <w:r w:rsidR="00C516B0" w:rsidRPr="00974EC2">
        <w:t>College</w:t>
      </w:r>
      <w:r w:rsidRPr="00974EC2">
        <w:t xml:space="preserve"> may, however, in its own absolute discretion extend the </w:t>
      </w:r>
      <w:r w:rsidR="00BF47E1">
        <w:t>d</w:t>
      </w:r>
      <w:r w:rsidRPr="00974EC2">
        <w:t xml:space="preserve">eadline and in such circumstances the </w:t>
      </w:r>
      <w:r w:rsidR="00C516B0" w:rsidRPr="00974EC2">
        <w:t>College</w:t>
      </w:r>
      <w:r w:rsidRPr="00974EC2">
        <w:t xml:space="preserve"> will notify all Tenderers of any change.</w:t>
      </w:r>
    </w:p>
    <w:p w14:paraId="30357A46" w14:textId="4DBE2485" w:rsidR="00003A38" w:rsidRPr="00A6516A" w:rsidRDefault="00003A38" w:rsidP="00A6516A">
      <w:pPr>
        <w:pStyle w:val="Untitledsubclause1"/>
        <w:rPr>
          <w:b/>
          <w:bCs/>
        </w:rPr>
      </w:pPr>
      <w:r w:rsidRPr="00A6516A">
        <w:rPr>
          <w:b/>
          <w:bCs/>
        </w:rPr>
        <w:t>Acceptance of Tender</w:t>
      </w:r>
    </w:p>
    <w:p w14:paraId="79275713" w14:textId="4C8510DD" w:rsidR="00FB1465" w:rsidRPr="005719B4" w:rsidRDefault="00A6516A" w:rsidP="00154B1C">
      <w:pPr>
        <w:pStyle w:val="Parasubclause1"/>
      </w:pPr>
      <w:r>
        <w:t>Your</w:t>
      </w:r>
      <w:r w:rsidR="00003A38" w:rsidRPr="00BF5B5E">
        <w:t xml:space="preserve"> </w:t>
      </w:r>
      <w:r>
        <w:t>T</w:t>
      </w:r>
      <w:r w:rsidR="00003A38" w:rsidRPr="00BF5B5E">
        <w:t>ender shall remain o</w:t>
      </w:r>
      <w:r w:rsidR="00003A38">
        <w:t xml:space="preserve">pen for acceptance by the College for a period </w:t>
      </w:r>
      <w:r w:rsidR="003C144E">
        <w:rPr>
          <w:b/>
        </w:rPr>
        <w:t xml:space="preserve">of </w:t>
      </w:r>
      <w:r w:rsidR="003C144E" w:rsidRPr="00090355">
        <w:rPr>
          <w:bCs/>
        </w:rPr>
        <w:t>[</w:t>
      </w:r>
      <w:r w:rsidR="00283D88">
        <w:t>NUMBER</w:t>
      </w:r>
      <w:r w:rsidR="00003A38">
        <w:t>] weeks from submission</w:t>
      </w:r>
      <w:r w:rsidR="00BF47E1">
        <w:t>.</w:t>
      </w:r>
    </w:p>
    <w:p w14:paraId="2CD0A1CF" w14:textId="77777777" w:rsidR="00CC52C0" w:rsidRPr="00974EC2" w:rsidRDefault="00A01C2C">
      <w:pPr>
        <w:pStyle w:val="Untitledsubclause1"/>
        <w:rPr>
          <w:b/>
        </w:rPr>
      </w:pPr>
      <w:bookmarkStart w:id="15" w:name="a369628"/>
      <w:r w:rsidRPr="00974EC2">
        <w:rPr>
          <w:b/>
        </w:rPr>
        <w:t>References</w:t>
      </w:r>
      <w:bookmarkEnd w:id="15"/>
    </w:p>
    <w:p w14:paraId="5ADC3C7E" w14:textId="27933912" w:rsidR="00CC52C0" w:rsidRPr="00974EC2" w:rsidRDefault="00A01C2C">
      <w:pPr>
        <w:pStyle w:val="Parasubclause1"/>
      </w:pPr>
      <w:r w:rsidRPr="00974EC2">
        <w:t xml:space="preserve">Tenderers are requested to supply </w:t>
      </w:r>
      <w:r w:rsidR="007C3896">
        <w:t>two</w:t>
      </w:r>
      <w:r w:rsidRPr="00974EC2">
        <w:t xml:space="preserve"> references. References will be used to verify the technical proposals put forward in the Tender and will not be scored.</w:t>
      </w:r>
    </w:p>
    <w:p w14:paraId="4E0993C0" w14:textId="7257F576" w:rsidR="00CC52C0" w:rsidRPr="00974EC2" w:rsidRDefault="00A01C2C">
      <w:pPr>
        <w:pStyle w:val="Parasubclause1"/>
      </w:pPr>
      <w:r w:rsidRPr="00974EC2">
        <w:t xml:space="preserve">The </w:t>
      </w:r>
      <w:r w:rsidR="00C516B0" w:rsidRPr="00974EC2">
        <w:t>College</w:t>
      </w:r>
      <w:r w:rsidRPr="00974EC2">
        <w:t xml:space="preserve"> reserves the right to seek references from any of the Tenderer's customers, including the </w:t>
      </w:r>
      <w:r w:rsidR="00C516B0" w:rsidRPr="00974EC2">
        <w:t>College</w:t>
      </w:r>
      <w:r w:rsidRPr="00974EC2">
        <w:t xml:space="preserve">, </w:t>
      </w:r>
      <w:proofErr w:type="gramStart"/>
      <w:r w:rsidRPr="00974EC2">
        <w:t>whether or not</w:t>
      </w:r>
      <w:proofErr w:type="gramEnd"/>
      <w:r w:rsidRPr="00974EC2">
        <w:t xml:space="preserve"> the Tenderer has listed such customers as referees.</w:t>
      </w:r>
    </w:p>
    <w:p w14:paraId="24FD2DE8" w14:textId="4B2567DC" w:rsidR="00CC52C0" w:rsidRPr="00A6516A" w:rsidRDefault="00A01C2C">
      <w:pPr>
        <w:pStyle w:val="Untitledsubclause1"/>
        <w:rPr>
          <w:b/>
          <w:bCs/>
        </w:rPr>
      </w:pPr>
      <w:r w:rsidRPr="00A6516A">
        <w:rPr>
          <w:b/>
          <w:bCs/>
        </w:rPr>
        <w:fldChar w:fldCharType="begin"/>
      </w:r>
      <w:r w:rsidRPr="00A6516A">
        <w:rPr>
          <w:b/>
          <w:bCs/>
        </w:rPr>
        <w:fldChar w:fldCharType="end"/>
      </w:r>
      <w:bookmarkStart w:id="16" w:name="a364657"/>
      <w:r w:rsidRPr="00DB405D">
        <w:rPr>
          <w:b/>
          <w:bCs/>
        </w:rPr>
        <w:t>Presentations</w:t>
      </w:r>
      <w:bookmarkEnd w:id="16"/>
    </w:p>
    <w:p w14:paraId="1FD6D15C" w14:textId="7AD63062" w:rsidR="00CC52C0" w:rsidRPr="00974EC2" w:rsidRDefault="00A01C2C">
      <w:pPr>
        <w:pStyle w:val="Parasubclause1"/>
      </w:pPr>
      <w:r w:rsidRPr="00974EC2">
        <w:t xml:space="preserve">A maximum of the top three scoring Tenderers will be invited to deliver a presentation to representatives of the </w:t>
      </w:r>
      <w:r w:rsidR="00C516B0" w:rsidRPr="00974EC2">
        <w:t>College</w:t>
      </w:r>
      <w:r w:rsidRPr="00974EC2">
        <w:t xml:space="preserve"> in support of their Tenders, as set out in the Timetable. You should keep this date free in case you are asked to attend.</w:t>
      </w:r>
    </w:p>
    <w:p w14:paraId="0F2A731E" w14:textId="3221F58A" w:rsidR="00CC52C0" w:rsidRPr="00974EC2" w:rsidRDefault="00A01C2C">
      <w:pPr>
        <w:pStyle w:val="Parasubclause1"/>
      </w:pPr>
      <w:r w:rsidRPr="00974EC2">
        <w:t>The presentations will be used to evaluate the Evaluation Criteri</w:t>
      </w:r>
      <w:r w:rsidR="00531842" w:rsidRPr="00974EC2">
        <w:t>a</w:t>
      </w:r>
      <w:r w:rsidRPr="00974EC2">
        <w:t xml:space="preserve"> specified in the Tender Evaluation Model.</w:t>
      </w:r>
    </w:p>
    <w:p w14:paraId="6AF98608" w14:textId="24C2C4CF" w:rsidR="00CC52C0" w:rsidRPr="00974EC2" w:rsidRDefault="00A01C2C">
      <w:pPr>
        <w:pStyle w:val="Parasubclause1"/>
      </w:pPr>
      <w:r w:rsidRPr="00974EC2">
        <w:t xml:space="preserve">The names and positions of those attending from the </w:t>
      </w:r>
      <w:r w:rsidR="00C516B0" w:rsidRPr="00974EC2">
        <w:t>College</w:t>
      </w:r>
      <w:r w:rsidRPr="00974EC2">
        <w:t xml:space="preserve"> will be notified to all Tenderers in advance of the presentation.</w:t>
      </w:r>
    </w:p>
    <w:p w14:paraId="0197C7DD" w14:textId="564E1D37" w:rsidR="00CC52C0" w:rsidRDefault="00A01C2C">
      <w:pPr>
        <w:pStyle w:val="Parasubclause1"/>
      </w:pPr>
      <w:r w:rsidRPr="00974EC2">
        <w:t xml:space="preserve">Topics for discussion for the presentation will be issued no later than </w:t>
      </w:r>
      <w:r w:rsidR="00D56032">
        <w:t>5</w:t>
      </w:r>
      <w:r w:rsidRPr="00974EC2">
        <w:t xml:space="preserve"> days before the presentation.</w:t>
      </w:r>
      <w:r w:rsidR="00D56032">
        <w:t xml:space="preserve"> Interior design images, detailed programme and schedule of inventory will be required</w:t>
      </w:r>
    </w:p>
    <w:p w14:paraId="26E8F3D9" w14:textId="77777777" w:rsidR="00D56032" w:rsidRPr="00974EC2" w:rsidRDefault="00D56032">
      <w:pPr>
        <w:pStyle w:val="Parasubclause1"/>
      </w:pPr>
    </w:p>
    <w:p w14:paraId="36DB0C94" w14:textId="77777777" w:rsidR="00CC52C0" w:rsidRPr="00974EC2" w:rsidRDefault="00A01C2C">
      <w:pPr>
        <w:pStyle w:val="Untitledsubclause1"/>
        <w:rPr>
          <w:b/>
        </w:rPr>
      </w:pPr>
      <w:bookmarkStart w:id="17" w:name="a639810"/>
      <w:r w:rsidRPr="00974EC2">
        <w:rPr>
          <w:b/>
        </w:rPr>
        <w:t>Contract award</w:t>
      </w:r>
      <w:bookmarkEnd w:id="17"/>
    </w:p>
    <w:p w14:paraId="0C7E5273" w14:textId="7EC634A9" w:rsidR="00CC52C0" w:rsidRPr="00974EC2" w:rsidRDefault="00A01C2C">
      <w:pPr>
        <w:pStyle w:val="Parasubclause1"/>
      </w:pPr>
      <w:r w:rsidRPr="00974EC2">
        <w:t xml:space="preserve">The </w:t>
      </w:r>
      <w:r w:rsidR="00C516B0" w:rsidRPr="00974EC2">
        <w:t>College</w:t>
      </w:r>
      <w:r w:rsidRPr="00974EC2">
        <w:t xml:space="preserve"> may award Contrac</w:t>
      </w:r>
      <w:r w:rsidR="00531604" w:rsidRPr="00974EC2">
        <w:t>t</w:t>
      </w:r>
      <w:r w:rsidRPr="00974EC2">
        <w:t xml:space="preserve"> </w:t>
      </w:r>
      <w:r w:rsidR="000B3176" w:rsidRPr="00974EC2">
        <w:t xml:space="preserve">following completion of the </w:t>
      </w:r>
      <w:r w:rsidR="00255DD5" w:rsidRPr="00974EC2">
        <w:t>staged evaluation process as described in paragraph 2.2. Bidders should not</w:t>
      </w:r>
      <w:r w:rsidR="0042660F" w:rsidRPr="00974EC2">
        <w:t>e</w:t>
      </w:r>
      <w:r w:rsidR="00255DD5" w:rsidRPr="00974EC2">
        <w:t xml:space="preserve"> that the procurement consists of a down selection stage, a full written </w:t>
      </w:r>
      <w:r w:rsidR="00F15E26">
        <w:t>T</w:t>
      </w:r>
      <w:r w:rsidR="00255DD5" w:rsidRPr="00974EC2">
        <w:t>ender evaluation and presentations for the [top three] bidders.</w:t>
      </w:r>
    </w:p>
    <w:p w14:paraId="652DCC0F" w14:textId="55223342" w:rsidR="00CC52C0" w:rsidRPr="00974EC2" w:rsidRDefault="00A01C2C">
      <w:pPr>
        <w:pStyle w:val="Parasubclause1"/>
      </w:pPr>
      <w:r w:rsidRPr="00974EC2">
        <w:t xml:space="preserve">Contract award is subject to the formal approval process of the </w:t>
      </w:r>
      <w:r w:rsidR="00C516B0" w:rsidRPr="00974EC2">
        <w:t>College</w:t>
      </w:r>
      <w:r w:rsidRPr="00974EC2">
        <w:t>. Until all necessary approvals are obtained, no Contract will be entered into.</w:t>
      </w:r>
    </w:p>
    <w:p w14:paraId="28FA43D3" w14:textId="55A7D9A7" w:rsidR="00CC52C0" w:rsidRPr="00974EC2" w:rsidRDefault="00A01C2C">
      <w:pPr>
        <w:pStyle w:val="Parasubclause1"/>
      </w:pPr>
      <w:r w:rsidRPr="00974EC2">
        <w:lastRenderedPageBreak/>
        <w:t xml:space="preserve">Once the </w:t>
      </w:r>
      <w:r w:rsidR="00C516B0" w:rsidRPr="00974EC2">
        <w:t>College</w:t>
      </w:r>
      <w:r w:rsidRPr="00974EC2">
        <w:t xml:space="preserve"> has reached a decision in respect of a contract award, </w:t>
      </w:r>
      <w:r w:rsidR="00D76E60" w:rsidRPr="00974EC2">
        <w:t>all bidders will be notified of the outcome of the procurement prior to contract award</w:t>
      </w:r>
      <w:r w:rsidRPr="00974EC2">
        <w:t>.</w:t>
      </w:r>
      <w:r w:rsidR="00531604" w:rsidRPr="00974EC2">
        <w:t xml:space="preserve"> </w:t>
      </w:r>
      <w:r w:rsidR="00D76E60" w:rsidRPr="00974EC2">
        <w:t>No formal standstill period will be held</w:t>
      </w:r>
      <w:r w:rsidR="001C6CF8" w:rsidRPr="00974EC2">
        <w:t>.</w:t>
      </w:r>
      <w:r w:rsidR="00753CB4" w:rsidRPr="00974EC2">
        <w:t xml:space="preserve"> </w:t>
      </w:r>
    </w:p>
    <w:p w14:paraId="0084DD63" w14:textId="77777777" w:rsidR="00CC52C0" w:rsidRPr="00974EC2" w:rsidRDefault="00A01C2C">
      <w:pPr>
        <w:pStyle w:val="TitleClause"/>
      </w:pPr>
      <w:r w:rsidRPr="00974EC2">
        <w:fldChar w:fldCharType="begin"/>
      </w:r>
      <w:r w:rsidRPr="00974EC2">
        <w:instrText>TC "3. Tender completion information" \l 1</w:instrText>
      </w:r>
      <w:r w:rsidRPr="00974EC2">
        <w:fldChar w:fldCharType="end"/>
      </w:r>
      <w:bookmarkStart w:id="18" w:name="a803841"/>
      <w:bookmarkStart w:id="19" w:name="_Toc216178766"/>
      <w:r w:rsidRPr="00974EC2">
        <w:t>Tender completion information</w:t>
      </w:r>
      <w:bookmarkEnd w:id="18"/>
      <w:bookmarkEnd w:id="19"/>
    </w:p>
    <w:p w14:paraId="042DCBB4" w14:textId="77777777" w:rsidR="00CC52C0" w:rsidRPr="00974EC2" w:rsidRDefault="00A01C2C">
      <w:pPr>
        <w:pStyle w:val="Untitledsubclause1"/>
        <w:rPr>
          <w:b/>
        </w:rPr>
      </w:pPr>
      <w:bookmarkStart w:id="20" w:name="a103584"/>
      <w:r w:rsidRPr="00974EC2">
        <w:rPr>
          <w:b/>
        </w:rPr>
        <w:t>Formalities</w:t>
      </w:r>
      <w:bookmarkEnd w:id="20"/>
    </w:p>
    <w:p w14:paraId="6BEC61DC" w14:textId="15F19312" w:rsidR="00CC52C0" w:rsidRPr="00974EC2" w:rsidRDefault="00A01C2C">
      <w:pPr>
        <w:pStyle w:val="Parasubclause1"/>
      </w:pPr>
      <w:r w:rsidRPr="00974EC2">
        <w:t xml:space="preserve">All documents comprising the Tender must be completed and uploaded to </w:t>
      </w:r>
      <w:r w:rsidR="008E1341" w:rsidRPr="00974EC2">
        <w:t>Sell2Wales</w:t>
      </w:r>
      <w:r w:rsidRPr="00974EC2">
        <w:t xml:space="preserve"> by </w:t>
      </w:r>
      <w:r w:rsidR="00431E17" w:rsidRPr="00974EC2">
        <w:t xml:space="preserve">the </w:t>
      </w:r>
      <w:r w:rsidRPr="00974EC2">
        <w:t>Deadline.</w:t>
      </w:r>
    </w:p>
    <w:p w14:paraId="698FCF86" w14:textId="028B0483" w:rsidR="00CC52C0" w:rsidRPr="00974EC2" w:rsidRDefault="00A01C2C">
      <w:pPr>
        <w:pStyle w:val="Parasubclause1"/>
      </w:pPr>
      <w:r w:rsidRPr="00974EC2">
        <w:t>The following requirements must be adhered to when submitting Tenders:</w:t>
      </w:r>
    </w:p>
    <w:p w14:paraId="4D19488E" w14:textId="0EAB4D26" w:rsidR="00CC52C0" w:rsidRPr="00974EC2" w:rsidRDefault="00A01C2C">
      <w:pPr>
        <w:pStyle w:val="subclause1Bullet1"/>
      </w:pPr>
      <w:r w:rsidRPr="00974EC2">
        <w:t xml:space="preserve">The pages of the Tender documents must be numbered sequentially as "Page x of xx" and include the date and title of the document on each page of the main body. </w:t>
      </w:r>
    </w:p>
    <w:p w14:paraId="5E01599C" w14:textId="77777777" w:rsidR="00CC52C0" w:rsidRPr="00974EC2" w:rsidRDefault="00A01C2C">
      <w:pPr>
        <w:pStyle w:val="subclause1Bullet1"/>
      </w:pPr>
      <w:r w:rsidRPr="00974EC2">
        <w:t>Any additional pre-existing material that is necessary to support the Tender should be included as schedules with cross-references to this material in the main body of the Tender. Cross-references to this ITT should also be included in the Tender whenever this is relevant.</w:t>
      </w:r>
    </w:p>
    <w:p w14:paraId="74D79055" w14:textId="77777777" w:rsidR="00CC52C0" w:rsidRPr="00974EC2" w:rsidRDefault="00A01C2C">
      <w:pPr>
        <w:pStyle w:val="subclause1Bullet1"/>
      </w:pPr>
      <w:r w:rsidRPr="00974EC2">
        <w:t>Where documents are embedded within other documents, Tenderers must upload separate copies of the embedded documents.</w:t>
      </w:r>
    </w:p>
    <w:p w14:paraId="0CC904D8" w14:textId="1078485B" w:rsidR="00CC52C0" w:rsidRPr="00974EC2" w:rsidRDefault="00A01C2C">
      <w:pPr>
        <w:pStyle w:val="subclause1Bullet1"/>
      </w:pPr>
      <w:r w:rsidRPr="00974EC2">
        <w:t>The Tender must be</w:t>
      </w:r>
      <w:r w:rsidR="00724E66">
        <w:t xml:space="preserve"> submitted</w:t>
      </w:r>
      <w:r w:rsidRPr="00974EC2">
        <w:t xml:space="preserve"> in English</w:t>
      </w:r>
      <w:r w:rsidR="00DB4CBD">
        <w:t xml:space="preserve"> </w:t>
      </w:r>
      <w:r w:rsidRPr="00974EC2">
        <w:t>and drafted in accordance with the drafting guidance set out in this ITT.</w:t>
      </w:r>
    </w:p>
    <w:p w14:paraId="16CB7E9B" w14:textId="77777777" w:rsidR="00CC52C0" w:rsidRPr="00974EC2" w:rsidRDefault="00A01C2C">
      <w:pPr>
        <w:pStyle w:val="subclause1Bullet1"/>
      </w:pPr>
      <w:r w:rsidRPr="00974EC2">
        <w:t>A table of contents must be provided.</w:t>
      </w:r>
    </w:p>
    <w:p w14:paraId="17C4B343" w14:textId="77777777" w:rsidR="00CC52C0" w:rsidRPr="00974EC2" w:rsidRDefault="00A01C2C">
      <w:pPr>
        <w:pStyle w:val="subclause1Bullet1"/>
      </w:pPr>
      <w:r w:rsidRPr="00974EC2">
        <w:t>The Tender must be fully cross-referenced.</w:t>
      </w:r>
    </w:p>
    <w:p w14:paraId="701DD898" w14:textId="77777777" w:rsidR="00CC52C0" w:rsidRPr="00974EC2" w:rsidRDefault="00A01C2C">
      <w:pPr>
        <w:pStyle w:val="subclause1Bullet1"/>
      </w:pPr>
      <w:r w:rsidRPr="00974EC2">
        <w:t>A list of supporting material must be supplied.</w:t>
      </w:r>
    </w:p>
    <w:p w14:paraId="440B3575" w14:textId="5EC17A4A" w:rsidR="00CC52C0" w:rsidRPr="00974EC2" w:rsidRDefault="00A01C2C">
      <w:pPr>
        <w:pStyle w:val="subclause1Bullet1"/>
      </w:pPr>
      <w:r w:rsidRPr="00974EC2">
        <w:t xml:space="preserve">Tenderers should use </w:t>
      </w:r>
      <w:r w:rsidR="00DB4CBD">
        <w:t>Arial size 11 font</w:t>
      </w:r>
      <w:r w:rsidRPr="00974EC2">
        <w:t>.</w:t>
      </w:r>
    </w:p>
    <w:p w14:paraId="7D0E9541" w14:textId="0DEB842F" w:rsidR="00CC52C0" w:rsidRPr="00974EC2" w:rsidRDefault="00CC52C0" w:rsidP="00DB4CBD">
      <w:pPr>
        <w:pStyle w:val="subclause1Bullet1"/>
        <w:numPr>
          <w:ilvl w:val="0"/>
          <w:numId w:val="0"/>
        </w:numPr>
      </w:pPr>
    </w:p>
    <w:p w14:paraId="3380D0F4" w14:textId="21C832EF" w:rsidR="00CC52C0" w:rsidRPr="00974EC2" w:rsidRDefault="00A01C2C">
      <w:pPr>
        <w:pStyle w:val="Parasubclause1"/>
      </w:pPr>
      <w:r w:rsidRPr="00974EC2">
        <w:t xml:space="preserve">The Tender must be clear, concise and complete. The </w:t>
      </w:r>
      <w:r w:rsidR="00C516B0" w:rsidRPr="00974EC2">
        <w:t>College</w:t>
      </w:r>
      <w:r w:rsidRPr="00974EC2">
        <w:t xml:space="preserve"> reserves the right to mark a Tenderer down or exclude it from the procurement if its Tender contains any ambiguities or caveats or lacks clarity. </w:t>
      </w:r>
      <w:r w:rsidR="00C50C55">
        <w:t xml:space="preserve">No unauthorised alterations or additions are to be made to the Form of Tender or any other component of the Tender document. </w:t>
      </w:r>
      <w:r w:rsidRPr="00974EC2">
        <w:t xml:space="preserve">Tenderers should submit only such information as is necessary to respond effectively to this ITT. Tenders will be evaluated </w:t>
      </w:r>
      <w:proofErr w:type="gramStart"/>
      <w:r w:rsidRPr="00974EC2">
        <w:t>on the basis of</w:t>
      </w:r>
      <w:proofErr w:type="gramEnd"/>
      <w:r w:rsidRPr="00974EC2">
        <w:t xml:space="preserve"> information submitted by the Deadline.</w:t>
      </w:r>
      <w:r w:rsidR="002A0A24" w:rsidRPr="002A0A24">
        <w:t xml:space="preserve"> </w:t>
      </w:r>
    </w:p>
    <w:p w14:paraId="6FDD01AC" w14:textId="04EA3AEA" w:rsidR="00CC52C0" w:rsidRPr="00974EC2" w:rsidRDefault="00A01C2C">
      <w:pPr>
        <w:pStyle w:val="Parasubclause1"/>
      </w:pPr>
      <w:r w:rsidRPr="00974EC2">
        <w:t>The Tenderer must upload a duly executed Form of Tender (</w:t>
      </w:r>
      <w:r w:rsidRPr="00974EC2">
        <w:fldChar w:fldCharType="begin"/>
      </w:r>
      <w:r w:rsidRPr="00974EC2">
        <w:instrText>REF a737736 \h \w</w:instrText>
      </w:r>
      <w:r w:rsidR="00C516B0" w:rsidRPr="00974EC2">
        <w:instrText xml:space="preserve"> \* MERGEFORMAT </w:instrText>
      </w:r>
      <w:r w:rsidRPr="00974EC2">
        <w:fldChar w:fldCharType="separate"/>
      </w:r>
      <w:r w:rsidRPr="00974EC2">
        <w:t xml:space="preserve">Schedule </w:t>
      </w:r>
      <w:r w:rsidRPr="00974EC2">
        <w:fldChar w:fldCharType="end"/>
      </w:r>
      <w:r w:rsidR="00724E66">
        <w:t>6</w:t>
      </w:r>
      <w:r w:rsidRPr="00974EC2">
        <w:t xml:space="preserve">). Where the Tenderer is a company, the Tender must be signed by a duly authorised representative of </w:t>
      </w:r>
      <w:r w:rsidRPr="00974EC2">
        <w:lastRenderedPageBreak/>
        <w:t>that company. Where the Tenderer is a consortium, the Tender must be signed by the lead authorised representative of the consortium, which organisation shall be responsible for the performance of the Contract. In the case of a partnership, all the partners should sign or, alternatively, one only may sign, in which case they must have and should state that they have authority to sign on behalf of the other partner(s). The names of all the partners should be given in full together with the trading name of the partnership. In the case of a sole trader, they should sign and give their name in full together with the name under which they are trading.</w:t>
      </w:r>
    </w:p>
    <w:p w14:paraId="4D25851C" w14:textId="77777777" w:rsidR="00CC52C0" w:rsidRPr="00974EC2" w:rsidRDefault="00A01C2C">
      <w:pPr>
        <w:pStyle w:val="Untitledsubclause1"/>
        <w:rPr>
          <w:b/>
        </w:rPr>
      </w:pPr>
      <w:bookmarkStart w:id="21" w:name="a348295"/>
      <w:r w:rsidRPr="00974EC2">
        <w:rPr>
          <w:b/>
        </w:rPr>
        <w:t>Submission of Tenders</w:t>
      </w:r>
      <w:bookmarkEnd w:id="21"/>
    </w:p>
    <w:p w14:paraId="77E9968E" w14:textId="58D1053C" w:rsidR="00CC52C0" w:rsidRPr="00974EC2" w:rsidRDefault="00A01C2C" w:rsidP="004B7409">
      <w:pPr>
        <w:pStyle w:val="Parasubclause1"/>
      </w:pPr>
      <w:r w:rsidRPr="00974EC2">
        <w:t>Each Tenderer</w:t>
      </w:r>
      <w:r w:rsidR="00A70BED" w:rsidRPr="00974EC2">
        <w:t xml:space="preserve"> m</w:t>
      </w:r>
      <w:r w:rsidRPr="00974EC2">
        <w:t>ust submit one Tender</w:t>
      </w:r>
      <w:r w:rsidR="00A70BED" w:rsidRPr="00974EC2">
        <w:t>.</w:t>
      </w:r>
    </w:p>
    <w:p w14:paraId="0D3D16F3" w14:textId="437699CD" w:rsidR="00CC52C0" w:rsidRDefault="00A01C2C">
      <w:pPr>
        <w:pStyle w:val="Parasubclause1"/>
      </w:pPr>
      <w:r w:rsidRPr="00974EC2">
        <w:t xml:space="preserve">The Tender must meet the </w:t>
      </w:r>
      <w:r w:rsidR="00C516B0" w:rsidRPr="00974EC2">
        <w:t>College</w:t>
      </w:r>
      <w:r w:rsidRPr="00974EC2">
        <w:t xml:space="preserve">'s minimum requirements, operate as a standalone bid and not be dependent on any other bid or any other factors external to the Tender itself. That is, the Tender must be capable of being accepted by the </w:t>
      </w:r>
      <w:r w:rsidR="00C516B0" w:rsidRPr="00974EC2">
        <w:t>College</w:t>
      </w:r>
      <w:r w:rsidRPr="00974EC2">
        <w:t xml:space="preserve"> in its own right.</w:t>
      </w:r>
    </w:p>
    <w:p w14:paraId="2A8D1F9E" w14:textId="2A1A542E" w:rsidR="001B7056" w:rsidRDefault="001B7056" w:rsidP="001B7056">
      <w:pPr>
        <w:pStyle w:val="Parasubclause1"/>
      </w:pPr>
      <w:r w:rsidRPr="00E02E0C">
        <w:t>Failure to submit any of the Tender do</w:t>
      </w:r>
      <w:r>
        <w:t>cumentation</w:t>
      </w:r>
      <w:r w:rsidRPr="00E02E0C">
        <w:t xml:space="preserve"> specified below will result in the exclusion of the Tenderer from any further consideration by the </w:t>
      </w:r>
      <w:r>
        <w:t>College</w:t>
      </w:r>
    </w:p>
    <w:p w14:paraId="5D3789D6" w14:textId="5AFEDEAB" w:rsidR="006C60A5" w:rsidRDefault="006C60A5" w:rsidP="006C60A5">
      <w:pPr>
        <w:pStyle w:val="Parasubclause1"/>
      </w:pPr>
      <w:r>
        <w:t>The following documentation must be submitted with the Tender</w:t>
      </w:r>
    </w:p>
    <w:p w14:paraId="07855A95" w14:textId="14DF2E9C" w:rsidR="001F17A6" w:rsidRDefault="007533DB" w:rsidP="00250697">
      <w:pPr>
        <w:pStyle w:val="subclause1Bullet1"/>
        <w:ind w:left="1077" w:hanging="357"/>
      </w:pPr>
      <w:r>
        <w:t>Evidence of competence to undertake the role of Contractor [and/or Principal Contractor]</w:t>
      </w:r>
      <w:r w:rsidR="00C90A2E">
        <w:t>, for the purposes of the Construction (Design and Management) Regulations 2015</w:t>
      </w:r>
      <w:r w:rsidR="00250697">
        <w:t xml:space="preserve">, in respect of the specific </w:t>
      </w:r>
      <w:r w:rsidR="0090587F">
        <w:t>W</w:t>
      </w:r>
      <w:r w:rsidR="00250697">
        <w:t>orks to which this Invitation relates</w:t>
      </w:r>
    </w:p>
    <w:p w14:paraId="48BF5CFA" w14:textId="0F178234" w:rsidR="00562D94" w:rsidRDefault="0023150E" w:rsidP="00250697">
      <w:pPr>
        <w:pStyle w:val="subclause1Bullet1"/>
        <w:ind w:left="1077" w:hanging="357"/>
      </w:pPr>
      <w:r w:rsidRPr="0023150E">
        <w:t xml:space="preserve">Evidence of maintaining contract insurances as set out in Contract Data Part 1. For the avoidance of doubt the appropriate levels are: </w:t>
      </w:r>
    </w:p>
    <w:tbl>
      <w:tblPr>
        <w:tblStyle w:val="TableGrid"/>
        <w:tblW w:w="0" w:type="auto"/>
        <w:tblInd w:w="1077" w:type="dxa"/>
        <w:tblLook w:val="04A0" w:firstRow="1" w:lastRow="0" w:firstColumn="1" w:lastColumn="0" w:noHBand="0" w:noVBand="1"/>
      </w:tblPr>
      <w:tblGrid>
        <w:gridCol w:w="4147"/>
        <w:gridCol w:w="4126"/>
      </w:tblGrid>
      <w:tr w:rsidR="00A66C9B" w14:paraId="54D2B3DB" w14:textId="77777777" w:rsidTr="00D616F1">
        <w:trPr>
          <w:trHeight w:val="327"/>
        </w:trPr>
        <w:tc>
          <w:tcPr>
            <w:tcW w:w="4147" w:type="dxa"/>
          </w:tcPr>
          <w:p w14:paraId="0C186549" w14:textId="3B546E92" w:rsidR="00A66C9B" w:rsidRPr="00D616F1" w:rsidRDefault="006E5E85" w:rsidP="0023150E">
            <w:pPr>
              <w:pStyle w:val="subclause1Bullet1"/>
              <w:numPr>
                <w:ilvl w:val="0"/>
                <w:numId w:val="0"/>
              </w:numPr>
              <w:rPr>
                <w:b/>
                <w:bCs/>
              </w:rPr>
            </w:pPr>
            <w:r w:rsidRPr="00D616F1">
              <w:rPr>
                <w:b/>
                <w:bCs/>
              </w:rPr>
              <w:t>Type of insurance</w:t>
            </w:r>
          </w:p>
        </w:tc>
        <w:tc>
          <w:tcPr>
            <w:tcW w:w="4126" w:type="dxa"/>
          </w:tcPr>
          <w:p w14:paraId="1EF269D4" w14:textId="24545C07" w:rsidR="00A66C9B" w:rsidRPr="00D616F1" w:rsidRDefault="006E5E85" w:rsidP="0023150E">
            <w:pPr>
              <w:pStyle w:val="subclause1Bullet1"/>
              <w:numPr>
                <w:ilvl w:val="0"/>
                <w:numId w:val="0"/>
              </w:numPr>
              <w:rPr>
                <w:b/>
                <w:bCs/>
              </w:rPr>
            </w:pPr>
            <w:r w:rsidRPr="00D616F1">
              <w:rPr>
                <w:b/>
                <w:bCs/>
              </w:rPr>
              <w:t>Level required</w:t>
            </w:r>
          </w:p>
        </w:tc>
      </w:tr>
      <w:tr w:rsidR="00A66C9B" w14:paraId="58ABB385" w14:textId="77777777" w:rsidTr="00D616F1">
        <w:tc>
          <w:tcPr>
            <w:tcW w:w="4147" w:type="dxa"/>
          </w:tcPr>
          <w:p w14:paraId="324AC5D8" w14:textId="25E47F51" w:rsidR="00A66C9B" w:rsidRDefault="00C074B6" w:rsidP="0023150E">
            <w:pPr>
              <w:pStyle w:val="subclause1Bullet1"/>
              <w:numPr>
                <w:ilvl w:val="0"/>
                <w:numId w:val="0"/>
              </w:numPr>
            </w:pPr>
            <w:r>
              <w:t>Professional Indemnity</w:t>
            </w:r>
          </w:p>
        </w:tc>
        <w:tc>
          <w:tcPr>
            <w:tcW w:w="4126" w:type="dxa"/>
          </w:tcPr>
          <w:p w14:paraId="7994B333" w14:textId="206ED9AE" w:rsidR="00A66C9B" w:rsidRDefault="00C074B6" w:rsidP="0023150E">
            <w:pPr>
              <w:pStyle w:val="subclause1Bullet1"/>
              <w:numPr>
                <w:ilvl w:val="0"/>
                <w:numId w:val="0"/>
              </w:numPr>
            </w:pPr>
            <w:r>
              <w:t>£2 million</w:t>
            </w:r>
          </w:p>
        </w:tc>
      </w:tr>
      <w:tr w:rsidR="00EE5C55" w14:paraId="33FF99E9" w14:textId="77777777" w:rsidTr="00D616F1">
        <w:tc>
          <w:tcPr>
            <w:tcW w:w="4147" w:type="dxa"/>
          </w:tcPr>
          <w:p w14:paraId="5200EA09" w14:textId="6C506AB3" w:rsidR="00EE5C55" w:rsidRDefault="003E556D" w:rsidP="0023150E">
            <w:pPr>
              <w:pStyle w:val="subclause1Bullet1"/>
              <w:numPr>
                <w:ilvl w:val="0"/>
                <w:numId w:val="0"/>
              </w:numPr>
            </w:pPr>
            <w:r>
              <w:t>Public liability Insurance</w:t>
            </w:r>
          </w:p>
        </w:tc>
        <w:tc>
          <w:tcPr>
            <w:tcW w:w="4126" w:type="dxa"/>
          </w:tcPr>
          <w:p w14:paraId="081F4DFD" w14:textId="0297DDE1" w:rsidR="00EE5C55" w:rsidRDefault="00A963A5" w:rsidP="0023150E">
            <w:pPr>
              <w:pStyle w:val="subclause1Bullet1"/>
              <w:numPr>
                <w:ilvl w:val="0"/>
                <w:numId w:val="0"/>
              </w:numPr>
            </w:pPr>
            <w:r>
              <w:t>£10 million</w:t>
            </w:r>
          </w:p>
        </w:tc>
      </w:tr>
      <w:tr w:rsidR="00A963A5" w14:paraId="62995733" w14:textId="77777777" w:rsidTr="00D616F1">
        <w:tc>
          <w:tcPr>
            <w:tcW w:w="4147" w:type="dxa"/>
          </w:tcPr>
          <w:p w14:paraId="27667029" w14:textId="4BE72A7C" w:rsidR="00A963A5" w:rsidRDefault="00AC783F" w:rsidP="0023150E">
            <w:pPr>
              <w:pStyle w:val="subclause1Bullet1"/>
              <w:numPr>
                <w:ilvl w:val="0"/>
                <w:numId w:val="0"/>
              </w:numPr>
            </w:pPr>
            <w:proofErr w:type="gramStart"/>
            <w:r>
              <w:t>Employers</w:t>
            </w:r>
            <w:proofErr w:type="gramEnd"/>
            <w:r>
              <w:t xml:space="preserve"> liability Insurance</w:t>
            </w:r>
          </w:p>
        </w:tc>
        <w:tc>
          <w:tcPr>
            <w:tcW w:w="4126" w:type="dxa"/>
          </w:tcPr>
          <w:p w14:paraId="1FE9ACDD" w14:textId="35B129DD" w:rsidR="00A963A5" w:rsidRDefault="00AC783F" w:rsidP="0023150E">
            <w:pPr>
              <w:pStyle w:val="subclause1Bullet1"/>
              <w:numPr>
                <w:ilvl w:val="0"/>
                <w:numId w:val="0"/>
              </w:numPr>
            </w:pPr>
            <w:r>
              <w:t>£10 million</w:t>
            </w:r>
          </w:p>
        </w:tc>
      </w:tr>
    </w:tbl>
    <w:p w14:paraId="30592CAE" w14:textId="4C4B65FE" w:rsidR="0023150E" w:rsidRDefault="009464EC" w:rsidP="009464EC">
      <w:pPr>
        <w:pStyle w:val="subclause1Bullet1"/>
        <w:ind w:left="1077" w:hanging="357"/>
      </w:pPr>
      <w:r>
        <w:t>Programme</w:t>
      </w:r>
    </w:p>
    <w:p w14:paraId="2850DD9A" w14:textId="5B5CE4B1" w:rsidR="00D174E6" w:rsidRDefault="00D174E6" w:rsidP="00D616F1">
      <w:pPr>
        <w:pStyle w:val="subclause1Bullet1"/>
        <w:ind w:left="1077" w:hanging="357"/>
      </w:pPr>
      <w:r>
        <w:t>The Tender Response form at Schedule 6.</w:t>
      </w:r>
    </w:p>
    <w:p w14:paraId="53720128" w14:textId="7A28E76F" w:rsidR="00EE3026" w:rsidRDefault="00EE3026" w:rsidP="00D616F1">
      <w:pPr>
        <w:pStyle w:val="subclause1Bullet1"/>
        <w:ind w:left="1077" w:hanging="357"/>
      </w:pPr>
      <w:r>
        <w:t xml:space="preserve">Conflict of Interest Declaration at Schedule </w:t>
      </w:r>
      <w:r w:rsidR="00C12514">
        <w:t>8</w:t>
      </w:r>
      <w:r>
        <w:t>.</w:t>
      </w:r>
    </w:p>
    <w:p w14:paraId="5D9E0B1E" w14:textId="0E43813E" w:rsidR="00987BA7" w:rsidRPr="00974EC2" w:rsidRDefault="00726452" w:rsidP="00D616F1">
      <w:pPr>
        <w:pStyle w:val="subclause1Bullet1"/>
        <w:ind w:left="1077" w:hanging="357"/>
      </w:pPr>
      <w:r w:rsidRPr="00726452">
        <w:lastRenderedPageBreak/>
        <w:t xml:space="preserve">Completed Contract Data </w:t>
      </w:r>
      <w:r w:rsidR="00D21A6F">
        <w:t>Parts 1 and 2</w:t>
      </w:r>
      <w:r w:rsidR="00751A20">
        <w:t xml:space="preserve"> set out in Schedule </w:t>
      </w:r>
      <w:r w:rsidR="007E09CE">
        <w:t>10</w:t>
      </w:r>
      <w:r w:rsidR="00751A20">
        <w:t>. T</w:t>
      </w:r>
      <w:r w:rsidR="00E82841">
        <w:t xml:space="preserve">he Contractor shall </w:t>
      </w:r>
      <w:r w:rsidR="00E7714B">
        <w:t>complete the highlighted yellow sections</w:t>
      </w:r>
      <w:r w:rsidR="00D616F1">
        <w:t>.</w:t>
      </w:r>
    </w:p>
    <w:p w14:paraId="7BA61DEC" w14:textId="5C196F13" w:rsidR="00CC52C0" w:rsidRPr="00974EC2" w:rsidRDefault="00A036F6">
      <w:pPr>
        <w:pStyle w:val="Untitledsubclause1"/>
        <w:rPr>
          <w:b/>
        </w:rPr>
      </w:pPr>
      <w:bookmarkStart w:id="22" w:name="a305014"/>
      <w:r>
        <w:rPr>
          <w:b/>
        </w:rPr>
        <w:t>NEC ECC</w:t>
      </w:r>
      <w:bookmarkEnd w:id="22"/>
    </w:p>
    <w:p w14:paraId="2ED6E909" w14:textId="645A7B02" w:rsidR="00CC52C0" w:rsidRPr="00974EC2" w:rsidRDefault="00A01C2C">
      <w:pPr>
        <w:pStyle w:val="Parasubclause1"/>
      </w:pPr>
      <w:r w:rsidRPr="00974EC2">
        <w:t xml:space="preserve">The </w:t>
      </w:r>
      <w:r w:rsidR="001B3F49">
        <w:t>NEC ECC</w:t>
      </w:r>
      <w:r w:rsidRPr="00974EC2">
        <w:t xml:space="preserve"> that the </w:t>
      </w:r>
      <w:r w:rsidR="00C516B0" w:rsidRPr="00974EC2">
        <w:t>College</w:t>
      </w:r>
      <w:r w:rsidRPr="00974EC2">
        <w:t xml:space="preserve"> proposes to use is attached at </w:t>
      </w:r>
      <w:r w:rsidRPr="00974EC2">
        <w:fldChar w:fldCharType="begin"/>
      </w:r>
      <w:r w:rsidRPr="00974EC2">
        <w:instrText>REF a472790 \h \w</w:instrText>
      </w:r>
      <w:r w:rsidR="00C516B0" w:rsidRPr="00974EC2">
        <w:instrText xml:space="preserve"> \* MERGEFORMAT </w:instrText>
      </w:r>
      <w:r w:rsidRPr="00974EC2">
        <w:fldChar w:fldCharType="separate"/>
      </w:r>
      <w:r w:rsidRPr="00974EC2">
        <w:t>Schedule 1</w:t>
      </w:r>
      <w:r w:rsidRPr="00974EC2">
        <w:fldChar w:fldCharType="end"/>
      </w:r>
      <w:r w:rsidRPr="00974EC2">
        <w:t xml:space="preserve">. By submitting a Tender, Tenderers are agreeing to be bound by the terms of this ITT and the </w:t>
      </w:r>
      <w:r w:rsidR="008069C0">
        <w:t>NEC ECC</w:t>
      </w:r>
      <w:r w:rsidR="003D764D">
        <w:t xml:space="preserve"> </w:t>
      </w:r>
      <w:r w:rsidRPr="00974EC2">
        <w:t>without further negotiation or amendment.</w:t>
      </w:r>
    </w:p>
    <w:p w14:paraId="05B6D351" w14:textId="1B47E09C" w:rsidR="00CC52C0" w:rsidRPr="00974EC2" w:rsidRDefault="00C50C55">
      <w:pPr>
        <w:pStyle w:val="Parasubclause1"/>
      </w:pPr>
      <w:r>
        <w:t>No unauthorised alterations or additions are to be made to the Form of Tender or any other component of the Tender document.</w:t>
      </w:r>
      <w:r w:rsidR="006468D2">
        <w:t xml:space="preserve"> </w:t>
      </w:r>
      <w:r w:rsidR="00A01C2C" w:rsidRPr="00974EC2">
        <w:t xml:space="preserve">If the terms of the </w:t>
      </w:r>
      <w:r w:rsidR="008069C0">
        <w:t>NEC ECC</w:t>
      </w:r>
      <w:r w:rsidR="00A01C2C" w:rsidRPr="00974EC2">
        <w:t xml:space="preserve"> render the proposals in the Tenderer's Tender unworkable, the Tenderer should submit a clarification in accordance with </w:t>
      </w:r>
      <w:r w:rsidR="00A01C2C" w:rsidRPr="00974EC2">
        <w:fldChar w:fldCharType="begin"/>
      </w:r>
      <w:r w:rsidR="00A01C2C" w:rsidRPr="00974EC2">
        <w:instrText>PAGEREF a817202\# "'paragraph '"  \h</w:instrText>
      </w:r>
      <w:r w:rsidR="00A01C2C" w:rsidRPr="00974EC2">
        <w:fldChar w:fldCharType="separate"/>
      </w:r>
      <w:r w:rsidR="00A01C2C" w:rsidRPr="00974EC2">
        <w:t xml:space="preserve">paragraph </w:t>
      </w:r>
      <w:r w:rsidR="00A01C2C" w:rsidRPr="00974EC2">
        <w:fldChar w:fldCharType="end"/>
      </w:r>
      <w:r w:rsidR="00A01C2C" w:rsidRPr="00974EC2">
        <w:fldChar w:fldCharType="begin"/>
      </w:r>
      <w:r w:rsidR="00A01C2C" w:rsidRPr="00974EC2">
        <w:instrText>REF a817202 \h \w</w:instrText>
      </w:r>
      <w:r w:rsidR="00C516B0" w:rsidRPr="00974EC2">
        <w:instrText xml:space="preserve"> \* MERGEFORMAT </w:instrText>
      </w:r>
      <w:r w:rsidR="00A01C2C" w:rsidRPr="00974EC2">
        <w:fldChar w:fldCharType="separate"/>
      </w:r>
      <w:r w:rsidR="00A01C2C" w:rsidRPr="00974EC2">
        <w:t>1.9</w:t>
      </w:r>
      <w:r w:rsidR="00A01C2C" w:rsidRPr="00974EC2">
        <w:fldChar w:fldCharType="end"/>
      </w:r>
      <w:r w:rsidR="00A01C2C" w:rsidRPr="00974EC2">
        <w:t xml:space="preserve"> and the </w:t>
      </w:r>
      <w:r w:rsidR="00C516B0" w:rsidRPr="00974EC2">
        <w:t>College</w:t>
      </w:r>
      <w:r w:rsidR="00A01C2C" w:rsidRPr="00974EC2">
        <w:t xml:space="preserve"> will consider whether any amendment to the </w:t>
      </w:r>
      <w:r w:rsidR="008069C0">
        <w:t>NEC ECC</w:t>
      </w:r>
      <w:r w:rsidR="00A01C2C" w:rsidRPr="00974EC2">
        <w:t xml:space="preserve"> is required. Any amendments shall be published through the Clarifications Log and shall apply to all Tenderers. Where both the amendment and the original drafting are acceptable and workable to the </w:t>
      </w:r>
      <w:r w:rsidR="00C516B0" w:rsidRPr="00974EC2">
        <w:t>College</w:t>
      </w:r>
      <w:r w:rsidR="00A01C2C" w:rsidRPr="00974EC2">
        <w:t xml:space="preserve">, the </w:t>
      </w:r>
      <w:r w:rsidR="00C516B0" w:rsidRPr="00974EC2">
        <w:t>College</w:t>
      </w:r>
      <w:r w:rsidR="00A01C2C" w:rsidRPr="00974EC2">
        <w:t xml:space="preserve"> shall publish the amendment as an alternative to the original drafting. Tenderers should indicate if they prefer the amendment; </w:t>
      </w:r>
      <w:r w:rsidR="005619E9" w:rsidRPr="00974EC2">
        <w:t>otherwise,</w:t>
      </w:r>
      <w:r w:rsidR="00A01C2C" w:rsidRPr="00974EC2">
        <w:t xml:space="preserve"> the original drafting shall apply. Any amendments that are proposed but not approved by the </w:t>
      </w:r>
      <w:r w:rsidR="00C516B0" w:rsidRPr="00974EC2">
        <w:t>College</w:t>
      </w:r>
      <w:r w:rsidR="00A01C2C" w:rsidRPr="00974EC2">
        <w:t xml:space="preserve"> through this process will not be acceptable and may be construed as a rejection of the terms, leading to the disqualification of the Tender.</w:t>
      </w:r>
    </w:p>
    <w:p w14:paraId="51D5841F" w14:textId="77777777" w:rsidR="00CC52C0" w:rsidRPr="00974EC2" w:rsidRDefault="00A01C2C">
      <w:pPr>
        <w:pStyle w:val="Untitledsubclause1"/>
        <w:rPr>
          <w:b/>
        </w:rPr>
      </w:pPr>
      <w:bookmarkStart w:id="23" w:name="a966830"/>
      <w:r w:rsidRPr="00974EC2">
        <w:rPr>
          <w:b/>
        </w:rPr>
        <w:t>Documents forming the Contract</w:t>
      </w:r>
      <w:bookmarkEnd w:id="23"/>
    </w:p>
    <w:p w14:paraId="073A6DDC" w14:textId="37F72BA9" w:rsidR="00CC52C0" w:rsidRPr="00974EC2" w:rsidRDefault="00A01C2C">
      <w:pPr>
        <w:pStyle w:val="Parasubclause1"/>
      </w:pPr>
      <w:r w:rsidRPr="00974EC2">
        <w:t xml:space="preserve">The following documents shall form part of the Contract between the </w:t>
      </w:r>
      <w:r w:rsidR="00C516B0" w:rsidRPr="00974EC2">
        <w:t>College</w:t>
      </w:r>
      <w:r w:rsidRPr="00974EC2">
        <w:t xml:space="preserve"> and the </w:t>
      </w:r>
      <w:r w:rsidR="00D94838" w:rsidRPr="00974EC2">
        <w:t>Supplier</w:t>
      </w:r>
      <w:r w:rsidRPr="00974EC2">
        <w:t>(s):</w:t>
      </w:r>
    </w:p>
    <w:p w14:paraId="76217628" w14:textId="51C173ED" w:rsidR="00DE13C2" w:rsidRDefault="00A01C2C" w:rsidP="00DE13C2">
      <w:pPr>
        <w:pStyle w:val="subclause1Bullet1"/>
      </w:pPr>
      <w:r w:rsidRPr="00974EC2">
        <w:t xml:space="preserve">Contract and its </w:t>
      </w:r>
      <w:r w:rsidR="001E19DE" w:rsidRPr="00974EC2">
        <w:t xml:space="preserve">appendices and </w:t>
      </w:r>
      <w:r w:rsidRPr="00974EC2">
        <w:t>schedules.</w:t>
      </w:r>
    </w:p>
    <w:p w14:paraId="04FFF71C" w14:textId="4A8A7034" w:rsidR="00DE13C2" w:rsidRDefault="00747EB5" w:rsidP="00DE13C2">
      <w:pPr>
        <w:pStyle w:val="Untitledsubclause1"/>
        <w:rPr>
          <w:b/>
        </w:rPr>
      </w:pPr>
      <w:r>
        <w:rPr>
          <w:b/>
        </w:rPr>
        <w:t>Prices</w:t>
      </w:r>
    </w:p>
    <w:p w14:paraId="3F5C1D34" w14:textId="513A66FE" w:rsidR="004F72ED" w:rsidRPr="006418BE" w:rsidRDefault="006468D2" w:rsidP="006418BE">
      <w:pPr>
        <w:pStyle w:val="Parasubclause1"/>
        <w:rPr>
          <w:bCs/>
        </w:rPr>
      </w:pPr>
      <w:r>
        <w:t>P</w:t>
      </w:r>
      <w:r w:rsidR="00747EB5" w:rsidRPr="006418BE">
        <w:t xml:space="preserve">rices must be </w:t>
      </w:r>
      <w:r w:rsidR="005225D6" w:rsidRPr="00492210">
        <w:t xml:space="preserve">quoted in pounds sterling, (GBP), and amounts shown should be exclusive if value added tax (VAT) at the prevailing rate. Tenderers’ pricing </w:t>
      </w:r>
      <w:r w:rsidR="001574BD" w:rsidRPr="00492210">
        <w:t xml:space="preserve">will be evaluated on a true like for like-for-like basis and Tenderers are asked not to deviate from the pricing </w:t>
      </w:r>
      <w:r w:rsidR="00C15734" w:rsidRPr="00492210">
        <w:t>structure and format contained within the ITT package.</w:t>
      </w:r>
    </w:p>
    <w:p w14:paraId="6AB7B33A" w14:textId="163B54EF" w:rsidR="00DE13C2" w:rsidRPr="006418BE" w:rsidRDefault="00492210" w:rsidP="006F1F24">
      <w:pPr>
        <w:pStyle w:val="Untitledsubclause1"/>
        <w:rPr>
          <w:b/>
        </w:rPr>
      </w:pPr>
      <w:r w:rsidRPr="006418BE">
        <w:rPr>
          <w:b/>
        </w:rPr>
        <w:t>Qualification of Tender</w:t>
      </w:r>
    </w:p>
    <w:p w14:paraId="159B54A3" w14:textId="0C397BEB" w:rsidR="006F1F24" w:rsidRPr="00974EC2" w:rsidRDefault="00D3577D" w:rsidP="00226AFC">
      <w:pPr>
        <w:pStyle w:val="Parasubclause1"/>
      </w:pPr>
      <w:r w:rsidRPr="00D3577D">
        <w:t xml:space="preserve">Tenders must not be qualified and must be submitted strictly in accordance with the Tender instructions. Tenders must not be accompanied by statements which could be construed as rendering the Tender equivocal and or by placing it on a different footing from any other Tenders. Only Tenders submitted without qualification strictly in accordance with the ITT documentation as issued (or subsequently amended by the </w:t>
      </w:r>
      <w:r w:rsidR="00D52F58">
        <w:t>College</w:t>
      </w:r>
      <w:r w:rsidRPr="00D3577D">
        <w:t xml:space="preserve">), will be deemed as bona fide and accepted for consideration. The </w:t>
      </w:r>
      <w:r w:rsidR="00D52F58">
        <w:t>College</w:t>
      </w:r>
      <w:r w:rsidR="00226AFC">
        <w:t>’</w:t>
      </w:r>
      <w:r w:rsidR="00D52F58">
        <w:t>s</w:t>
      </w:r>
      <w:r w:rsidRPr="00D3577D">
        <w:t xml:space="preserve"> decision on whether a Tender is bona fide will be final and the Tenderer will not be consulted.</w:t>
      </w:r>
    </w:p>
    <w:p w14:paraId="2BF75BEC" w14:textId="77777777" w:rsidR="00CC52C0" w:rsidRPr="00974EC2" w:rsidRDefault="00A01C2C">
      <w:pPr>
        <w:pStyle w:val="Untitledsubclause1"/>
        <w:rPr>
          <w:b/>
        </w:rPr>
      </w:pPr>
      <w:bookmarkStart w:id="24" w:name="a572281"/>
      <w:r w:rsidRPr="00974EC2">
        <w:rPr>
          <w:b/>
        </w:rPr>
        <w:lastRenderedPageBreak/>
        <w:t>Consortia and subcontractors</w:t>
      </w:r>
      <w:bookmarkEnd w:id="24"/>
    </w:p>
    <w:p w14:paraId="4B8E41ED" w14:textId="07695364" w:rsidR="00CC52C0" w:rsidRPr="00974EC2" w:rsidRDefault="00A01C2C">
      <w:pPr>
        <w:pStyle w:val="Parasubclause1"/>
      </w:pPr>
      <w:r w:rsidRPr="00974EC2">
        <w:t xml:space="preserve">The </w:t>
      </w:r>
      <w:r w:rsidR="00C516B0" w:rsidRPr="00974EC2">
        <w:t>College</w:t>
      </w:r>
      <w:r w:rsidRPr="00974EC2">
        <w:t xml:space="preserve"> requires each Tenderer to identify whether any and, if so, which subcontracting or consortium arrangements apply in the case of its Tender, including </w:t>
      </w:r>
      <w:r w:rsidR="00223628" w:rsidRPr="00974EC2">
        <w:t>which elements</w:t>
      </w:r>
      <w:r w:rsidRPr="00974EC2">
        <w:t xml:space="preserve"> (if any) of the Contract </w:t>
      </w:r>
      <w:r w:rsidR="00223628" w:rsidRPr="00974EC2">
        <w:t xml:space="preserve">are </w:t>
      </w:r>
      <w:r w:rsidRPr="00974EC2">
        <w:t xml:space="preserve">to be subcontracted, the identity of the proposed subcontractors, and which entity is proposed to be the </w:t>
      </w:r>
      <w:r w:rsidR="00D94838" w:rsidRPr="00974EC2">
        <w:t>Supplier</w:t>
      </w:r>
      <w:r w:rsidRPr="00974EC2">
        <w:t>.</w:t>
      </w:r>
    </w:p>
    <w:p w14:paraId="2B840F18" w14:textId="77777777" w:rsidR="00CC52C0" w:rsidRPr="00974EC2" w:rsidRDefault="00A01C2C">
      <w:pPr>
        <w:pStyle w:val="Parasubclause1"/>
      </w:pPr>
      <w:r w:rsidRPr="00974EC2">
        <w:t>For the purposes of this ITT, the following terms apply:</w:t>
      </w:r>
    </w:p>
    <w:p w14:paraId="0443D813" w14:textId="77777777" w:rsidR="00CC52C0" w:rsidRPr="00974EC2" w:rsidRDefault="00A01C2C">
      <w:pPr>
        <w:pStyle w:val="subclause1Bullet1"/>
        <w:rPr>
          <w:b/>
        </w:rPr>
      </w:pPr>
      <w:r w:rsidRPr="00974EC2">
        <w:rPr>
          <w:b/>
        </w:rPr>
        <w:t>Consortium arrangement.</w:t>
      </w:r>
      <w:r w:rsidRPr="00974EC2">
        <w:t xml:space="preserve"> Where </w:t>
      </w:r>
      <w:proofErr w:type="gramStart"/>
      <w:r w:rsidRPr="00974EC2">
        <w:t>a number of</w:t>
      </w:r>
      <w:proofErr w:type="gramEnd"/>
      <w:r w:rsidRPr="00974EC2">
        <w:t xml:space="preserve"> economic operators come together to submit a bid for the Contract. The economic operators may already be part of an established consortium. Alternatively, the economic operators may constitute a temporary association which is intended to become a formalised structure (such as a special purpose vehicle (SPV) or a subcontracting arrangement) after the award of the Contract. Consortium structures may include a hub-and-spoke delivery model, a lead body model or an SPV.</w:t>
      </w:r>
    </w:p>
    <w:p w14:paraId="39C507E7" w14:textId="29E877A7" w:rsidR="00CC52C0" w:rsidRPr="00974EC2" w:rsidRDefault="00A01C2C">
      <w:pPr>
        <w:pStyle w:val="subclause1Bullet1"/>
        <w:rPr>
          <w:b/>
        </w:rPr>
      </w:pPr>
      <w:r w:rsidRPr="00974EC2">
        <w:rPr>
          <w:b/>
        </w:rPr>
        <w:t>Subcontracting arrangement.</w:t>
      </w:r>
      <w:r w:rsidRPr="00974EC2">
        <w:t xml:space="preserve"> Subcontracting could involve, for example, an economic operator bidding as a </w:t>
      </w:r>
      <w:r w:rsidR="00223628" w:rsidRPr="00974EC2">
        <w:t>main</w:t>
      </w:r>
      <w:r w:rsidRPr="00974EC2">
        <w:t xml:space="preserve"> contractor and using a subcontractor or subcontractors to deliver some of the </w:t>
      </w:r>
      <w:r w:rsidR="00A35445" w:rsidRPr="00974EC2">
        <w:t>Works</w:t>
      </w:r>
      <w:r w:rsidRPr="00974EC2">
        <w:t xml:space="preserve">, or an economic operator bidding as a managing agent and using subcontractors to deliver </w:t>
      </w:r>
      <w:proofErr w:type="gramStart"/>
      <w:r w:rsidRPr="00974EC2">
        <w:t>all of</w:t>
      </w:r>
      <w:proofErr w:type="gramEnd"/>
      <w:r w:rsidRPr="00974EC2">
        <w:t xml:space="preserve"> the </w:t>
      </w:r>
      <w:r w:rsidR="00A35445" w:rsidRPr="00974EC2">
        <w:t>Works</w:t>
      </w:r>
      <w:r w:rsidRPr="00974EC2">
        <w:t>.</w:t>
      </w:r>
    </w:p>
    <w:p w14:paraId="56CCE8D5" w14:textId="77777777" w:rsidR="00CC52C0" w:rsidRPr="00974EC2" w:rsidRDefault="00A01C2C" w:rsidP="00C516B0">
      <w:pPr>
        <w:pStyle w:val="TitleClause"/>
        <w:numPr>
          <w:ilvl w:val="0"/>
          <w:numId w:val="16"/>
        </w:numPr>
      </w:pPr>
      <w:r w:rsidRPr="00974EC2">
        <w:fldChar w:fldCharType="begin"/>
      </w:r>
      <w:r w:rsidRPr="00974EC2">
        <w:instrText>TC "4. Procurement terms and conditions" \l 1</w:instrText>
      </w:r>
      <w:r w:rsidRPr="00974EC2">
        <w:fldChar w:fldCharType="end"/>
      </w:r>
      <w:bookmarkStart w:id="25" w:name="a535827"/>
      <w:bookmarkStart w:id="26" w:name="_Toc216178767"/>
      <w:r w:rsidRPr="00974EC2">
        <w:t>Procurement terms and conditions</w:t>
      </w:r>
      <w:bookmarkEnd w:id="25"/>
      <w:bookmarkEnd w:id="26"/>
    </w:p>
    <w:p w14:paraId="0E0D0AE6" w14:textId="77777777" w:rsidR="00CC52C0" w:rsidRPr="00974EC2" w:rsidRDefault="00A01C2C" w:rsidP="00C516B0">
      <w:pPr>
        <w:pStyle w:val="Untitledsubclause1"/>
        <w:numPr>
          <w:ilvl w:val="1"/>
          <w:numId w:val="16"/>
        </w:numPr>
      </w:pPr>
      <w:bookmarkStart w:id="27" w:name="a557628"/>
      <w:r w:rsidRPr="00974EC2">
        <w:rPr>
          <w:b/>
        </w:rPr>
        <w:t>Warnings and disclaimers</w:t>
      </w:r>
      <w:bookmarkEnd w:id="27"/>
    </w:p>
    <w:p w14:paraId="2567D307" w14:textId="7D421D0E" w:rsidR="00CC52C0" w:rsidRPr="00974EC2" w:rsidRDefault="00A01C2C">
      <w:pPr>
        <w:pStyle w:val="Parasubclause1"/>
      </w:pPr>
      <w:r w:rsidRPr="00974EC2">
        <w:t xml:space="preserve">While the information contained in this ITT is believed to be correct at the time of issue, neither the </w:t>
      </w:r>
      <w:r w:rsidR="00C516B0" w:rsidRPr="00974EC2">
        <w:t>College</w:t>
      </w:r>
      <w:r w:rsidRPr="00974EC2">
        <w:t xml:space="preserve"> and its advisers, nor any other awarding authorities will accept any liability for its accuracy, adequacy or completeness, nor will any express or implied warranty be given. This exclusion extends to liability in relation to any statement, opinion or conclusion contained in or any omission from this ITT (including its appendices) and in respect of any other written or oral communication transmitted (or otherwise made available) to any Tenderer.</w:t>
      </w:r>
      <w:r w:rsidR="00395979">
        <w:t xml:space="preserve"> No</w:t>
      </w:r>
      <w:r w:rsidR="006C714C">
        <w:t xml:space="preserve"> claim against the College shall be </w:t>
      </w:r>
      <w:r w:rsidR="00926CDD">
        <w:t xml:space="preserve">allowed whether in contract </w:t>
      </w:r>
      <w:r w:rsidR="001E7026">
        <w:t>or in tort</w:t>
      </w:r>
      <w:r w:rsidR="00826C26">
        <w:t xml:space="preserve"> under the Misrepresentation </w:t>
      </w:r>
      <w:r w:rsidR="00113515">
        <w:t>Act 1967</w:t>
      </w:r>
      <w:r w:rsidR="008B139D">
        <w:t xml:space="preserve"> or otherwise on the g</w:t>
      </w:r>
      <w:r w:rsidR="00D02F5F">
        <w:t>round o</w:t>
      </w:r>
      <w:r w:rsidR="0041281A">
        <w:t>f inaccuracy.</w:t>
      </w:r>
      <w:r w:rsidRPr="00974EC2">
        <w:t xml:space="preserve"> This exclusion does not extend to any fraudulent misrepresentation made by or on behalf of the </w:t>
      </w:r>
      <w:r w:rsidR="00C516B0" w:rsidRPr="00974EC2">
        <w:t>College</w:t>
      </w:r>
      <w:r w:rsidRPr="00974EC2">
        <w:t>.</w:t>
      </w:r>
    </w:p>
    <w:p w14:paraId="1B17733C" w14:textId="0819BD62" w:rsidR="00CC52C0" w:rsidRPr="00974EC2" w:rsidRDefault="00A01C2C">
      <w:pPr>
        <w:pStyle w:val="Parasubclause1"/>
      </w:pPr>
      <w:r w:rsidRPr="00974EC2">
        <w:t xml:space="preserve">If a Tenderer proposes to </w:t>
      </w:r>
      <w:proofErr w:type="gramStart"/>
      <w:r w:rsidRPr="00974EC2">
        <w:t>enter into</w:t>
      </w:r>
      <w:proofErr w:type="gramEnd"/>
      <w:r w:rsidRPr="00974EC2">
        <w:t xml:space="preserve"> a Contract with the </w:t>
      </w:r>
      <w:r w:rsidR="00C516B0" w:rsidRPr="00974EC2">
        <w:t>College</w:t>
      </w:r>
      <w:r w:rsidRPr="00974EC2">
        <w:t>, it must rely on its own enquiries and on the terms and conditions set out in the Contract(s) (as and when finally executed), subject to the limitations and restrictions specified in it.</w:t>
      </w:r>
    </w:p>
    <w:p w14:paraId="6DAC8768" w14:textId="658A0064" w:rsidR="00CC52C0" w:rsidRDefault="00A01C2C">
      <w:pPr>
        <w:pStyle w:val="Parasubclause1"/>
      </w:pPr>
      <w:r w:rsidRPr="00974EC2">
        <w:t xml:space="preserve">Neither the issue of this ITT, nor any of the information presented in it, should be regarded as a commitment or representation on the part of the </w:t>
      </w:r>
      <w:r w:rsidR="00C516B0" w:rsidRPr="00974EC2">
        <w:t>College</w:t>
      </w:r>
      <w:r w:rsidRPr="00974EC2">
        <w:t xml:space="preserve"> (or any other person) to </w:t>
      </w:r>
      <w:proofErr w:type="gramStart"/>
      <w:r w:rsidRPr="00974EC2">
        <w:t>enter into</w:t>
      </w:r>
      <w:proofErr w:type="gramEnd"/>
      <w:r w:rsidRPr="00974EC2">
        <w:t xml:space="preserve"> a contractual arrangement.</w:t>
      </w:r>
    </w:p>
    <w:p w14:paraId="41780887" w14:textId="648B1FDB" w:rsidR="00955D98" w:rsidRPr="00974EC2" w:rsidRDefault="00CF42E0">
      <w:pPr>
        <w:pStyle w:val="Parasubclause1"/>
      </w:pPr>
      <w:r>
        <w:lastRenderedPageBreak/>
        <w:t>The College</w:t>
      </w:r>
      <w:r w:rsidR="00C95AFE">
        <w:t xml:space="preserve"> shall not be liable to any person for any d</w:t>
      </w:r>
      <w:r w:rsidR="00771A34">
        <w:t xml:space="preserve">amages, losses, costs, liabilities or expenses of any kind </w:t>
      </w:r>
      <w:r w:rsidR="00A7540C">
        <w:t xml:space="preserve">which it may suffer </w:t>
      </w:r>
      <w:proofErr w:type="gramStart"/>
      <w:r w:rsidR="00A7540C">
        <w:t>as a consequence of</w:t>
      </w:r>
      <w:proofErr w:type="gramEnd"/>
      <w:r w:rsidR="00A7540C">
        <w:t xml:space="preserve"> relying upon this information.</w:t>
      </w:r>
    </w:p>
    <w:p w14:paraId="0ED38CFB" w14:textId="77777777" w:rsidR="00CC52C0" w:rsidRPr="00974EC2" w:rsidRDefault="00A01C2C">
      <w:pPr>
        <w:pStyle w:val="Untitledsubclause1"/>
        <w:rPr>
          <w:b/>
        </w:rPr>
      </w:pPr>
      <w:bookmarkStart w:id="28" w:name="a447638"/>
      <w:r w:rsidRPr="00974EC2">
        <w:rPr>
          <w:b/>
        </w:rPr>
        <w:t>Confidentiality and freedom of information</w:t>
      </w:r>
      <w:bookmarkEnd w:id="28"/>
    </w:p>
    <w:p w14:paraId="64D437BF" w14:textId="20555DB5" w:rsidR="00CC52C0" w:rsidRPr="00974EC2" w:rsidRDefault="00A01C2C">
      <w:pPr>
        <w:pStyle w:val="Parasubclause1"/>
      </w:pPr>
      <w:r w:rsidRPr="00974EC2">
        <w:t xml:space="preserve">Save to the extent publicly available, all information supplied by the </w:t>
      </w:r>
      <w:r w:rsidR="00C516B0" w:rsidRPr="00974EC2">
        <w:t>College</w:t>
      </w:r>
      <w:r w:rsidRPr="00974EC2">
        <w:t xml:space="preserve"> to Tenderers (including this ITT and all other documents relating to the procurement), whether in writing or orally, is supplied on condition that it (including the fact that the Tenderer has received this ITT) be kept confidential by the Tenderer; it must not be copied, reproduced, distributed or passed to any other person at any time (except to professional advisers, consortium members or subcontractors for the sole purpose of enabling the Tenderer to submit a Tender) unless the information is already in the public domain.</w:t>
      </w:r>
      <w:r w:rsidR="005B7E6D">
        <w:t xml:space="preserve"> The copyright in this ITT is vested in the College. </w:t>
      </w:r>
    </w:p>
    <w:p w14:paraId="3C6B8DED" w14:textId="022D47E4" w:rsidR="00CC52C0" w:rsidRPr="00974EC2" w:rsidRDefault="00A01C2C">
      <w:pPr>
        <w:pStyle w:val="Parasubclause1"/>
      </w:pPr>
      <w:r w:rsidRPr="00974EC2">
        <w:t xml:space="preserve">As a public body, the </w:t>
      </w:r>
      <w:r w:rsidR="00C516B0" w:rsidRPr="00974EC2">
        <w:t>College</w:t>
      </w:r>
      <w:r w:rsidRPr="00974EC2">
        <w:t xml:space="preserve"> is subject to the provisions of the Freedom of Information Act 2000 (</w:t>
      </w:r>
      <w:r w:rsidRPr="00974EC2">
        <w:rPr>
          <w:b/>
          <w:bCs/>
        </w:rPr>
        <w:t>FOIA</w:t>
      </w:r>
      <w:r w:rsidRPr="00974EC2">
        <w:t>) and Environmental Information Regulations 2004 (S</w:t>
      </w:r>
      <w:r w:rsidRPr="00974EC2">
        <w:rPr>
          <w:i/>
          <w:iCs/>
        </w:rPr>
        <w:t>I 2004/3391</w:t>
      </w:r>
      <w:r w:rsidRPr="00974EC2">
        <w:t>) (</w:t>
      </w:r>
      <w:r w:rsidRPr="00974EC2">
        <w:rPr>
          <w:b/>
          <w:bCs/>
        </w:rPr>
        <w:t>EIR</w:t>
      </w:r>
      <w:r w:rsidRPr="00974EC2">
        <w:t xml:space="preserve">) in respect of information it holds (including third-party information). Any member of the public or other interested party may make a request for information. The </w:t>
      </w:r>
      <w:r w:rsidR="00C516B0" w:rsidRPr="00974EC2">
        <w:t>College</w:t>
      </w:r>
      <w:r w:rsidRPr="00974EC2">
        <w:t xml:space="preserve"> is also subject to various public sector transparency policies and legal requirements</w:t>
      </w:r>
      <w:r w:rsidR="00B1094B" w:rsidRPr="00974EC2">
        <w:t>.</w:t>
      </w:r>
    </w:p>
    <w:p w14:paraId="05309A63" w14:textId="0CCE5E38" w:rsidR="00CC52C0" w:rsidRPr="00974EC2" w:rsidRDefault="00A01C2C">
      <w:pPr>
        <w:pStyle w:val="Parasubclause1"/>
      </w:pPr>
      <w:r w:rsidRPr="00974EC2">
        <w:t xml:space="preserve">Tenderers should therefore be aware that information provided in connection with this procurement, or in connection with any contract awarded, may be disclosed by the </w:t>
      </w:r>
      <w:r w:rsidR="00C516B0" w:rsidRPr="00974EC2">
        <w:t>College</w:t>
      </w:r>
      <w:r w:rsidRPr="00974EC2">
        <w:t xml:space="preserve">, unless the </w:t>
      </w:r>
      <w:r w:rsidR="00C516B0" w:rsidRPr="00974EC2">
        <w:t>College</w:t>
      </w:r>
      <w:r w:rsidRPr="00974EC2">
        <w:t xml:space="preserve"> decides (in its absolute discretion) that one of the statutory exemptions under the FOIA</w:t>
      </w:r>
      <w:r w:rsidR="000A0148" w:rsidRPr="00974EC2">
        <w:t xml:space="preserve"> or</w:t>
      </w:r>
      <w:r w:rsidRPr="00974EC2">
        <w:t xml:space="preserve"> the EIR applies. Requests for information and application of any exemptions shall be considered on a case-by-case basis. By taking part in this procurement, Tenderers agree to such disclosure or publication by the </w:t>
      </w:r>
      <w:r w:rsidR="00C516B0" w:rsidRPr="00974EC2">
        <w:t>College</w:t>
      </w:r>
      <w:r w:rsidRPr="00974EC2">
        <w:t xml:space="preserve">. </w:t>
      </w:r>
    </w:p>
    <w:p w14:paraId="349F80E9" w14:textId="488E0D9E" w:rsidR="00CC52C0" w:rsidRDefault="00A01C2C">
      <w:pPr>
        <w:pStyle w:val="Parasubclause1"/>
      </w:pPr>
      <w:r w:rsidRPr="00974EC2">
        <w:t xml:space="preserve">Tenderers may designate any information supplied as part of their </w:t>
      </w:r>
      <w:r w:rsidR="00AE6B69">
        <w:t>T</w:t>
      </w:r>
      <w:r w:rsidRPr="00974EC2">
        <w:t xml:space="preserve">ender response or otherwise in connection with the procurement as confidential or commercially sensitive by clearly identifying it as such to the </w:t>
      </w:r>
      <w:r w:rsidR="00C516B0" w:rsidRPr="00974EC2">
        <w:t>College</w:t>
      </w:r>
      <w:r w:rsidRPr="00974EC2">
        <w:t xml:space="preserve"> in the template provided at </w:t>
      </w:r>
      <w:r w:rsidRPr="00974EC2">
        <w:fldChar w:fldCharType="begin"/>
      </w:r>
      <w:r w:rsidRPr="00974EC2">
        <w:instrText>REF a823738 \h \w</w:instrText>
      </w:r>
      <w:r w:rsidR="00C516B0" w:rsidRPr="00974EC2">
        <w:instrText xml:space="preserve"> \* MERGEFORMAT </w:instrText>
      </w:r>
      <w:r w:rsidRPr="00974EC2">
        <w:fldChar w:fldCharType="separate"/>
      </w:r>
      <w:r w:rsidRPr="00974EC2">
        <w:t xml:space="preserve">Schedule </w:t>
      </w:r>
      <w:r w:rsidRPr="00974EC2">
        <w:fldChar w:fldCharType="end"/>
      </w:r>
      <w:r w:rsidR="00724E66">
        <w:t>5</w:t>
      </w:r>
      <w:r w:rsidRPr="00974EC2">
        <w:t xml:space="preserve">. Blanket protective markings applied to the whole document will not be sufficient. While designating material as confidential or commercially sensitive or equivalent does not guarantee non-disclosure, the </w:t>
      </w:r>
      <w:r w:rsidR="00C516B0" w:rsidRPr="00974EC2">
        <w:t>College</w:t>
      </w:r>
      <w:r w:rsidRPr="00974EC2">
        <w:t xml:space="preserve"> will consider this as part of any disclosure decision.</w:t>
      </w:r>
    </w:p>
    <w:p w14:paraId="5A60C683" w14:textId="0B1519DF" w:rsidR="003B3476" w:rsidRPr="00974EC2" w:rsidRDefault="003B3476">
      <w:pPr>
        <w:pStyle w:val="Parasubclause1"/>
      </w:pPr>
      <w:r>
        <w:t>T</w:t>
      </w:r>
      <w:r w:rsidR="00A17811">
        <w:t xml:space="preserve">enderers shall </w:t>
      </w:r>
      <w:proofErr w:type="gramStart"/>
      <w:r w:rsidR="00A17811">
        <w:t>comply with the Data Protection Legislation at all times</w:t>
      </w:r>
      <w:proofErr w:type="gramEnd"/>
      <w:r w:rsidR="006C05D4">
        <w:t>.</w:t>
      </w:r>
    </w:p>
    <w:p w14:paraId="66214648" w14:textId="1F1A1398" w:rsidR="00CC52C0" w:rsidRPr="00974EC2" w:rsidRDefault="00A01C2C">
      <w:pPr>
        <w:pStyle w:val="Untitledsubclause1"/>
        <w:rPr>
          <w:b/>
        </w:rPr>
      </w:pPr>
      <w:bookmarkStart w:id="29" w:name="a589481"/>
      <w:r w:rsidRPr="00974EC2">
        <w:rPr>
          <w:b/>
        </w:rPr>
        <w:t>Publicity</w:t>
      </w:r>
      <w:bookmarkEnd w:id="29"/>
    </w:p>
    <w:p w14:paraId="2592179E" w14:textId="640148AF" w:rsidR="00CC52C0" w:rsidRPr="00974EC2" w:rsidRDefault="00A01C2C" w:rsidP="00604424">
      <w:pPr>
        <w:pStyle w:val="Parasubclause1"/>
      </w:pPr>
      <w:r w:rsidRPr="00974EC2">
        <w:t xml:space="preserve">No publicity regarding the </w:t>
      </w:r>
      <w:r w:rsidR="00A35445" w:rsidRPr="00974EC2">
        <w:t>Works</w:t>
      </w:r>
      <w:r w:rsidRPr="00974EC2">
        <w:t xml:space="preserve"> or the award of any Contract will be permitted unless and until the </w:t>
      </w:r>
      <w:r w:rsidR="00C516B0" w:rsidRPr="00974EC2">
        <w:t>College</w:t>
      </w:r>
      <w:r w:rsidRPr="00974EC2">
        <w:t xml:space="preserve"> has given prior express written consent to the relevant communication. For example, no statements may be made to the media regarding the nature of any Tender, its contents or any proposals relating to it without the prior written consent of the </w:t>
      </w:r>
      <w:r w:rsidR="00C516B0" w:rsidRPr="00974EC2">
        <w:t>College</w:t>
      </w:r>
      <w:r w:rsidRPr="00974EC2">
        <w:t>.</w:t>
      </w:r>
    </w:p>
    <w:p w14:paraId="709F4CC9" w14:textId="77777777" w:rsidR="00CC52C0" w:rsidRPr="00974EC2" w:rsidRDefault="00A01C2C">
      <w:pPr>
        <w:pStyle w:val="Titlesubclause1"/>
      </w:pPr>
      <w:r w:rsidRPr="00974EC2">
        <w:lastRenderedPageBreak/>
        <w:fldChar w:fldCharType="begin"/>
      </w:r>
      <w:r w:rsidRPr="00974EC2">
        <w:instrText>TC "4.5 Supplier warranties" \l 2</w:instrText>
      </w:r>
      <w:r w:rsidRPr="00974EC2">
        <w:fldChar w:fldCharType="end"/>
      </w:r>
      <w:bookmarkStart w:id="30" w:name="a552859"/>
      <w:r w:rsidRPr="00974EC2">
        <w:t>Supplier warranties</w:t>
      </w:r>
      <w:bookmarkEnd w:id="30"/>
    </w:p>
    <w:p w14:paraId="2A51B18F" w14:textId="1D0C35B2" w:rsidR="00CC52C0" w:rsidRPr="00974EC2" w:rsidRDefault="00A01C2C">
      <w:pPr>
        <w:pStyle w:val="Parasubclause1"/>
      </w:pPr>
      <w:r w:rsidRPr="00974EC2">
        <w:t xml:space="preserve">In submitting a Tender and generally taking part in this procurement, the Tenderer warrants, represents and undertakes to the </w:t>
      </w:r>
      <w:r w:rsidR="00C516B0" w:rsidRPr="00974EC2">
        <w:t>College</w:t>
      </w:r>
      <w:r w:rsidRPr="00974EC2">
        <w:t xml:space="preserve"> that:</w:t>
      </w:r>
    </w:p>
    <w:p w14:paraId="1B157C37" w14:textId="77777777" w:rsidR="00CC52C0" w:rsidRPr="00974EC2" w:rsidRDefault="00A01C2C">
      <w:pPr>
        <w:pStyle w:val="subclause1Bullet1"/>
      </w:pPr>
      <w:r w:rsidRPr="00974EC2">
        <w:t>It understands and has complied with the conditions set out in this ITT.</w:t>
      </w:r>
    </w:p>
    <w:p w14:paraId="224B057A" w14:textId="3BB2DA00" w:rsidR="00CC52C0" w:rsidRPr="00974EC2" w:rsidRDefault="00A01C2C">
      <w:pPr>
        <w:pStyle w:val="subclause1Bullet1"/>
      </w:pPr>
      <w:r w:rsidRPr="00974EC2">
        <w:t xml:space="preserve">All information, representations and other matters of fact communicated (whether in writing or otherwise) to the </w:t>
      </w:r>
      <w:r w:rsidR="00C516B0" w:rsidRPr="00974EC2">
        <w:t>College</w:t>
      </w:r>
      <w:r w:rsidRPr="00974EC2">
        <w:t xml:space="preserve"> by the Tenderer, its staff or agents in connection with or arising out of the procurement are true, complete and accurate in all respects, both as at the date communicated and as at the date of the submission of the Tender.</w:t>
      </w:r>
    </w:p>
    <w:p w14:paraId="331DD557" w14:textId="071284E4" w:rsidR="00CC52C0" w:rsidRPr="00974EC2" w:rsidRDefault="00A01C2C">
      <w:pPr>
        <w:pStyle w:val="subclause1Bullet1"/>
      </w:pPr>
      <w:r w:rsidRPr="00974EC2">
        <w:t xml:space="preserve">It has made its own investigations and undertaken its own research and due diligence, and has satisfied itself in respect of all matters (whether actual or contingent) relating to the invitation and has not reliance on any information, representation or assumption which may have been made by or on behalf of the </w:t>
      </w:r>
      <w:r w:rsidR="00C516B0" w:rsidRPr="00974EC2">
        <w:t>College</w:t>
      </w:r>
      <w:r w:rsidRPr="00974EC2">
        <w:t xml:space="preserve"> (with the exception of any information which is expressly warranted by the </w:t>
      </w:r>
      <w:r w:rsidR="00C516B0" w:rsidRPr="00974EC2">
        <w:t>College</w:t>
      </w:r>
      <w:r w:rsidRPr="00974EC2">
        <w:t>).</w:t>
      </w:r>
    </w:p>
    <w:p w14:paraId="01FD61C4" w14:textId="58C64D2D" w:rsidR="00AA42B1" w:rsidRPr="00974EC2" w:rsidRDefault="00A01C2C" w:rsidP="00362CCE">
      <w:pPr>
        <w:pStyle w:val="subclause1Bullet1"/>
      </w:pPr>
      <w:r w:rsidRPr="00974EC2">
        <w:t xml:space="preserve">It has full power and authority to submit a Tender and to perform the obligations in relation to the contract and will, if requested, promptly produce evidence of such to the </w:t>
      </w:r>
      <w:r w:rsidR="00C516B0" w:rsidRPr="00974EC2">
        <w:t>College</w:t>
      </w:r>
      <w:r w:rsidRPr="00974EC2">
        <w:t>.</w:t>
      </w:r>
    </w:p>
    <w:p w14:paraId="5BFC1C94" w14:textId="77777777" w:rsidR="00CC52C0" w:rsidRPr="00974EC2" w:rsidRDefault="00A01C2C">
      <w:pPr>
        <w:pStyle w:val="Parasubclause1"/>
      </w:pPr>
      <w:r w:rsidRPr="00974EC2">
        <w:t>Tenderers should note that the potential consequences of providing incomplete, inaccurate or misleading information include that:</w:t>
      </w:r>
    </w:p>
    <w:p w14:paraId="71E152B2" w14:textId="6CD3E956" w:rsidR="00CC52C0" w:rsidRPr="00974EC2" w:rsidRDefault="00A01C2C">
      <w:pPr>
        <w:pStyle w:val="subclause1Bullet1"/>
      </w:pPr>
      <w:r w:rsidRPr="00974EC2">
        <w:t xml:space="preserve">The </w:t>
      </w:r>
      <w:r w:rsidR="00C516B0" w:rsidRPr="00974EC2">
        <w:t>College</w:t>
      </w:r>
      <w:r w:rsidRPr="00974EC2">
        <w:t xml:space="preserve"> may exclude the Tenderer from participating in this procurement.</w:t>
      </w:r>
    </w:p>
    <w:p w14:paraId="4E8A2946" w14:textId="07875033" w:rsidR="00CC52C0" w:rsidRPr="00974EC2" w:rsidRDefault="00A01C2C">
      <w:pPr>
        <w:pStyle w:val="subclause1Bullet1"/>
      </w:pPr>
      <w:r w:rsidRPr="00974EC2">
        <w:t xml:space="preserve">The </w:t>
      </w:r>
      <w:r w:rsidR="00C516B0" w:rsidRPr="00974EC2">
        <w:t>College</w:t>
      </w:r>
      <w:r w:rsidRPr="00974EC2">
        <w:t xml:space="preserve"> may rescind any resulting contract under the Misrepresentation Act 1967 and may sue the Tenderer for damages.</w:t>
      </w:r>
    </w:p>
    <w:p w14:paraId="255E39B9" w14:textId="3F06D57D" w:rsidR="00CC52C0" w:rsidRPr="00974EC2" w:rsidRDefault="00A01C2C">
      <w:pPr>
        <w:pStyle w:val="subclause1Bullet1"/>
      </w:pPr>
      <w:r w:rsidRPr="00974EC2">
        <w:t xml:space="preserve">If fraud or fraudulent intent can be proved, the Tenderer may be prosecuted and convicted of the offence of fraud by false representation under section 2 of the Fraud Act 2006, which can carry a sentence of up to 10 years or a fine (or both). </w:t>
      </w:r>
    </w:p>
    <w:p w14:paraId="2AD93923" w14:textId="77777777" w:rsidR="00CC52C0" w:rsidRPr="00974EC2" w:rsidRDefault="00A01C2C">
      <w:pPr>
        <w:pStyle w:val="Untitledsubclause1"/>
        <w:rPr>
          <w:b/>
        </w:rPr>
      </w:pPr>
      <w:bookmarkStart w:id="31" w:name="a567678"/>
      <w:r w:rsidRPr="00974EC2">
        <w:rPr>
          <w:b/>
        </w:rPr>
        <w:t xml:space="preserve">Anti-canvassing and collusion </w:t>
      </w:r>
      <w:bookmarkEnd w:id="31"/>
    </w:p>
    <w:p w14:paraId="6A71BFC4" w14:textId="77777777" w:rsidR="00CC52C0" w:rsidRPr="00974EC2" w:rsidRDefault="00A01C2C">
      <w:pPr>
        <w:pStyle w:val="Parasubclause1"/>
      </w:pPr>
      <w:r w:rsidRPr="00974EC2">
        <w:t>Any attempt by Tenderers or their advisers to influence the contract award process in any way may result in the Tenderer being disqualified. Specifically, Tenderers must not directly or indirectly at any time:</w:t>
      </w:r>
    </w:p>
    <w:p w14:paraId="28D6AA0E" w14:textId="77777777" w:rsidR="00CC52C0" w:rsidRPr="00974EC2" w:rsidRDefault="00A01C2C">
      <w:pPr>
        <w:pStyle w:val="subclause1Bullet1"/>
      </w:pPr>
      <w:r w:rsidRPr="00974EC2">
        <w:t>Devise or amend the content of their Tender in accordance with any agreement or arrangement with any other person, other than in good faith with a person who is a proposed partner, supplier, consortium member or provider of finance.</w:t>
      </w:r>
    </w:p>
    <w:p w14:paraId="4E46AB7C" w14:textId="5181AD52" w:rsidR="00CC52C0" w:rsidRPr="00974EC2" w:rsidRDefault="00A01C2C">
      <w:pPr>
        <w:pStyle w:val="subclause1Bullet1"/>
      </w:pPr>
      <w:r w:rsidRPr="00974EC2">
        <w:lastRenderedPageBreak/>
        <w:t xml:space="preserve">Enter into any agreement or arrangement with any other person as to the form or content of any other </w:t>
      </w:r>
      <w:r w:rsidR="005118EC" w:rsidRPr="00974EC2">
        <w:t>Tender or</w:t>
      </w:r>
      <w:r w:rsidRPr="00974EC2">
        <w:t xml:space="preserve"> offer to pay any sum of money or valuable consideration to any person to effect changes to the form or content of any other Tender.</w:t>
      </w:r>
    </w:p>
    <w:p w14:paraId="082D8A11" w14:textId="77777777" w:rsidR="00CC52C0" w:rsidRPr="00974EC2" w:rsidRDefault="00A01C2C">
      <w:pPr>
        <w:pStyle w:val="subclause1Bullet1"/>
      </w:pPr>
      <w:r w:rsidRPr="00974EC2">
        <w:t>Enter into any agreement or arrangement with any other person that has the effect of prohibiting or excluding that person from submitting a Tender.</w:t>
      </w:r>
    </w:p>
    <w:p w14:paraId="561675BB" w14:textId="1F4A9E9C" w:rsidR="00CC52C0" w:rsidRPr="00974EC2" w:rsidRDefault="00A01C2C">
      <w:pPr>
        <w:pStyle w:val="subclause1Bullet1"/>
      </w:pPr>
      <w:r w:rsidRPr="00974EC2">
        <w:t xml:space="preserve">Canvass the </w:t>
      </w:r>
      <w:r w:rsidR="00C516B0" w:rsidRPr="00974EC2">
        <w:t>College</w:t>
      </w:r>
      <w:r w:rsidRPr="00974EC2">
        <w:t xml:space="preserve"> or any employees or agents of the </w:t>
      </w:r>
      <w:r w:rsidR="00C516B0" w:rsidRPr="00974EC2">
        <w:t>College</w:t>
      </w:r>
      <w:r w:rsidRPr="00974EC2">
        <w:t xml:space="preserve"> in relation to this procurement.</w:t>
      </w:r>
    </w:p>
    <w:p w14:paraId="36AF72AE" w14:textId="5E479F9E" w:rsidR="00CC52C0" w:rsidRPr="00974EC2" w:rsidRDefault="00A01C2C">
      <w:pPr>
        <w:pStyle w:val="subclause1Bullet1"/>
      </w:pPr>
      <w:r w:rsidRPr="00974EC2">
        <w:t xml:space="preserve">Offer, promise or give any person working for or engaged by the </w:t>
      </w:r>
      <w:r w:rsidR="00C516B0" w:rsidRPr="00974EC2">
        <w:t>College</w:t>
      </w:r>
      <w:r w:rsidRPr="00974EC2">
        <w:t xml:space="preserve"> a financial or other advantage as an inducement or reward for any improper performance of a function or activity relating to this procurement.</w:t>
      </w:r>
    </w:p>
    <w:p w14:paraId="03CF5EB2" w14:textId="6FCF409B" w:rsidR="00CC52C0" w:rsidRPr="00974EC2" w:rsidRDefault="00A01C2C" w:rsidP="005D3BD1">
      <w:pPr>
        <w:pStyle w:val="subclause1Bullet1"/>
      </w:pPr>
      <w:r w:rsidRPr="00974EC2">
        <w:t xml:space="preserve">Attempt to obtain information from any of the employees or agents of the </w:t>
      </w:r>
      <w:r w:rsidR="00C516B0" w:rsidRPr="00974EC2">
        <w:t>College</w:t>
      </w:r>
      <w:r w:rsidRPr="00974EC2">
        <w:t xml:space="preserve"> or their advisers concerning another Tenderer or Tender.</w:t>
      </w:r>
    </w:p>
    <w:p w14:paraId="0AA5AFEF" w14:textId="77777777" w:rsidR="00CC52C0" w:rsidRPr="00974EC2" w:rsidRDefault="00A01C2C" w:rsidP="005D3BD1">
      <w:pPr>
        <w:pStyle w:val="Titlesubclause1"/>
      </w:pPr>
      <w:r w:rsidRPr="00974EC2">
        <w:fldChar w:fldCharType="begin"/>
      </w:r>
      <w:r w:rsidRPr="00974EC2">
        <w:instrText>TC "4.7 Conflicts of interest" \l 2</w:instrText>
      </w:r>
      <w:r w:rsidRPr="00974EC2">
        <w:fldChar w:fldCharType="end"/>
      </w:r>
      <w:bookmarkStart w:id="32" w:name="a166104"/>
      <w:r w:rsidRPr="00974EC2">
        <w:t>Conflicts of interest</w:t>
      </w:r>
      <w:bookmarkEnd w:id="32"/>
    </w:p>
    <w:p w14:paraId="115B0B8A" w14:textId="6F49AE7D" w:rsidR="00CC52C0" w:rsidRPr="00974EC2" w:rsidRDefault="00A01C2C">
      <w:pPr>
        <w:pStyle w:val="Parasubclause1"/>
      </w:pPr>
      <w:r w:rsidRPr="00974EC2">
        <w:t xml:space="preserve">Tenderers are responsible for ensuring that no direct or indirect conflicts of interest exist (whether personal, financial or otherwise) between the Tenderer, its employees and advisers, and the </w:t>
      </w:r>
      <w:r w:rsidR="00C516B0" w:rsidRPr="00974EC2">
        <w:t>College</w:t>
      </w:r>
      <w:r w:rsidRPr="00974EC2">
        <w:t xml:space="preserve">, its employees and advisers that may give the Tenderer an unfair advantage. Tenderers must notify the </w:t>
      </w:r>
      <w:r w:rsidR="00C516B0" w:rsidRPr="00974EC2">
        <w:t>College</w:t>
      </w:r>
      <w:r w:rsidRPr="00974EC2">
        <w:t xml:space="preserve"> immediately of any conflicts of interest whether potential, actual or perceived. </w:t>
      </w:r>
    </w:p>
    <w:p w14:paraId="6CD66AF2" w14:textId="42D6F021" w:rsidR="00CC52C0" w:rsidRPr="00974EC2" w:rsidRDefault="00A01C2C">
      <w:pPr>
        <w:pStyle w:val="Parasubclause1"/>
      </w:pPr>
      <w:r w:rsidRPr="00974EC2">
        <w:t xml:space="preserve">The </w:t>
      </w:r>
      <w:r w:rsidR="00C516B0" w:rsidRPr="00974EC2">
        <w:t>College</w:t>
      </w:r>
      <w:r w:rsidRPr="00974EC2">
        <w:t xml:space="preserve"> reserves the right to: </w:t>
      </w:r>
    </w:p>
    <w:p w14:paraId="78D1C07E" w14:textId="4D5ED535" w:rsidR="00CC52C0" w:rsidRPr="00974EC2" w:rsidRDefault="00A01C2C" w:rsidP="00C516B0">
      <w:pPr>
        <w:pStyle w:val="Parasubclause1"/>
        <w:numPr>
          <w:ilvl w:val="0"/>
          <w:numId w:val="19"/>
        </w:numPr>
      </w:pPr>
      <w:r w:rsidRPr="00974EC2">
        <w:t xml:space="preserve">Exclude a Tenderer that fails to notify the </w:t>
      </w:r>
      <w:r w:rsidR="00C516B0" w:rsidRPr="00974EC2">
        <w:t>College</w:t>
      </w:r>
      <w:r w:rsidRPr="00974EC2">
        <w:t xml:space="preserve"> of a perceived, actual or potential conflict of interest, or where an actual conflict of interest exists that puts the Tenderer at an unavoidable unfair advantage vis a vis other Tenderers. </w:t>
      </w:r>
    </w:p>
    <w:p w14:paraId="294E6DD4" w14:textId="77777777" w:rsidR="002C0261" w:rsidRDefault="00A01C2C" w:rsidP="00C516B0">
      <w:pPr>
        <w:pStyle w:val="Parasubclause1"/>
        <w:numPr>
          <w:ilvl w:val="0"/>
          <w:numId w:val="19"/>
        </w:numPr>
      </w:pPr>
      <w:r w:rsidRPr="00974EC2">
        <w:t xml:space="preserve">Exclude a Tenderer that fails to take reasonably requested steps specified by the </w:t>
      </w:r>
      <w:r w:rsidR="00C516B0" w:rsidRPr="00974EC2">
        <w:t>College</w:t>
      </w:r>
      <w:r w:rsidRPr="00974EC2">
        <w:t xml:space="preserve"> to mitigate any conflict of interest, including entry into a </w:t>
      </w:r>
      <w:proofErr w:type="gramStart"/>
      <w:r w:rsidRPr="00974EC2">
        <w:t>conflict of interest</w:t>
      </w:r>
      <w:proofErr w:type="gramEnd"/>
      <w:r w:rsidRPr="00974EC2">
        <w:t xml:space="preserve"> agreement.</w:t>
      </w:r>
    </w:p>
    <w:p w14:paraId="21D2A846" w14:textId="7E4A2F6A" w:rsidR="00CC52C0" w:rsidRPr="00974EC2" w:rsidRDefault="002C0261" w:rsidP="00090355">
      <w:pPr>
        <w:pStyle w:val="Parasubclause1"/>
      </w:pPr>
      <w:r>
        <w:t xml:space="preserve">Suppliers are required to complete a </w:t>
      </w:r>
      <w:r w:rsidR="005118EC">
        <w:t>Conflict-of-Interest</w:t>
      </w:r>
      <w:r>
        <w:t xml:space="preserve"> Declaration as part of their Tender, as set out in Schedule 8.</w:t>
      </w:r>
      <w:r w:rsidR="00A01C2C" w:rsidRPr="00974EC2">
        <w:t xml:space="preserve"> </w:t>
      </w:r>
    </w:p>
    <w:p w14:paraId="298E3AB5" w14:textId="46AB6B7F" w:rsidR="00CC52C0" w:rsidRPr="00974EC2" w:rsidRDefault="00C516B0">
      <w:pPr>
        <w:pStyle w:val="Untitledsubclause1"/>
        <w:rPr>
          <w:b/>
        </w:rPr>
      </w:pPr>
      <w:bookmarkStart w:id="33" w:name="a272550"/>
      <w:r w:rsidRPr="00974EC2">
        <w:rPr>
          <w:b/>
        </w:rPr>
        <w:t>College's rights to modify the procurement</w:t>
      </w:r>
      <w:bookmarkEnd w:id="33"/>
    </w:p>
    <w:p w14:paraId="506EEAD9" w14:textId="12A03307" w:rsidR="00CC52C0" w:rsidRPr="00974EC2" w:rsidRDefault="00A01C2C">
      <w:pPr>
        <w:pStyle w:val="Parasubclause1"/>
      </w:pPr>
      <w:r w:rsidRPr="00974EC2">
        <w:t xml:space="preserve">The </w:t>
      </w:r>
      <w:r w:rsidR="00C516B0" w:rsidRPr="00974EC2">
        <w:t>College</w:t>
      </w:r>
      <w:r w:rsidRPr="00974EC2">
        <w:t xml:space="preserve"> reserves the right at any time to:</w:t>
      </w:r>
    </w:p>
    <w:p w14:paraId="4A347068" w14:textId="77777777" w:rsidR="00CC52C0" w:rsidRPr="00974EC2" w:rsidRDefault="00A01C2C">
      <w:pPr>
        <w:pStyle w:val="subclause1Bullet1"/>
      </w:pPr>
      <w:r w:rsidRPr="00974EC2">
        <w:t>Seek clarification in respect of any part of a Tenderer's submission.</w:t>
      </w:r>
    </w:p>
    <w:p w14:paraId="58C91CFF" w14:textId="77777777" w:rsidR="00CC52C0" w:rsidRPr="00974EC2" w:rsidRDefault="00A01C2C">
      <w:pPr>
        <w:pStyle w:val="subclause1Bullet1"/>
      </w:pPr>
      <w:r w:rsidRPr="00974EC2">
        <w:lastRenderedPageBreak/>
        <w:t>Request Tenderers to submit, supplement, clarify or complete relevant information or documentation where it appears to be incomplete, erroneous or missing.</w:t>
      </w:r>
    </w:p>
    <w:p w14:paraId="366A4CF6" w14:textId="77777777" w:rsidR="00CC52C0" w:rsidRPr="00974EC2" w:rsidRDefault="00A01C2C">
      <w:pPr>
        <w:pStyle w:val="subclause1Bullet1"/>
      </w:pPr>
      <w:r w:rsidRPr="00974EC2">
        <w:t>Disqualify any Tenderer that does not submit a compliant Tender in accordance with the instructions in this ITT.</w:t>
      </w:r>
    </w:p>
    <w:p w14:paraId="2717498B" w14:textId="0CAD3D18" w:rsidR="00CC52C0" w:rsidRPr="00974EC2" w:rsidRDefault="00A01C2C">
      <w:pPr>
        <w:pStyle w:val="subclause1Bullet1"/>
      </w:pPr>
      <w:r w:rsidRPr="00974EC2">
        <w:t xml:space="preserve">Disqualify any Tenderer that is guilty of serious misrepresentation or of negligently providing misleading information in relation to its Tender, </w:t>
      </w:r>
      <w:r w:rsidR="00154D49" w:rsidRPr="00974EC2">
        <w:t>Presentation</w:t>
      </w:r>
      <w:r w:rsidRPr="00974EC2">
        <w:t xml:space="preserve"> or the </w:t>
      </w:r>
      <w:r w:rsidR="00AE6B69">
        <w:t>T</w:t>
      </w:r>
      <w:r w:rsidRPr="00974EC2">
        <w:t>ender process.</w:t>
      </w:r>
    </w:p>
    <w:p w14:paraId="436D1A9C" w14:textId="77777777" w:rsidR="00CC52C0" w:rsidRPr="00974EC2" w:rsidRDefault="00A01C2C">
      <w:pPr>
        <w:pStyle w:val="subclause1Bullet1"/>
      </w:pPr>
      <w:r w:rsidRPr="00974EC2">
        <w:t>Reject a Tender that is abnormally low.</w:t>
      </w:r>
    </w:p>
    <w:p w14:paraId="4BA2A697" w14:textId="77777777" w:rsidR="00CC52C0" w:rsidRPr="00974EC2" w:rsidRDefault="00A01C2C">
      <w:pPr>
        <w:pStyle w:val="subclause1Bullet1"/>
      </w:pPr>
      <w:r w:rsidRPr="00974EC2">
        <w:t>Withdraw this ITT at any time, or re-invite Tenders on the same or any alternative basis.</w:t>
      </w:r>
    </w:p>
    <w:p w14:paraId="39DDD97B" w14:textId="0E734B10" w:rsidR="00CC52C0" w:rsidRPr="00974EC2" w:rsidRDefault="00A01C2C">
      <w:pPr>
        <w:pStyle w:val="subclause1Bullet1"/>
      </w:pPr>
      <w:r w:rsidRPr="00974EC2">
        <w:t>Choose not to award</w:t>
      </w:r>
      <w:r w:rsidR="00154D49" w:rsidRPr="00974EC2">
        <w:t xml:space="preserve"> the</w:t>
      </w:r>
      <w:r w:rsidRPr="00974EC2">
        <w:t xml:space="preserve"> Contract </w:t>
      </w:r>
      <w:proofErr w:type="gramStart"/>
      <w:r w:rsidRPr="00974EC2">
        <w:t>as a result of</w:t>
      </w:r>
      <w:proofErr w:type="gramEnd"/>
      <w:r w:rsidRPr="00974EC2">
        <w:t xml:space="preserve"> the current procurement process or to abandon that process.</w:t>
      </w:r>
    </w:p>
    <w:p w14:paraId="0EED095F" w14:textId="77777777" w:rsidR="00CC52C0" w:rsidRPr="00974EC2" w:rsidRDefault="00A01C2C">
      <w:pPr>
        <w:pStyle w:val="subclause1Bullet1"/>
      </w:pPr>
      <w:r w:rsidRPr="00974EC2">
        <w:t>Issue changes, modifications or additional information (including to the Timetable) relating to the procurement, including to this ITT.</w:t>
      </w:r>
    </w:p>
    <w:p w14:paraId="368D3224" w14:textId="1BCF824C" w:rsidR="00CC52C0" w:rsidRPr="00974EC2" w:rsidRDefault="00A01C2C">
      <w:pPr>
        <w:pStyle w:val="subclause1Bullet1"/>
      </w:pPr>
      <w:r w:rsidRPr="00974EC2">
        <w:t>Alter the Timetable as it sees fit</w:t>
      </w:r>
      <w:r w:rsidR="00AA23E2" w:rsidRPr="00974EC2">
        <w:t>.</w:t>
      </w:r>
    </w:p>
    <w:p w14:paraId="61C9647F" w14:textId="77777777" w:rsidR="00CC52C0" w:rsidRPr="00974EC2" w:rsidRDefault="00A01C2C">
      <w:pPr>
        <w:pStyle w:val="subclause1Bullet1"/>
      </w:pPr>
      <w:r w:rsidRPr="00974EC2">
        <w:t>Rewind or re-run any part of this procurement on the same or an alternative basis.</w:t>
      </w:r>
    </w:p>
    <w:p w14:paraId="062138AD" w14:textId="77777777" w:rsidR="00CC52C0" w:rsidRPr="00974EC2" w:rsidRDefault="00A01C2C">
      <w:pPr>
        <w:pStyle w:val="Untitledsubclause1"/>
        <w:rPr>
          <w:b/>
        </w:rPr>
      </w:pPr>
      <w:bookmarkStart w:id="34" w:name="a970991"/>
      <w:r w:rsidRPr="00974EC2">
        <w:rPr>
          <w:b/>
        </w:rPr>
        <w:t>Bid costs</w:t>
      </w:r>
      <w:bookmarkEnd w:id="34"/>
    </w:p>
    <w:p w14:paraId="438804D6" w14:textId="2CBC96FF" w:rsidR="00CC52C0" w:rsidRPr="00974EC2" w:rsidRDefault="00A01C2C">
      <w:pPr>
        <w:pStyle w:val="Parasubclause1"/>
      </w:pPr>
      <w:r w:rsidRPr="00974EC2">
        <w:t xml:space="preserve">The </w:t>
      </w:r>
      <w:r w:rsidR="00C516B0" w:rsidRPr="00974EC2">
        <w:t>College</w:t>
      </w:r>
      <w:r w:rsidRPr="00974EC2">
        <w:t xml:space="preserve"> will not be liable for any bid costs, expenditure, work or effort incurred by a Tenderer in proceeding with or participating in this procurement, including if the procurement process is terminated or amended by the </w:t>
      </w:r>
      <w:r w:rsidR="00C516B0" w:rsidRPr="00974EC2">
        <w:t>College</w:t>
      </w:r>
      <w:r w:rsidRPr="00974EC2">
        <w:t>.</w:t>
      </w:r>
    </w:p>
    <w:p w14:paraId="19073F16" w14:textId="77777777" w:rsidR="00CC52C0" w:rsidRPr="00974EC2" w:rsidRDefault="00A01C2C">
      <w:pPr>
        <w:pStyle w:val="TitleClause"/>
      </w:pPr>
      <w:r w:rsidRPr="00974EC2">
        <w:fldChar w:fldCharType="begin"/>
      </w:r>
      <w:r w:rsidRPr="00974EC2">
        <w:instrText>TC "5. Tender Evaluation Model" \l 1</w:instrText>
      </w:r>
      <w:r w:rsidRPr="00974EC2">
        <w:fldChar w:fldCharType="end"/>
      </w:r>
      <w:bookmarkStart w:id="35" w:name="a694999"/>
      <w:bookmarkStart w:id="36" w:name="_Toc216178768"/>
      <w:r w:rsidRPr="00974EC2">
        <w:t>Tender Evaluation Model</w:t>
      </w:r>
      <w:bookmarkEnd w:id="35"/>
      <w:bookmarkEnd w:id="36"/>
    </w:p>
    <w:p w14:paraId="460BEE15" w14:textId="77777777" w:rsidR="00CC52C0" w:rsidRPr="00974EC2" w:rsidRDefault="00A01C2C">
      <w:pPr>
        <w:pStyle w:val="Untitledsubclause1"/>
        <w:rPr>
          <w:b/>
        </w:rPr>
      </w:pPr>
      <w:bookmarkStart w:id="37" w:name="a362884"/>
      <w:r w:rsidRPr="00974EC2">
        <w:rPr>
          <w:b/>
        </w:rPr>
        <w:t>Award Criteria and Evaluation Criteria</w:t>
      </w:r>
      <w:bookmarkEnd w:id="37"/>
    </w:p>
    <w:p w14:paraId="52B97338" w14:textId="0FCB5520" w:rsidR="00CC52C0" w:rsidRPr="00974EC2" w:rsidRDefault="00A01C2C">
      <w:pPr>
        <w:pStyle w:val="Parasubclause1"/>
      </w:pPr>
      <w:r w:rsidRPr="00974EC2">
        <w:t xml:space="preserve">Any Contract(s) awarded as a result of this procurement will be awarded on the basis of the offer that is the most advantageous to the </w:t>
      </w:r>
      <w:r w:rsidR="00C516B0" w:rsidRPr="00974EC2">
        <w:t>College</w:t>
      </w:r>
      <w:r w:rsidRPr="00974EC2">
        <w:t>. The Award Criteria are:</w:t>
      </w:r>
    </w:p>
    <w:p w14:paraId="2F861226" w14:textId="70AF547C" w:rsidR="00CC52C0" w:rsidRPr="00974EC2" w:rsidRDefault="004B0233">
      <w:pPr>
        <w:pStyle w:val="subclause1Bullet1"/>
      </w:pPr>
      <w:r>
        <w:t>70</w:t>
      </w:r>
      <w:r w:rsidR="00A01C2C" w:rsidRPr="00974EC2">
        <w:t>% quality.</w:t>
      </w:r>
    </w:p>
    <w:p w14:paraId="4572F75F" w14:textId="39674E60" w:rsidR="00CC52C0" w:rsidRPr="00974EC2" w:rsidRDefault="004B0233">
      <w:pPr>
        <w:pStyle w:val="subclause1Bullet1"/>
      </w:pPr>
      <w:r>
        <w:t>30</w:t>
      </w:r>
      <w:r w:rsidR="00A01C2C" w:rsidRPr="00974EC2">
        <w:t>% cost.</w:t>
      </w:r>
    </w:p>
    <w:p w14:paraId="6688E0DC" w14:textId="77777777" w:rsidR="00CC52C0" w:rsidRPr="00974EC2" w:rsidRDefault="00A01C2C">
      <w:pPr>
        <w:pStyle w:val="Parasubclause1"/>
      </w:pPr>
      <w:r w:rsidRPr="00974EC2">
        <w:t>Scores are arrived at following the application of the Evaluation Criteria (</w:t>
      </w:r>
      <w:r w:rsidRPr="00974EC2">
        <w:rPr>
          <w:b/>
        </w:rPr>
        <w:t>Evaluation Criteria</w:t>
      </w:r>
      <w:r w:rsidRPr="00974EC2">
        <w:t>) set out below to the Tenderer's Tender.</w:t>
      </w:r>
    </w:p>
    <w:p w14:paraId="2C274099" w14:textId="13E546FD" w:rsidR="00CC52C0" w:rsidRPr="00974EC2" w:rsidRDefault="00A01C2C">
      <w:pPr>
        <w:pStyle w:val="Parasubclause1"/>
      </w:pPr>
      <w:r w:rsidRPr="00974EC2">
        <w:lastRenderedPageBreak/>
        <w:t xml:space="preserve">Tenderers are required to submit a Tender strictly in accordance with the requirements set out in this ITT, to ensure the </w:t>
      </w:r>
      <w:r w:rsidR="00C516B0" w:rsidRPr="00974EC2">
        <w:t>College</w:t>
      </w:r>
      <w:r w:rsidRPr="00974EC2">
        <w:t xml:space="preserve"> has the correct information to make the evaluation. Evasive, unclear or hedged Tenders may be discounted in evaluation and may, at the </w:t>
      </w:r>
      <w:r w:rsidR="00C516B0" w:rsidRPr="00974EC2">
        <w:t>College</w:t>
      </w:r>
      <w:r w:rsidRPr="00974EC2">
        <w:t>'s discretion, be taken as a rejection by the Tenderer of the terms set out in this ITT.</w:t>
      </w:r>
    </w:p>
    <w:p w14:paraId="78E5FDE7" w14:textId="77777777" w:rsidR="00CC52C0" w:rsidRPr="00974EC2" w:rsidRDefault="00A01C2C">
      <w:pPr>
        <w:pStyle w:val="Parasubclause1"/>
      </w:pPr>
      <w:r w:rsidRPr="00974EC2">
        <w:t xml:space="preserve">The Tender Evaluation Model showing the Evaluation Criteria and the maximum scores attributable to them is set out below. </w:t>
      </w:r>
    </w:p>
    <w:p w14:paraId="6C250F7A" w14:textId="77777777" w:rsidR="00CC52C0" w:rsidRPr="00974EC2" w:rsidRDefault="00A01C2C">
      <w:pPr>
        <w:pStyle w:val="Untitledsubclause1"/>
        <w:rPr>
          <w:b/>
        </w:rPr>
      </w:pPr>
      <w:bookmarkStart w:id="38" w:name="a147495"/>
      <w:r w:rsidRPr="00974EC2">
        <w:rPr>
          <w:b/>
        </w:rPr>
        <w:t>Evaluation process</w:t>
      </w:r>
      <w:bookmarkEnd w:id="38"/>
    </w:p>
    <w:p w14:paraId="64CFB4ED" w14:textId="77777777" w:rsidR="00CC52C0" w:rsidRPr="00974EC2" w:rsidRDefault="00A01C2C">
      <w:pPr>
        <w:pStyle w:val="Parasubclause1"/>
        <w:rPr>
          <w:b/>
        </w:rPr>
      </w:pPr>
      <w:r w:rsidRPr="00974EC2">
        <w:rPr>
          <w:b/>
        </w:rPr>
        <w:t>Technical or quality evaluation</w:t>
      </w:r>
    </w:p>
    <w:p w14:paraId="0F5CE0CF" w14:textId="77777777" w:rsidR="00CC52C0" w:rsidRPr="00974EC2" w:rsidRDefault="00A01C2C">
      <w:pPr>
        <w:pStyle w:val="Parasubclause1"/>
      </w:pPr>
      <w:r w:rsidRPr="00974EC2">
        <w:t>The technical evaluation will be scored in accordance with the table below.</w:t>
      </w:r>
    </w:p>
    <w:p w14:paraId="79293093" w14:textId="77777777" w:rsidR="00CC52C0" w:rsidRPr="00974EC2" w:rsidRDefault="00A01C2C">
      <w:pPr>
        <w:pStyle w:val="Parasubclause1"/>
        <w:rPr>
          <w:b/>
        </w:rPr>
      </w:pPr>
      <w:r w:rsidRPr="00974EC2">
        <w:rPr>
          <w:b/>
        </w:rPr>
        <w:t>Scoring matrix for the technical and quality criteria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401"/>
        <w:gridCol w:w="7939"/>
      </w:tblGrid>
      <w:tr w:rsidR="00492069" w:rsidRPr="00974EC2" w14:paraId="5DF3AF88" w14:textId="77777777">
        <w:tc>
          <w:tcPr>
            <w:tcW w:w="750" w:type="pct"/>
            <w:tcBorders>
              <w:top w:val="single" w:sz="8" w:space="0" w:color="000000"/>
              <w:left w:val="single" w:sz="8" w:space="0" w:color="000000"/>
              <w:bottom w:val="single" w:sz="8" w:space="0" w:color="000000"/>
              <w:right w:val="single" w:sz="8" w:space="0" w:color="000000"/>
            </w:tcBorders>
          </w:tcPr>
          <w:p w14:paraId="3C396D44" w14:textId="77777777" w:rsidR="00CC52C0" w:rsidRPr="00974EC2" w:rsidRDefault="00A01C2C">
            <w:pPr>
              <w:pStyle w:val="Paragraph"/>
              <w:jc w:val="left"/>
            </w:pPr>
            <w:r w:rsidRPr="00974EC2">
              <w:t>0</w:t>
            </w:r>
          </w:p>
        </w:tc>
        <w:tc>
          <w:tcPr>
            <w:tcW w:w="4250" w:type="pct"/>
            <w:tcBorders>
              <w:top w:val="single" w:sz="8" w:space="0" w:color="000000"/>
              <w:left w:val="single" w:sz="8" w:space="0" w:color="000000"/>
              <w:bottom w:val="single" w:sz="8" w:space="0" w:color="000000"/>
              <w:right w:val="single" w:sz="8" w:space="0" w:color="000000"/>
            </w:tcBorders>
          </w:tcPr>
          <w:p w14:paraId="022198E8" w14:textId="77777777" w:rsidR="00CC52C0" w:rsidRPr="00974EC2" w:rsidRDefault="00A01C2C">
            <w:pPr>
              <w:pStyle w:val="Paragraph"/>
              <w:jc w:val="left"/>
            </w:pPr>
            <w:r w:rsidRPr="00974EC2">
              <w:t>Completely fails to meet required standard or does not provide a proposal.</w:t>
            </w:r>
          </w:p>
        </w:tc>
      </w:tr>
      <w:tr w:rsidR="00492069" w:rsidRPr="00974EC2" w14:paraId="7BB2C213" w14:textId="77777777">
        <w:tc>
          <w:tcPr>
            <w:tcW w:w="750" w:type="pct"/>
            <w:tcBorders>
              <w:top w:val="single" w:sz="8" w:space="0" w:color="000000"/>
              <w:left w:val="single" w:sz="8" w:space="0" w:color="000000"/>
              <w:bottom w:val="single" w:sz="8" w:space="0" w:color="000000"/>
              <w:right w:val="single" w:sz="8" w:space="0" w:color="000000"/>
            </w:tcBorders>
          </w:tcPr>
          <w:p w14:paraId="68A1D789" w14:textId="77777777" w:rsidR="00CC52C0" w:rsidRPr="00974EC2" w:rsidRDefault="00A01C2C">
            <w:pPr>
              <w:pStyle w:val="Paragraph"/>
              <w:jc w:val="left"/>
            </w:pPr>
            <w:r w:rsidRPr="00974EC2">
              <w:t>1</w:t>
            </w:r>
          </w:p>
        </w:tc>
        <w:tc>
          <w:tcPr>
            <w:tcW w:w="4250" w:type="pct"/>
            <w:tcBorders>
              <w:top w:val="single" w:sz="8" w:space="0" w:color="000000"/>
              <w:left w:val="single" w:sz="8" w:space="0" w:color="000000"/>
              <w:bottom w:val="single" w:sz="8" w:space="0" w:color="000000"/>
              <w:right w:val="single" w:sz="8" w:space="0" w:color="000000"/>
            </w:tcBorders>
          </w:tcPr>
          <w:p w14:paraId="23D69F87" w14:textId="77777777" w:rsidR="00CC52C0" w:rsidRPr="00974EC2" w:rsidRDefault="00A01C2C">
            <w:pPr>
              <w:pStyle w:val="Paragraph"/>
              <w:jc w:val="left"/>
            </w:pPr>
            <w:r w:rsidRPr="00974EC2">
              <w:t>Proposal significantly fails to meet the standards required, contains significant shortcomings or is inconsistent with other proposals.</w:t>
            </w:r>
          </w:p>
        </w:tc>
      </w:tr>
      <w:tr w:rsidR="00492069" w:rsidRPr="00974EC2" w14:paraId="40DDB7E1" w14:textId="77777777">
        <w:tc>
          <w:tcPr>
            <w:tcW w:w="750" w:type="pct"/>
            <w:tcBorders>
              <w:top w:val="single" w:sz="8" w:space="0" w:color="000000"/>
              <w:left w:val="single" w:sz="8" w:space="0" w:color="000000"/>
              <w:bottom w:val="single" w:sz="8" w:space="0" w:color="000000"/>
              <w:right w:val="single" w:sz="8" w:space="0" w:color="000000"/>
            </w:tcBorders>
          </w:tcPr>
          <w:p w14:paraId="13CC5069" w14:textId="77777777" w:rsidR="00CC52C0" w:rsidRPr="00974EC2" w:rsidRDefault="00A01C2C">
            <w:pPr>
              <w:pStyle w:val="Paragraph"/>
              <w:jc w:val="left"/>
            </w:pPr>
            <w:r w:rsidRPr="00974EC2">
              <w:t>2</w:t>
            </w:r>
          </w:p>
        </w:tc>
        <w:tc>
          <w:tcPr>
            <w:tcW w:w="4250" w:type="pct"/>
            <w:tcBorders>
              <w:top w:val="single" w:sz="8" w:space="0" w:color="000000"/>
              <w:left w:val="single" w:sz="8" w:space="0" w:color="000000"/>
              <w:bottom w:val="single" w:sz="8" w:space="0" w:color="000000"/>
              <w:right w:val="single" w:sz="8" w:space="0" w:color="000000"/>
            </w:tcBorders>
          </w:tcPr>
          <w:p w14:paraId="20358937" w14:textId="77777777" w:rsidR="00CC52C0" w:rsidRPr="00974EC2" w:rsidRDefault="00A01C2C">
            <w:pPr>
              <w:pStyle w:val="Paragraph"/>
              <w:jc w:val="left"/>
            </w:pPr>
            <w:r w:rsidRPr="00974EC2">
              <w:t xml:space="preserve">Proposal falls short of achieving expected standard in </w:t>
            </w:r>
            <w:proofErr w:type="gramStart"/>
            <w:r w:rsidRPr="00974EC2">
              <w:t>a number of</w:t>
            </w:r>
            <w:proofErr w:type="gramEnd"/>
            <w:r w:rsidRPr="00974EC2">
              <w:t xml:space="preserve"> identifiable respects.</w:t>
            </w:r>
          </w:p>
        </w:tc>
      </w:tr>
      <w:tr w:rsidR="00492069" w:rsidRPr="00974EC2" w14:paraId="6E2627BC" w14:textId="77777777">
        <w:tc>
          <w:tcPr>
            <w:tcW w:w="750" w:type="pct"/>
            <w:tcBorders>
              <w:top w:val="single" w:sz="8" w:space="0" w:color="000000"/>
              <w:left w:val="single" w:sz="8" w:space="0" w:color="000000"/>
              <w:bottom w:val="single" w:sz="8" w:space="0" w:color="000000"/>
              <w:right w:val="single" w:sz="8" w:space="0" w:color="000000"/>
            </w:tcBorders>
          </w:tcPr>
          <w:p w14:paraId="14E415B9" w14:textId="77777777" w:rsidR="00CC52C0" w:rsidRPr="00974EC2" w:rsidRDefault="00A01C2C">
            <w:pPr>
              <w:pStyle w:val="Paragraph"/>
              <w:jc w:val="left"/>
            </w:pPr>
            <w:r w:rsidRPr="00974EC2">
              <w:t>3</w:t>
            </w:r>
          </w:p>
        </w:tc>
        <w:tc>
          <w:tcPr>
            <w:tcW w:w="4250" w:type="pct"/>
            <w:tcBorders>
              <w:top w:val="single" w:sz="8" w:space="0" w:color="000000"/>
              <w:left w:val="single" w:sz="8" w:space="0" w:color="000000"/>
              <w:bottom w:val="single" w:sz="8" w:space="0" w:color="000000"/>
              <w:right w:val="single" w:sz="8" w:space="0" w:color="000000"/>
            </w:tcBorders>
          </w:tcPr>
          <w:p w14:paraId="0D220BAA" w14:textId="77777777" w:rsidR="00CC52C0" w:rsidRPr="00974EC2" w:rsidRDefault="00A01C2C">
            <w:pPr>
              <w:pStyle w:val="Paragraph"/>
              <w:jc w:val="left"/>
            </w:pPr>
            <w:r w:rsidRPr="00974EC2">
              <w:t>Proposal meets the required standard in most material respects but is lacking or inconsistent in others.</w:t>
            </w:r>
          </w:p>
        </w:tc>
      </w:tr>
      <w:tr w:rsidR="00492069" w:rsidRPr="00974EC2" w14:paraId="4F11EC59" w14:textId="77777777">
        <w:tc>
          <w:tcPr>
            <w:tcW w:w="750" w:type="pct"/>
            <w:tcBorders>
              <w:top w:val="single" w:sz="8" w:space="0" w:color="000000"/>
              <w:left w:val="single" w:sz="8" w:space="0" w:color="000000"/>
              <w:bottom w:val="single" w:sz="8" w:space="0" w:color="000000"/>
              <w:right w:val="single" w:sz="8" w:space="0" w:color="000000"/>
            </w:tcBorders>
          </w:tcPr>
          <w:p w14:paraId="48CF533A" w14:textId="77777777" w:rsidR="00CC52C0" w:rsidRPr="00974EC2" w:rsidRDefault="00A01C2C">
            <w:pPr>
              <w:pStyle w:val="Paragraph"/>
              <w:jc w:val="left"/>
            </w:pPr>
            <w:r w:rsidRPr="00974EC2">
              <w:t>4</w:t>
            </w:r>
          </w:p>
        </w:tc>
        <w:tc>
          <w:tcPr>
            <w:tcW w:w="4250" w:type="pct"/>
            <w:tcBorders>
              <w:top w:val="single" w:sz="8" w:space="0" w:color="000000"/>
              <w:left w:val="single" w:sz="8" w:space="0" w:color="000000"/>
              <w:bottom w:val="single" w:sz="8" w:space="0" w:color="000000"/>
              <w:right w:val="single" w:sz="8" w:space="0" w:color="000000"/>
            </w:tcBorders>
          </w:tcPr>
          <w:p w14:paraId="54B8C2B1" w14:textId="77777777" w:rsidR="00CC52C0" w:rsidRPr="00974EC2" w:rsidRDefault="00A01C2C">
            <w:pPr>
              <w:pStyle w:val="Paragraph"/>
              <w:jc w:val="left"/>
            </w:pPr>
            <w:r w:rsidRPr="00974EC2">
              <w:t>Proposal meets the required standard in all material respects.</w:t>
            </w:r>
          </w:p>
        </w:tc>
      </w:tr>
      <w:tr w:rsidR="00492069" w:rsidRPr="00974EC2" w14:paraId="710EBF93" w14:textId="77777777">
        <w:tc>
          <w:tcPr>
            <w:tcW w:w="750" w:type="pct"/>
            <w:tcBorders>
              <w:top w:val="single" w:sz="8" w:space="0" w:color="000000"/>
              <w:left w:val="single" w:sz="8" w:space="0" w:color="000000"/>
              <w:bottom w:val="single" w:sz="8" w:space="0" w:color="000000"/>
              <w:right w:val="single" w:sz="8" w:space="0" w:color="000000"/>
            </w:tcBorders>
          </w:tcPr>
          <w:p w14:paraId="7DA4E952" w14:textId="77777777" w:rsidR="00CC52C0" w:rsidRPr="00974EC2" w:rsidRDefault="00A01C2C">
            <w:pPr>
              <w:pStyle w:val="Paragraph"/>
              <w:jc w:val="left"/>
            </w:pPr>
            <w:r w:rsidRPr="00974EC2">
              <w:t>5</w:t>
            </w:r>
          </w:p>
        </w:tc>
        <w:tc>
          <w:tcPr>
            <w:tcW w:w="4250" w:type="pct"/>
            <w:tcBorders>
              <w:top w:val="single" w:sz="8" w:space="0" w:color="000000"/>
              <w:left w:val="single" w:sz="8" w:space="0" w:color="000000"/>
              <w:bottom w:val="single" w:sz="8" w:space="0" w:color="000000"/>
              <w:right w:val="single" w:sz="8" w:space="0" w:color="000000"/>
            </w:tcBorders>
          </w:tcPr>
          <w:p w14:paraId="3A97EA92" w14:textId="77777777" w:rsidR="00CC52C0" w:rsidRPr="00974EC2" w:rsidRDefault="00A01C2C">
            <w:pPr>
              <w:pStyle w:val="Paragraph"/>
              <w:jc w:val="left"/>
            </w:pPr>
            <w:r w:rsidRPr="00974EC2">
              <w:t xml:space="preserve">Proposal meets the required standard in all material respects and exceeds some or </w:t>
            </w:r>
            <w:proofErr w:type="gramStart"/>
            <w:r w:rsidRPr="00974EC2">
              <w:t>all of</w:t>
            </w:r>
            <w:proofErr w:type="gramEnd"/>
            <w:r w:rsidRPr="00974EC2">
              <w:t xml:space="preserve"> the major requirements.</w:t>
            </w:r>
          </w:p>
        </w:tc>
      </w:tr>
    </w:tbl>
    <w:p w14:paraId="5C3CC9B3" w14:textId="77777777" w:rsidR="000B3D60" w:rsidRPr="000B3D60" w:rsidRDefault="000B3D60" w:rsidP="000B3D60">
      <w:pPr>
        <w:spacing w:before="160"/>
        <w:ind w:left="709"/>
        <w:contextualSpacing/>
        <w:rPr>
          <w:rFonts w:ascii="Arial" w:eastAsia="Arial" w:hAnsi="Arial" w:cs="Arial"/>
        </w:rPr>
      </w:pPr>
    </w:p>
    <w:p w14:paraId="1E7AEC1E" w14:textId="77777777" w:rsidR="000B3D60" w:rsidRDefault="000B3D60" w:rsidP="000B3D60">
      <w:pPr>
        <w:spacing w:before="160"/>
        <w:contextualSpacing/>
        <w:rPr>
          <w:rFonts w:ascii="Arial" w:eastAsia="Arial" w:hAnsi="Arial" w:cs="Arial"/>
        </w:rPr>
      </w:pPr>
    </w:p>
    <w:p w14:paraId="17AD9A4F" w14:textId="77777777" w:rsidR="000B3D60" w:rsidRDefault="000B3D60" w:rsidP="000B3D60">
      <w:pPr>
        <w:spacing w:before="160"/>
        <w:contextualSpacing/>
        <w:rPr>
          <w:rFonts w:ascii="Arial" w:eastAsia="Arial" w:hAnsi="Arial" w:cs="Arial"/>
        </w:rPr>
      </w:pPr>
    </w:p>
    <w:p w14:paraId="0F68E62A" w14:textId="3E488DC1" w:rsidR="000B3D60" w:rsidRPr="003872E8" w:rsidRDefault="000B3D60" w:rsidP="000B3D60">
      <w:pPr>
        <w:spacing w:before="160"/>
        <w:ind w:firstLine="709"/>
        <w:contextualSpacing/>
        <w:rPr>
          <w:rFonts w:ascii="Arial" w:eastAsia="Arial" w:hAnsi="Arial" w:cs="Arial"/>
        </w:rPr>
      </w:pPr>
      <w:r w:rsidRPr="2E59DAB8">
        <w:rPr>
          <w:rFonts w:ascii="Arial" w:eastAsia="Arial" w:hAnsi="Arial" w:cs="Arial"/>
        </w:rPr>
        <w:t xml:space="preserve">The Quality information will represent </w:t>
      </w:r>
      <w:r>
        <w:rPr>
          <w:rFonts w:ascii="Arial" w:eastAsia="Arial" w:hAnsi="Arial" w:cs="Arial"/>
        </w:rPr>
        <w:t>7</w:t>
      </w:r>
      <w:r w:rsidRPr="2E59DAB8">
        <w:rPr>
          <w:rFonts w:ascii="Arial" w:eastAsia="Arial" w:hAnsi="Arial" w:cs="Arial"/>
        </w:rPr>
        <w:t>0% of the available score.</w:t>
      </w:r>
    </w:p>
    <w:p w14:paraId="46528970" w14:textId="77777777" w:rsidR="000B3D60" w:rsidRPr="003872E8" w:rsidRDefault="000B3D60" w:rsidP="000B3D60">
      <w:pPr>
        <w:ind w:left="709"/>
        <w:contextualSpacing/>
        <w:rPr>
          <w:rFonts w:ascii="Arial" w:eastAsia="Arial" w:hAnsi="Arial" w:cs="Arial"/>
        </w:rPr>
      </w:pPr>
    </w:p>
    <w:p w14:paraId="676F5FA8" w14:textId="562D2E00" w:rsidR="000B3D60" w:rsidRPr="003872E8" w:rsidRDefault="000B3D60" w:rsidP="000B3D60">
      <w:pPr>
        <w:tabs>
          <w:tab w:val="left" w:pos="2268"/>
          <w:tab w:val="left" w:pos="2552"/>
          <w:tab w:val="left" w:pos="6237"/>
          <w:tab w:val="left" w:pos="6521"/>
        </w:tabs>
        <w:ind w:left="709"/>
        <w:contextualSpacing/>
        <w:rPr>
          <w:rFonts w:ascii="Arial" w:eastAsia="Arial" w:hAnsi="Arial" w:cs="Arial"/>
          <w:b/>
          <w:bCs/>
        </w:rPr>
      </w:pPr>
      <w:bookmarkStart w:id="39" w:name="_Hlk89007393"/>
      <w:r w:rsidRPr="2E59DAB8">
        <w:rPr>
          <w:rFonts w:ascii="Arial" w:eastAsia="Arial" w:hAnsi="Arial" w:cs="Arial"/>
          <w:b/>
          <w:bCs/>
        </w:rPr>
        <w:t xml:space="preserve">Quality mark </w:t>
      </w:r>
      <w:r>
        <w:tab/>
      </w:r>
      <w:r w:rsidRPr="2E59DAB8">
        <w:rPr>
          <w:rFonts w:ascii="Arial" w:eastAsia="Arial" w:hAnsi="Arial" w:cs="Arial"/>
          <w:b/>
          <w:bCs/>
        </w:rPr>
        <w:t xml:space="preserve">= </w:t>
      </w:r>
      <w:r>
        <w:tab/>
      </w:r>
      <w:r w:rsidRPr="2E59DAB8">
        <w:rPr>
          <w:rFonts w:ascii="Arial" w:eastAsia="Arial" w:hAnsi="Arial" w:cs="Arial"/>
          <w:b/>
          <w:bCs/>
          <w:u w:val="single"/>
        </w:rPr>
        <w:t xml:space="preserve"> Tenderers Quality Score x </w:t>
      </w:r>
      <w:r>
        <w:rPr>
          <w:rFonts w:ascii="Arial" w:eastAsia="Arial" w:hAnsi="Arial" w:cs="Arial"/>
          <w:b/>
          <w:bCs/>
          <w:u w:val="single"/>
        </w:rPr>
        <w:t>7</w:t>
      </w:r>
      <w:r w:rsidRPr="2E59DAB8">
        <w:rPr>
          <w:rFonts w:ascii="Arial" w:eastAsia="Arial" w:hAnsi="Arial" w:cs="Arial"/>
          <w:b/>
          <w:bCs/>
          <w:u w:val="single"/>
        </w:rPr>
        <w:t xml:space="preserve">0% </w:t>
      </w:r>
      <w:r>
        <w:tab/>
      </w:r>
      <w:r w:rsidRPr="2E59DAB8">
        <w:rPr>
          <w:rFonts w:ascii="Arial" w:eastAsia="Arial" w:hAnsi="Arial" w:cs="Arial"/>
          <w:b/>
          <w:bCs/>
        </w:rPr>
        <w:t xml:space="preserve">= </w:t>
      </w:r>
      <w:r>
        <w:tab/>
      </w:r>
      <w:r w:rsidRPr="2E59DAB8">
        <w:rPr>
          <w:rFonts w:ascii="Arial" w:eastAsia="Arial" w:hAnsi="Arial" w:cs="Arial"/>
          <w:b/>
          <w:bCs/>
        </w:rPr>
        <w:t>Percentage Score</w:t>
      </w:r>
    </w:p>
    <w:p w14:paraId="36B5A54B" w14:textId="3E534F6E" w:rsidR="000B3D60" w:rsidRDefault="000B3D60" w:rsidP="00722529">
      <w:pPr>
        <w:tabs>
          <w:tab w:val="left" w:pos="2268"/>
          <w:tab w:val="left" w:pos="2552"/>
          <w:tab w:val="left" w:pos="5812"/>
          <w:tab w:val="left" w:pos="6237"/>
        </w:tabs>
        <w:ind w:left="709"/>
        <w:contextualSpacing/>
        <w:rPr>
          <w:rFonts w:ascii="Arial" w:eastAsia="Arial" w:hAnsi="Arial" w:cs="Arial"/>
          <w:b/>
          <w:bCs/>
        </w:rPr>
      </w:pPr>
      <w:r w:rsidRPr="003872E8">
        <w:rPr>
          <w:rFonts w:ascii="Arial" w:eastAsia="Arial" w:hAnsi="Arial" w:cs="Arial"/>
          <w:b/>
          <w:bCs/>
        </w:rPr>
        <w:tab/>
      </w:r>
      <w:r w:rsidRPr="003872E8">
        <w:rPr>
          <w:rFonts w:ascii="Arial" w:eastAsia="Arial" w:hAnsi="Arial" w:cs="Arial"/>
          <w:b/>
          <w:bCs/>
        </w:rPr>
        <w:tab/>
        <w:t xml:space="preserve">        Highest Quality Score</w:t>
      </w:r>
    </w:p>
    <w:p w14:paraId="43DCC8E6" w14:textId="77777777" w:rsidR="00590100" w:rsidRDefault="00590100" w:rsidP="000B3D60">
      <w:pPr>
        <w:tabs>
          <w:tab w:val="left" w:pos="2268"/>
          <w:tab w:val="left" w:pos="2552"/>
          <w:tab w:val="left" w:pos="5812"/>
          <w:tab w:val="left" w:pos="6237"/>
        </w:tabs>
        <w:ind w:left="709"/>
        <w:contextualSpacing/>
        <w:rPr>
          <w:rFonts w:ascii="Arial" w:eastAsia="Arial" w:hAnsi="Arial" w:cs="Arial"/>
          <w:b/>
          <w:bCs/>
        </w:rPr>
      </w:pPr>
    </w:p>
    <w:p w14:paraId="31754EEA" w14:textId="77777777" w:rsidR="00722529" w:rsidRDefault="00722529" w:rsidP="000B3D60">
      <w:pPr>
        <w:tabs>
          <w:tab w:val="left" w:pos="2268"/>
          <w:tab w:val="left" w:pos="2552"/>
          <w:tab w:val="left" w:pos="5812"/>
          <w:tab w:val="left" w:pos="6237"/>
        </w:tabs>
        <w:ind w:left="709"/>
        <w:contextualSpacing/>
        <w:rPr>
          <w:rFonts w:ascii="Arial" w:eastAsia="Arial" w:hAnsi="Arial" w:cs="Arial"/>
          <w:b/>
          <w:bCs/>
        </w:rPr>
      </w:pPr>
    </w:p>
    <w:p w14:paraId="35FF64AD" w14:textId="77777777" w:rsidR="00722529" w:rsidRDefault="00722529" w:rsidP="000B3D60">
      <w:pPr>
        <w:tabs>
          <w:tab w:val="left" w:pos="2268"/>
          <w:tab w:val="left" w:pos="2552"/>
          <w:tab w:val="left" w:pos="5812"/>
          <w:tab w:val="left" w:pos="6237"/>
        </w:tabs>
        <w:ind w:left="709"/>
        <w:contextualSpacing/>
        <w:rPr>
          <w:rFonts w:ascii="Arial" w:eastAsia="Arial" w:hAnsi="Arial" w:cs="Arial"/>
          <w:b/>
          <w:bCs/>
        </w:rPr>
      </w:pPr>
    </w:p>
    <w:p w14:paraId="442F0F52" w14:textId="77777777" w:rsidR="00722529" w:rsidRDefault="00722529" w:rsidP="000B3D60">
      <w:pPr>
        <w:tabs>
          <w:tab w:val="left" w:pos="2268"/>
          <w:tab w:val="left" w:pos="2552"/>
          <w:tab w:val="left" w:pos="5812"/>
          <w:tab w:val="left" w:pos="6237"/>
        </w:tabs>
        <w:ind w:left="709"/>
        <w:contextualSpacing/>
        <w:rPr>
          <w:rFonts w:ascii="Arial" w:eastAsia="Arial" w:hAnsi="Arial" w:cs="Arial"/>
          <w:b/>
          <w:bCs/>
        </w:rPr>
      </w:pPr>
    </w:p>
    <w:p w14:paraId="5853A307" w14:textId="77777777" w:rsidR="00590100" w:rsidRDefault="00590100" w:rsidP="000B3D60">
      <w:pPr>
        <w:tabs>
          <w:tab w:val="left" w:pos="2268"/>
          <w:tab w:val="left" w:pos="2552"/>
          <w:tab w:val="left" w:pos="5812"/>
          <w:tab w:val="left" w:pos="6237"/>
        </w:tabs>
        <w:ind w:left="709"/>
        <w:contextualSpacing/>
        <w:rPr>
          <w:rFonts w:ascii="Arial" w:eastAsia="Arial" w:hAnsi="Arial" w:cs="Arial"/>
          <w:b/>
          <w:bCs/>
        </w:rPr>
      </w:pPr>
    </w:p>
    <w:tbl>
      <w:tblPr>
        <w:tblStyle w:val="TableGrid1"/>
        <w:tblpPr w:leftFromText="180" w:rightFromText="180" w:vertAnchor="text" w:tblpX="-5" w:tblpY="1"/>
        <w:tblOverlap w:val="never"/>
        <w:tblW w:w="9923" w:type="dxa"/>
        <w:tblLayout w:type="fixed"/>
        <w:tblLook w:val="04A0" w:firstRow="1" w:lastRow="0" w:firstColumn="1" w:lastColumn="0" w:noHBand="0" w:noVBand="1"/>
      </w:tblPr>
      <w:tblGrid>
        <w:gridCol w:w="1064"/>
        <w:gridCol w:w="5032"/>
        <w:gridCol w:w="1333"/>
        <w:gridCol w:w="1238"/>
        <w:gridCol w:w="1256"/>
      </w:tblGrid>
      <w:tr w:rsidR="00722529" w:rsidRPr="008D01DD" w14:paraId="38EB5423" w14:textId="77777777" w:rsidTr="00FB29DE">
        <w:trPr>
          <w:trHeight w:val="462"/>
          <w:tblHeader/>
        </w:trPr>
        <w:tc>
          <w:tcPr>
            <w:tcW w:w="9923" w:type="dxa"/>
            <w:gridSpan w:val="5"/>
            <w:tcBorders>
              <w:bottom w:val="single" w:sz="4" w:space="0" w:color="auto"/>
            </w:tcBorders>
            <w:vAlign w:val="center"/>
          </w:tcPr>
          <w:p w14:paraId="4A5BA590" w14:textId="6C2B1847" w:rsidR="00722529" w:rsidRPr="008D01DD" w:rsidRDefault="00722529" w:rsidP="00FB29DE">
            <w:pPr>
              <w:kinsoku w:val="0"/>
              <w:overflowPunct w:val="0"/>
              <w:autoSpaceDE w:val="0"/>
              <w:autoSpaceDN w:val="0"/>
              <w:adjustRightInd w:val="0"/>
              <w:spacing w:before="8"/>
              <w:ind w:right="-12"/>
              <w:jc w:val="center"/>
              <w:rPr>
                <w:rFonts w:ascii="Arial" w:eastAsia="SimHei" w:hAnsi="Arial" w:cs="Arial"/>
                <w:b/>
                <w:bCs/>
                <w:caps/>
                <w:color w:val="FFFFFF"/>
                <w:sz w:val="20"/>
                <w:szCs w:val="20"/>
              </w:rPr>
            </w:pPr>
            <w:r w:rsidRPr="008D01DD">
              <w:rPr>
                <w:rFonts w:ascii="Arial" w:eastAsia="Times New Roman" w:hAnsi="Arial" w:cs="Arial"/>
                <w:b/>
                <w:bCs/>
                <w:w w:val="105"/>
                <w:sz w:val="20"/>
                <w:szCs w:val="20"/>
                <w:lang w:eastAsia="en-GB"/>
              </w:rPr>
              <w:lastRenderedPageBreak/>
              <w:t xml:space="preserve">Tender Assessment Sheet (Quality) (Maximum Score </w:t>
            </w:r>
            <w:r>
              <w:rPr>
                <w:rFonts w:ascii="Arial" w:eastAsia="Times New Roman" w:hAnsi="Arial" w:cs="Arial"/>
                <w:b/>
                <w:bCs/>
                <w:w w:val="105"/>
                <w:sz w:val="20"/>
                <w:szCs w:val="20"/>
                <w:lang w:eastAsia="en-GB"/>
              </w:rPr>
              <w:t>7</w:t>
            </w:r>
            <w:r w:rsidRPr="008E51DD">
              <w:rPr>
                <w:rFonts w:ascii="Arial" w:eastAsia="Times New Roman" w:hAnsi="Arial" w:cs="Arial"/>
                <w:b/>
                <w:bCs/>
                <w:w w:val="105"/>
                <w:sz w:val="20"/>
                <w:szCs w:val="20"/>
                <w:lang w:eastAsia="en-GB"/>
              </w:rPr>
              <w:t>0%)</w:t>
            </w:r>
          </w:p>
        </w:tc>
      </w:tr>
      <w:tr w:rsidR="00722529" w:rsidRPr="00B76D31" w14:paraId="4E77AC59" w14:textId="77777777" w:rsidTr="00FB29DE">
        <w:trPr>
          <w:trHeight w:val="70"/>
          <w:tblHeader/>
        </w:trPr>
        <w:tc>
          <w:tcPr>
            <w:tcW w:w="1064" w:type="dxa"/>
            <w:tcBorders>
              <w:bottom w:val="single" w:sz="4" w:space="0" w:color="auto"/>
            </w:tcBorders>
            <w:shd w:val="clear" w:color="auto" w:fill="D5D0B4" w:themeFill="background2" w:themeFillShade="D9"/>
            <w:vAlign w:val="center"/>
          </w:tcPr>
          <w:p w14:paraId="37079FDA" w14:textId="77777777" w:rsidR="00722529" w:rsidRPr="00B76D31" w:rsidRDefault="00722529" w:rsidP="00FB29DE">
            <w:pPr>
              <w:numPr>
                <w:ilvl w:val="1"/>
                <w:numId w:val="0"/>
              </w:numPr>
              <w:contextualSpacing/>
              <w:jc w:val="center"/>
              <w:rPr>
                <w:rFonts w:ascii="Arial" w:eastAsia="SimHei" w:hAnsi="Arial" w:cs="Arial"/>
                <w:b/>
                <w:bCs/>
                <w:caps/>
                <w:sz w:val="20"/>
                <w:szCs w:val="20"/>
              </w:rPr>
            </w:pPr>
            <w:r w:rsidRPr="00B76D31">
              <w:rPr>
                <w:rFonts w:ascii="Arial" w:eastAsia="Times New Roman" w:hAnsi="Arial" w:cs="Arial"/>
                <w:b/>
                <w:bCs/>
                <w:w w:val="105"/>
                <w:sz w:val="20"/>
                <w:szCs w:val="20"/>
                <w:lang w:eastAsia="en-GB"/>
              </w:rPr>
              <w:t>Part</w:t>
            </w:r>
          </w:p>
        </w:tc>
        <w:tc>
          <w:tcPr>
            <w:tcW w:w="5032" w:type="dxa"/>
            <w:tcBorders>
              <w:bottom w:val="single" w:sz="4" w:space="0" w:color="auto"/>
            </w:tcBorders>
            <w:shd w:val="clear" w:color="auto" w:fill="D5D0B4" w:themeFill="background2" w:themeFillShade="D9"/>
            <w:vAlign w:val="center"/>
          </w:tcPr>
          <w:p w14:paraId="3A8C3F91" w14:textId="77777777" w:rsidR="00722529" w:rsidRPr="00B76D31" w:rsidRDefault="00722529" w:rsidP="00FB29DE">
            <w:pPr>
              <w:numPr>
                <w:ilvl w:val="1"/>
                <w:numId w:val="0"/>
              </w:numPr>
              <w:contextualSpacing/>
              <w:jc w:val="center"/>
              <w:rPr>
                <w:rFonts w:ascii="Arial" w:eastAsia="SimHei" w:hAnsi="Arial" w:cs="Arial"/>
                <w:b/>
                <w:bCs/>
                <w:caps/>
                <w:sz w:val="20"/>
                <w:szCs w:val="20"/>
              </w:rPr>
            </w:pPr>
            <w:r w:rsidRPr="00B76D31">
              <w:rPr>
                <w:rFonts w:ascii="Arial" w:eastAsia="Times New Roman" w:hAnsi="Arial" w:cs="Arial"/>
                <w:b/>
                <w:bCs/>
                <w:w w:val="105"/>
                <w:sz w:val="20"/>
                <w:szCs w:val="20"/>
                <w:lang w:eastAsia="en-GB"/>
              </w:rPr>
              <w:t>Question</w:t>
            </w:r>
          </w:p>
        </w:tc>
        <w:tc>
          <w:tcPr>
            <w:tcW w:w="1333" w:type="dxa"/>
            <w:tcBorders>
              <w:bottom w:val="single" w:sz="4" w:space="0" w:color="auto"/>
            </w:tcBorders>
            <w:shd w:val="clear" w:color="auto" w:fill="D5D0B4" w:themeFill="background2" w:themeFillShade="D9"/>
            <w:vAlign w:val="center"/>
          </w:tcPr>
          <w:p w14:paraId="316F818E" w14:textId="77777777" w:rsidR="00722529" w:rsidRPr="00B76D31" w:rsidRDefault="00722529" w:rsidP="00FB29DE">
            <w:pPr>
              <w:numPr>
                <w:ilvl w:val="1"/>
                <w:numId w:val="0"/>
              </w:numPr>
              <w:contextualSpacing/>
              <w:jc w:val="center"/>
              <w:rPr>
                <w:rFonts w:ascii="Arial" w:eastAsia="SimHei" w:hAnsi="Arial" w:cs="Arial"/>
                <w:b/>
                <w:bCs/>
                <w:caps/>
                <w:sz w:val="20"/>
                <w:szCs w:val="20"/>
              </w:rPr>
            </w:pPr>
            <w:r w:rsidRPr="00B76D31">
              <w:rPr>
                <w:rFonts w:ascii="Arial" w:eastAsia="Times New Roman" w:hAnsi="Arial" w:cs="Arial"/>
                <w:b/>
                <w:bCs/>
                <w:w w:val="105"/>
                <w:sz w:val="20"/>
                <w:szCs w:val="20"/>
                <w:lang w:eastAsia="en-GB"/>
              </w:rPr>
              <w:t>Question Weighting</w:t>
            </w:r>
            <w:r w:rsidRPr="00B76D31">
              <w:rPr>
                <w:rFonts w:ascii="Arial" w:eastAsia="SimHei" w:hAnsi="Arial" w:cs="Arial"/>
                <w:b/>
                <w:bCs/>
                <w:caps/>
                <w:sz w:val="20"/>
                <w:szCs w:val="20"/>
              </w:rPr>
              <w:t xml:space="preserve"> (A)</w:t>
            </w:r>
          </w:p>
        </w:tc>
        <w:tc>
          <w:tcPr>
            <w:tcW w:w="1238" w:type="dxa"/>
            <w:tcBorders>
              <w:bottom w:val="single" w:sz="4" w:space="0" w:color="auto"/>
            </w:tcBorders>
            <w:shd w:val="clear" w:color="auto" w:fill="D5D0B4" w:themeFill="background2" w:themeFillShade="D9"/>
            <w:vAlign w:val="center"/>
          </w:tcPr>
          <w:p w14:paraId="1DCA034C" w14:textId="77777777" w:rsidR="00722529" w:rsidRPr="00B76D31" w:rsidRDefault="00722529" w:rsidP="00FB29DE">
            <w:pPr>
              <w:numPr>
                <w:ilvl w:val="1"/>
                <w:numId w:val="0"/>
              </w:numPr>
              <w:contextualSpacing/>
              <w:jc w:val="center"/>
              <w:rPr>
                <w:rFonts w:ascii="Arial" w:eastAsia="SimHei" w:hAnsi="Arial" w:cs="Arial"/>
                <w:b/>
                <w:bCs/>
                <w:caps/>
                <w:sz w:val="20"/>
                <w:szCs w:val="20"/>
              </w:rPr>
            </w:pPr>
            <w:r w:rsidRPr="00B76D31">
              <w:rPr>
                <w:rFonts w:ascii="Arial" w:eastAsia="Times New Roman" w:hAnsi="Arial" w:cs="Arial"/>
                <w:b/>
                <w:bCs/>
                <w:w w:val="105"/>
                <w:sz w:val="20"/>
                <w:szCs w:val="20"/>
                <w:lang w:eastAsia="en-GB"/>
              </w:rPr>
              <w:t>Marks Awarded</w:t>
            </w:r>
            <w:r w:rsidRPr="00B76D31">
              <w:rPr>
                <w:rFonts w:ascii="Arial" w:eastAsia="SimHei" w:hAnsi="Arial" w:cs="Arial"/>
                <w:b/>
                <w:bCs/>
                <w:caps/>
                <w:sz w:val="20"/>
                <w:szCs w:val="20"/>
              </w:rPr>
              <w:t xml:space="preserve"> (B)</w:t>
            </w:r>
          </w:p>
        </w:tc>
        <w:tc>
          <w:tcPr>
            <w:tcW w:w="1256" w:type="dxa"/>
            <w:tcBorders>
              <w:bottom w:val="single" w:sz="4" w:space="0" w:color="auto"/>
            </w:tcBorders>
            <w:shd w:val="clear" w:color="auto" w:fill="D5D0B4" w:themeFill="background2" w:themeFillShade="D9"/>
            <w:vAlign w:val="center"/>
          </w:tcPr>
          <w:p w14:paraId="69ED44DC" w14:textId="77777777" w:rsidR="00722529" w:rsidRPr="00B76D31" w:rsidRDefault="00722529" w:rsidP="00FB29DE">
            <w:pPr>
              <w:numPr>
                <w:ilvl w:val="1"/>
                <w:numId w:val="0"/>
              </w:numPr>
              <w:contextualSpacing/>
              <w:jc w:val="center"/>
              <w:rPr>
                <w:rFonts w:ascii="Arial" w:eastAsia="SimHei" w:hAnsi="Arial" w:cs="Arial"/>
                <w:b/>
                <w:bCs/>
                <w:caps/>
                <w:sz w:val="20"/>
                <w:szCs w:val="20"/>
              </w:rPr>
            </w:pPr>
            <w:r w:rsidRPr="00B76D31">
              <w:rPr>
                <w:rFonts w:ascii="Arial" w:eastAsia="Times New Roman" w:hAnsi="Arial" w:cs="Arial"/>
                <w:b/>
                <w:bCs/>
                <w:w w:val="105"/>
                <w:sz w:val="20"/>
                <w:szCs w:val="20"/>
                <w:lang w:eastAsia="en-GB"/>
              </w:rPr>
              <w:t xml:space="preserve">Weighted Marks </w:t>
            </w:r>
            <w:r w:rsidRPr="00B76D31">
              <w:rPr>
                <w:rFonts w:ascii="Arial" w:eastAsia="SimHei" w:hAnsi="Arial" w:cs="Arial"/>
                <w:b/>
                <w:bCs/>
                <w:caps/>
                <w:sz w:val="20"/>
                <w:szCs w:val="20"/>
              </w:rPr>
              <w:t>(C) (</w:t>
            </w:r>
            <w:proofErr w:type="spellStart"/>
            <w:r w:rsidRPr="00B76D31">
              <w:rPr>
                <w:rFonts w:ascii="Arial" w:eastAsia="SimHei" w:hAnsi="Arial" w:cs="Arial"/>
                <w:b/>
                <w:bCs/>
                <w:caps/>
                <w:sz w:val="20"/>
                <w:szCs w:val="20"/>
              </w:rPr>
              <w:t>A</w:t>
            </w:r>
            <w:r w:rsidRPr="00B76D31">
              <w:rPr>
                <w:rFonts w:ascii="Arial" w:eastAsia="Times New Roman" w:hAnsi="Arial" w:cs="Arial"/>
                <w:b/>
                <w:bCs/>
                <w:w w:val="105"/>
                <w:sz w:val="20"/>
                <w:szCs w:val="20"/>
                <w:lang w:eastAsia="en-GB"/>
              </w:rPr>
              <w:t>x</w:t>
            </w:r>
            <w:r w:rsidRPr="00B76D31">
              <w:rPr>
                <w:rFonts w:ascii="Arial" w:eastAsia="SimHei" w:hAnsi="Arial" w:cs="Arial"/>
                <w:b/>
                <w:bCs/>
                <w:caps/>
                <w:sz w:val="20"/>
                <w:szCs w:val="20"/>
              </w:rPr>
              <w:t>B</w:t>
            </w:r>
            <w:proofErr w:type="spellEnd"/>
            <w:r w:rsidRPr="00B76D31">
              <w:rPr>
                <w:rFonts w:ascii="Arial" w:eastAsia="SimHei" w:hAnsi="Arial" w:cs="Arial"/>
                <w:b/>
                <w:bCs/>
                <w:caps/>
                <w:sz w:val="20"/>
                <w:szCs w:val="20"/>
              </w:rPr>
              <w:t>=C)</w:t>
            </w:r>
          </w:p>
        </w:tc>
      </w:tr>
      <w:tr w:rsidR="00722529" w:rsidRPr="00DF41D7" w14:paraId="454188D5" w14:textId="77777777" w:rsidTr="00FB29DE">
        <w:trPr>
          <w:trHeight w:val="398"/>
        </w:trPr>
        <w:tc>
          <w:tcPr>
            <w:tcW w:w="1064" w:type="dxa"/>
            <w:shd w:val="clear" w:color="auto" w:fill="C4BC96" w:themeFill="background2" w:themeFillShade="BF"/>
            <w:vAlign w:val="center"/>
          </w:tcPr>
          <w:p w14:paraId="601BB8E8" w14:textId="77777777" w:rsidR="00722529" w:rsidRPr="00DF41D7" w:rsidRDefault="00722529" w:rsidP="00FB29DE">
            <w:pPr>
              <w:numPr>
                <w:ilvl w:val="1"/>
                <w:numId w:val="0"/>
              </w:numPr>
              <w:contextualSpacing/>
              <w:jc w:val="center"/>
              <w:rPr>
                <w:rFonts w:ascii="Arial" w:eastAsia="SimHei" w:hAnsi="Arial" w:cs="Arial"/>
                <w:b/>
                <w:bCs/>
                <w:caps/>
                <w:color w:val="FFFFFF"/>
                <w:sz w:val="20"/>
                <w:szCs w:val="20"/>
              </w:rPr>
            </w:pPr>
            <w:r w:rsidRPr="00DF41D7">
              <w:rPr>
                <w:rFonts w:ascii="Arial" w:eastAsia="SimHei" w:hAnsi="Arial" w:cs="Arial"/>
                <w:b/>
                <w:bCs/>
                <w:caps/>
                <w:color w:val="FFFFFF"/>
                <w:sz w:val="20"/>
                <w:szCs w:val="20"/>
              </w:rPr>
              <w:t xml:space="preserve">PART </w:t>
            </w:r>
            <w:r>
              <w:rPr>
                <w:rFonts w:ascii="Arial" w:eastAsia="SimHei" w:hAnsi="Arial" w:cs="Arial"/>
                <w:b/>
                <w:bCs/>
                <w:caps/>
                <w:color w:val="FFFFFF"/>
                <w:sz w:val="20"/>
                <w:szCs w:val="20"/>
              </w:rPr>
              <w:t>1</w:t>
            </w:r>
          </w:p>
        </w:tc>
        <w:tc>
          <w:tcPr>
            <w:tcW w:w="8859" w:type="dxa"/>
            <w:gridSpan w:val="4"/>
            <w:tcBorders>
              <w:right w:val="nil"/>
            </w:tcBorders>
            <w:shd w:val="clear" w:color="auto" w:fill="C4BC96" w:themeFill="background2" w:themeFillShade="BF"/>
            <w:vAlign w:val="center"/>
          </w:tcPr>
          <w:p w14:paraId="22918FAC" w14:textId="7A47951E" w:rsidR="00722529" w:rsidRPr="00DF41D7" w:rsidRDefault="00722529" w:rsidP="00FB29DE">
            <w:pPr>
              <w:numPr>
                <w:ilvl w:val="1"/>
                <w:numId w:val="0"/>
              </w:numPr>
              <w:contextualSpacing/>
              <w:rPr>
                <w:rFonts w:ascii="Arial" w:eastAsia="SimHei" w:hAnsi="Arial" w:cs="Arial"/>
                <w:b/>
                <w:bCs/>
                <w:caps/>
                <w:sz w:val="20"/>
                <w:szCs w:val="20"/>
              </w:rPr>
            </w:pPr>
            <w:r>
              <w:rPr>
                <w:rFonts w:ascii="Arial" w:eastAsia="SimHei" w:hAnsi="Arial" w:cs="Arial"/>
                <w:b/>
                <w:bCs/>
                <w:caps/>
                <w:color w:val="FFFFFF"/>
                <w:sz w:val="20"/>
                <w:szCs w:val="20"/>
              </w:rPr>
              <w:t>resource &amp; management</w:t>
            </w:r>
          </w:p>
        </w:tc>
      </w:tr>
      <w:tr w:rsidR="00722529" w:rsidRPr="00DF41D7" w14:paraId="1B4E79CD" w14:textId="77777777" w:rsidTr="00FB29DE">
        <w:trPr>
          <w:trHeight w:val="73"/>
        </w:trPr>
        <w:tc>
          <w:tcPr>
            <w:tcW w:w="1064" w:type="dxa"/>
            <w:vAlign w:val="center"/>
          </w:tcPr>
          <w:p w14:paraId="7E2B3AED" w14:textId="77777777" w:rsidR="00722529" w:rsidRPr="00DF41D7" w:rsidRDefault="00722529" w:rsidP="00FB29DE">
            <w:pPr>
              <w:numPr>
                <w:ilvl w:val="1"/>
                <w:numId w:val="0"/>
              </w:numPr>
              <w:contextualSpacing/>
              <w:jc w:val="center"/>
              <w:rPr>
                <w:rFonts w:ascii="Arial" w:eastAsia="SimHei" w:hAnsi="Arial" w:cs="Arial"/>
                <w:caps/>
                <w:sz w:val="20"/>
                <w:szCs w:val="20"/>
              </w:rPr>
            </w:pPr>
            <w:r>
              <w:rPr>
                <w:rFonts w:ascii="Arial" w:eastAsia="SimHei" w:hAnsi="Arial" w:cs="Arial"/>
                <w:caps/>
                <w:sz w:val="20"/>
                <w:szCs w:val="20"/>
              </w:rPr>
              <w:t>Q1</w:t>
            </w:r>
          </w:p>
        </w:tc>
        <w:tc>
          <w:tcPr>
            <w:tcW w:w="5032" w:type="dxa"/>
            <w:vAlign w:val="center"/>
          </w:tcPr>
          <w:p w14:paraId="3B1B9435" w14:textId="77777777" w:rsidR="00722529" w:rsidRPr="00A40426" w:rsidRDefault="00722529" w:rsidP="00B56972">
            <w:pPr>
              <w:pStyle w:val="Parasubclause1"/>
              <w:ind w:left="0"/>
              <w:rPr>
                <w:rFonts w:asciiTheme="minorHAnsi" w:hAnsiTheme="minorHAnsi" w:cstheme="minorHAnsi"/>
                <w:sz w:val="22"/>
                <w:szCs w:val="22"/>
              </w:rPr>
            </w:pPr>
            <w:r w:rsidRPr="00A40426">
              <w:rPr>
                <w:rFonts w:asciiTheme="minorHAnsi" w:hAnsiTheme="minorHAnsi" w:cstheme="minorHAnsi"/>
                <w:sz w:val="22"/>
                <w:szCs w:val="22"/>
              </w:rPr>
              <w:t>Please provide a brief description of two similar size contracts you have successfully delivered in the last 5 years that show experience that is relevant to the requirements e.g. Further or Higher Education, Secondary Schools, NHS or similar type of organisations where the work may be similar.</w:t>
            </w:r>
          </w:p>
          <w:p w14:paraId="2C1189D9" w14:textId="77777777" w:rsidR="00722529" w:rsidRPr="00A40426" w:rsidRDefault="00722529" w:rsidP="00A40426">
            <w:pPr>
              <w:pStyle w:val="Parasubclause1"/>
              <w:ind w:left="0"/>
              <w:jc w:val="left"/>
              <w:rPr>
                <w:rFonts w:asciiTheme="minorHAnsi" w:hAnsiTheme="minorHAnsi" w:cstheme="minorHAnsi"/>
                <w:sz w:val="22"/>
                <w:szCs w:val="22"/>
              </w:rPr>
            </w:pPr>
            <w:r w:rsidRPr="00A40426">
              <w:rPr>
                <w:rFonts w:asciiTheme="minorHAnsi" w:hAnsiTheme="minorHAnsi" w:cstheme="minorHAnsi"/>
                <w:sz w:val="22"/>
                <w:szCs w:val="22"/>
              </w:rPr>
              <w:t>Provide details of: -</w:t>
            </w:r>
          </w:p>
          <w:p w14:paraId="37E22672" w14:textId="0F884342" w:rsidR="00722529" w:rsidRPr="00A40426" w:rsidRDefault="00722529" w:rsidP="00A40426">
            <w:pPr>
              <w:pStyle w:val="subclause1Bullet2"/>
              <w:numPr>
                <w:ilvl w:val="0"/>
                <w:numId w:val="0"/>
              </w:numPr>
              <w:ind w:left="1077"/>
              <w:jc w:val="left"/>
              <w:rPr>
                <w:rFonts w:asciiTheme="minorHAnsi" w:hAnsiTheme="minorHAnsi" w:cstheme="minorHAnsi"/>
                <w:sz w:val="22"/>
                <w:szCs w:val="22"/>
              </w:rPr>
            </w:pPr>
            <w:r w:rsidRPr="00A40426">
              <w:rPr>
                <w:rFonts w:asciiTheme="minorHAnsi" w:hAnsiTheme="minorHAnsi" w:cstheme="minorHAnsi"/>
                <w:sz w:val="22"/>
                <w:szCs w:val="22"/>
              </w:rPr>
              <w:t>How</w:t>
            </w:r>
            <w:r w:rsidR="00C55829" w:rsidRPr="00A40426">
              <w:rPr>
                <w:rFonts w:asciiTheme="minorHAnsi" w:hAnsiTheme="minorHAnsi" w:cstheme="minorHAnsi"/>
                <w:sz w:val="22"/>
                <w:szCs w:val="22"/>
              </w:rPr>
              <w:t xml:space="preserve"> </w:t>
            </w:r>
            <w:r w:rsidRPr="00A40426">
              <w:rPr>
                <w:rFonts w:asciiTheme="minorHAnsi" w:hAnsiTheme="minorHAnsi" w:cstheme="minorHAnsi"/>
                <w:sz w:val="22"/>
                <w:szCs w:val="22"/>
              </w:rPr>
              <w:t>these are relevant to the</w:t>
            </w:r>
            <w:r w:rsidR="00C55829" w:rsidRPr="00A40426">
              <w:rPr>
                <w:rFonts w:asciiTheme="minorHAnsi" w:hAnsiTheme="minorHAnsi" w:cstheme="minorHAnsi"/>
                <w:sz w:val="22"/>
                <w:szCs w:val="22"/>
              </w:rPr>
              <w:t xml:space="preserve"> </w:t>
            </w:r>
            <w:r w:rsidRPr="00A40426">
              <w:rPr>
                <w:rFonts w:asciiTheme="minorHAnsi" w:hAnsiTheme="minorHAnsi" w:cstheme="minorHAnsi"/>
                <w:sz w:val="22"/>
                <w:szCs w:val="22"/>
              </w:rPr>
              <w:t>requirement</w:t>
            </w:r>
          </w:p>
          <w:p w14:paraId="79E9AA5E" w14:textId="77777777" w:rsidR="00722529" w:rsidRPr="00A40426" w:rsidRDefault="00722529" w:rsidP="00A40426">
            <w:pPr>
              <w:pStyle w:val="subclause1Bullet2"/>
              <w:numPr>
                <w:ilvl w:val="0"/>
                <w:numId w:val="0"/>
              </w:numPr>
              <w:ind w:left="1077"/>
              <w:jc w:val="left"/>
              <w:rPr>
                <w:rFonts w:asciiTheme="minorHAnsi" w:hAnsiTheme="minorHAnsi" w:cstheme="minorHAnsi"/>
                <w:sz w:val="22"/>
                <w:szCs w:val="22"/>
              </w:rPr>
            </w:pPr>
            <w:r w:rsidRPr="00A40426">
              <w:rPr>
                <w:rFonts w:asciiTheme="minorHAnsi" w:hAnsiTheme="minorHAnsi" w:cstheme="minorHAnsi"/>
                <w:sz w:val="22"/>
                <w:szCs w:val="22"/>
              </w:rPr>
              <w:t>How the Contract was delivered successfully: include testimonials</w:t>
            </w:r>
          </w:p>
          <w:p w14:paraId="1439D8E1" w14:textId="77777777" w:rsidR="00722529" w:rsidRPr="00A40426" w:rsidRDefault="00722529" w:rsidP="00A40426">
            <w:pPr>
              <w:pStyle w:val="subclause1Bullet2"/>
              <w:numPr>
                <w:ilvl w:val="0"/>
                <w:numId w:val="0"/>
              </w:numPr>
              <w:ind w:left="1434" w:hanging="357"/>
              <w:jc w:val="left"/>
              <w:rPr>
                <w:rFonts w:asciiTheme="minorHAnsi" w:hAnsiTheme="minorHAnsi" w:cstheme="minorHAnsi"/>
                <w:sz w:val="22"/>
                <w:szCs w:val="22"/>
              </w:rPr>
            </w:pPr>
            <w:r w:rsidRPr="00A40426">
              <w:rPr>
                <w:rFonts w:asciiTheme="minorHAnsi" w:hAnsiTheme="minorHAnsi" w:cstheme="minorHAnsi"/>
                <w:sz w:val="22"/>
                <w:szCs w:val="22"/>
              </w:rPr>
              <w:t>Contract Value</w:t>
            </w:r>
          </w:p>
          <w:p w14:paraId="2F061FD6" w14:textId="0A41E59E" w:rsidR="00722529" w:rsidRPr="00A40426" w:rsidRDefault="00722529" w:rsidP="00A40426">
            <w:pPr>
              <w:rPr>
                <w:rFonts w:eastAsia="SimHei" w:cstheme="minorHAnsi"/>
                <w:caps/>
                <w:sz w:val="22"/>
                <w:szCs w:val="22"/>
              </w:rPr>
            </w:pPr>
            <w:r w:rsidRPr="00A40426">
              <w:rPr>
                <w:rFonts w:cstheme="minorHAnsi"/>
                <w:color w:val="auto"/>
                <w:sz w:val="22"/>
                <w:szCs w:val="22"/>
              </w:rPr>
              <w:t>Period over which the Contract was delivered</w:t>
            </w:r>
          </w:p>
        </w:tc>
        <w:tc>
          <w:tcPr>
            <w:tcW w:w="1333" w:type="dxa"/>
            <w:vAlign w:val="center"/>
          </w:tcPr>
          <w:p w14:paraId="190015EF" w14:textId="55708DAA" w:rsidR="00722529" w:rsidRPr="00DF41D7" w:rsidRDefault="00722529" w:rsidP="00FB29DE">
            <w:pPr>
              <w:contextualSpacing/>
              <w:jc w:val="center"/>
              <w:rPr>
                <w:rFonts w:ascii="Arial" w:eastAsia="SimHei" w:hAnsi="Arial" w:cs="Arial"/>
                <w:caps/>
                <w:sz w:val="20"/>
                <w:szCs w:val="20"/>
              </w:rPr>
            </w:pPr>
            <w:r>
              <w:rPr>
                <w:rFonts w:ascii="Arial" w:eastAsia="SimHei" w:hAnsi="Arial" w:cs="Arial"/>
                <w:caps/>
                <w:sz w:val="20"/>
                <w:szCs w:val="20"/>
              </w:rPr>
              <w:t>20</w:t>
            </w:r>
            <w:r w:rsidRPr="5BEEEAF2">
              <w:rPr>
                <w:rFonts w:ascii="Arial" w:eastAsia="SimHei" w:hAnsi="Arial" w:cs="Arial"/>
                <w:caps/>
                <w:sz w:val="20"/>
                <w:szCs w:val="20"/>
              </w:rPr>
              <w:t>%</w:t>
            </w:r>
          </w:p>
        </w:tc>
        <w:tc>
          <w:tcPr>
            <w:tcW w:w="1238" w:type="dxa"/>
            <w:vAlign w:val="center"/>
          </w:tcPr>
          <w:p w14:paraId="3356265A" w14:textId="77777777" w:rsidR="00722529" w:rsidRPr="00DF41D7" w:rsidRDefault="00722529" w:rsidP="00FB29DE">
            <w:pPr>
              <w:numPr>
                <w:ilvl w:val="1"/>
                <w:numId w:val="0"/>
              </w:numPr>
              <w:contextualSpacing/>
              <w:jc w:val="center"/>
              <w:rPr>
                <w:rFonts w:ascii="Arial" w:eastAsia="SimHei" w:hAnsi="Arial" w:cs="Arial"/>
                <w:caps/>
                <w:sz w:val="20"/>
                <w:szCs w:val="20"/>
              </w:rPr>
            </w:pPr>
          </w:p>
        </w:tc>
        <w:tc>
          <w:tcPr>
            <w:tcW w:w="1256" w:type="dxa"/>
            <w:vAlign w:val="center"/>
          </w:tcPr>
          <w:p w14:paraId="0B0A0AD6" w14:textId="77777777" w:rsidR="00722529" w:rsidRPr="00DF41D7" w:rsidRDefault="00722529" w:rsidP="00FB29DE">
            <w:pPr>
              <w:numPr>
                <w:ilvl w:val="1"/>
                <w:numId w:val="0"/>
              </w:numPr>
              <w:contextualSpacing/>
              <w:jc w:val="center"/>
              <w:rPr>
                <w:rFonts w:ascii="Arial" w:eastAsia="SimHei" w:hAnsi="Arial" w:cs="Arial"/>
                <w:caps/>
                <w:sz w:val="20"/>
                <w:szCs w:val="20"/>
              </w:rPr>
            </w:pPr>
          </w:p>
        </w:tc>
      </w:tr>
      <w:tr w:rsidR="00722529" w:rsidRPr="00F25065" w14:paraId="046EB1FC" w14:textId="77777777" w:rsidTr="00FB29DE">
        <w:trPr>
          <w:trHeight w:val="343"/>
        </w:trPr>
        <w:tc>
          <w:tcPr>
            <w:tcW w:w="1064" w:type="dxa"/>
            <w:shd w:val="clear" w:color="auto" w:fill="C4BC96" w:themeFill="background2" w:themeFillShade="BF"/>
            <w:vAlign w:val="center"/>
          </w:tcPr>
          <w:p w14:paraId="2CA380F2" w14:textId="77777777" w:rsidR="00722529" w:rsidRPr="00DF41D7" w:rsidRDefault="00722529" w:rsidP="00FB29DE">
            <w:pPr>
              <w:numPr>
                <w:ilvl w:val="1"/>
                <w:numId w:val="0"/>
              </w:numPr>
              <w:contextualSpacing/>
              <w:jc w:val="center"/>
              <w:rPr>
                <w:rFonts w:ascii="Arial" w:eastAsia="SimHei" w:hAnsi="Arial" w:cs="Arial"/>
                <w:b/>
                <w:bCs/>
                <w:caps/>
                <w:color w:val="FFFFFF"/>
                <w:sz w:val="20"/>
                <w:szCs w:val="20"/>
              </w:rPr>
            </w:pPr>
            <w:r w:rsidRPr="00DF41D7">
              <w:rPr>
                <w:rFonts w:ascii="Arial" w:eastAsia="SimHei" w:hAnsi="Arial" w:cs="Arial"/>
                <w:b/>
                <w:bCs/>
                <w:caps/>
                <w:color w:val="FFFFFF"/>
                <w:sz w:val="20"/>
                <w:szCs w:val="20"/>
              </w:rPr>
              <w:t xml:space="preserve">PART </w:t>
            </w:r>
            <w:r>
              <w:rPr>
                <w:rFonts w:ascii="Arial" w:eastAsia="SimHei" w:hAnsi="Arial" w:cs="Arial"/>
                <w:b/>
                <w:bCs/>
                <w:caps/>
                <w:color w:val="FFFFFF"/>
                <w:sz w:val="20"/>
                <w:szCs w:val="20"/>
              </w:rPr>
              <w:t>2</w:t>
            </w:r>
          </w:p>
        </w:tc>
        <w:tc>
          <w:tcPr>
            <w:tcW w:w="8859" w:type="dxa"/>
            <w:gridSpan w:val="4"/>
            <w:tcBorders>
              <w:right w:val="nil"/>
            </w:tcBorders>
            <w:shd w:val="clear" w:color="auto" w:fill="C4BC96" w:themeFill="background2" w:themeFillShade="BF"/>
            <w:vAlign w:val="center"/>
          </w:tcPr>
          <w:p w14:paraId="179684BB" w14:textId="1C7F436D" w:rsidR="00722529" w:rsidRPr="00A40426" w:rsidRDefault="006B3C42" w:rsidP="00FB29DE">
            <w:pPr>
              <w:numPr>
                <w:ilvl w:val="1"/>
                <w:numId w:val="0"/>
              </w:numPr>
              <w:contextualSpacing/>
              <w:rPr>
                <w:rFonts w:eastAsia="SimHei" w:cstheme="minorHAnsi"/>
                <w:b/>
                <w:bCs/>
                <w:caps/>
                <w:color w:val="FFFFFF"/>
                <w:sz w:val="22"/>
                <w:szCs w:val="22"/>
              </w:rPr>
            </w:pPr>
            <w:r w:rsidRPr="00A40426">
              <w:rPr>
                <w:rFonts w:eastAsia="SimHei" w:cstheme="minorHAnsi"/>
                <w:b/>
                <w:bCs/>
                <w:caps/>
                <w:color w:val="FFFFFF"/>
                <w:sz w:val="22"/>
                <w:szCs w:val="22"/>
              </w:rPr>
              <w:t>resource &amp; management</w:t>
            </w:r>
          </w:p>
        </w:tc>
      </w:tr>
      <w:tr w:rsidR="00722529" w:rsidRPr="00DF41D7" w14:paraId="689A2D20" w14:textId="77777777" w:rsidTr="00FB29DE">
        <w:trPr>
          <w:trHeight w:val="73"/>
        </w:trPr>
        <w:tc>
          <w:tcPr>
            <w:tcW w:w="1064" w:type="dxa"/>
            <w:vAlign w:val="center"/>
          </w:tcPr>
          <w:p w14:paraId="25AEBEEE" w14:textId="77777777" w:rsidR="00722529" w:rsidRPr="00DF41D7" w:rsidRDefault="00722529" w:rsidP="00FB29DE">
            <w:pPr>
              <w:numPr>
                <w:ilvl w:val="1"/>
                <w:numId w:val="0"/>
              </w:numPr>
              <w:contextualSpacing/>
              <w:jc w:val="center"/>
              <w:rPr>
                <w:rFonts w:ascii="Arial" w:eastAsia="SimHei" w:hAnsi="Arial" w:cs="Arial"/>
                <w:caps/>
                <w:sz w:val="20"/>
                <w:szCs w:val="20"/>
              </w:rPr>
            </w:pPr>
            <w:r>
              <w:rPr>
                <w:rFonts w:ascii="Arial" w:eastAsia="SimHei" w:hAnsi="Arial" w:cs="Arial"/>
                <w:caps/>
                <w:sz w:val="20"/>
                <w:szCs w:val="20"/>
              </w:rPr>
              <w:t>Q2</w:t>
            </w:r>
          </w:p>
        </w:tc>
        <w:tc>
          <w:tcPr>
            <w:tcW w:w="5032" w:type="dxa"/>
            <w:vAlign w:val="center"/>
          </w:tcPr>
          <w:p w14:paraId="6C01ED8E" w14:textId="252B5BE0" w:rsidR="006B3C42" w:rsidRPr="00A40426" w:rsidRDefault="006B3C42" w:rsidP="000007D3">
            <w:pPr>
              <w:pStyle w:val="Parasubclause1"/>
              <w:ind w:left="0"/>
              <w:rPr>
                <w:b/>
                <w:bCs/>
                <w:sz w:val="22"/>
                <w:szCs w:val="22"/>
              </w:rPr>
            </w:pPr>
            <w:r w:rsidRPr="00A40426">
              <w:rPr>
                <w:sz w:val="22"/>
                <w:szCs w:val="22"/>
              </w:rPr>
              <w:t xml:space="preserve">Provide details of the team to deliver this work service to the College including roles and experiences </w:t>
            </w:r>
          </w:p>
          <w:p w14:paraId="21035002" w14:textId="77777777" w:rsidR="006B3C42" w:rsidRPr="00A40426" w:rsidRDefault="006B3C42" w:rsidP="000007D3">
            <w:pPr>
              <w:pStyle w:val="Parasubclause1"/>
              <w:ind w:left="0"/>
              <w:rPr>
                <w:sz w:val="22"/>
                <w:szCs w:val="22"/>
              </w:rPr>
            </w:pPr>
            <w:r w:rsidRPr="00A40426">
              <w:rPr>
                <w:sz w:val="22"/>
                <w:szCs w:val="22"/>
              </w:rPr>
              <w:t>CV and roles of Project Manager, site manager and key staff and their experience of working in a live college environment</w:t>
            </w:r>
          </w:p>
          <w:p w14:paraId="146871EF" w14:textId="1721141A" w:rsidR="00722529" w:rsidRPr="00A40426" w:rsidRDefault="00722529" w:rsidP="000007D3">
            <w:pPr>
              <w:rPr>
                <w:rFonts w:eastAsia="SimHei" w:cstheme="minorHAnsi"/>
                <w:caps/>
                <w:sz w:val="22"/>
                <w:szCs w:val="22"/>
              </w:rPr>
            </w:pPr>
          </w:p>
        </w:tc>
        <w:tc>
          <w:tcPr>
            <w:tcW w:w="1333" w:type="dxa"/>
            <w:vAlign w:val="center"/>
          </w:tcPr>
          <w:p w14:paraId="05E78C82" w14:textId="20F51D4F" w:rsidR="00722529" w:rsidRPr="00DF41D7" w:rsidRDefault="006B3C42" w:rsidP="00FB29DE">
            <w:pPr>
              <w:contextualSpacing/>
              <w:jc w:val="center"/>
              <w:rPr>
                <w:rFonts w:ascii="Arial" w:eastAsia="SimHei" w:hAnsi="Arial" w:cs="Arial"/>
                <w:caps/>
                <w:sz w:val="20"/>
                <w:szCs w:val="20"/>
              </w:rPr>
            </w:pPr>
            <w:r>
              <w:rPr>
                <w:rFonts w:ascii="Arial" w:eastAsia="SimHei" w:hAnsi="Arial" w:cs="Arial"/>
                <w:caps/>
                <w:sz w:val="20"/>
                <w:szCs w:val="20"/>
              </w:rPr>
              <w:t>20</w:t>
            </w:r>
            <w:r w:rsidR="00722529" w:rsidRPr="5BEEEAF2">
              <w:rPr>
                <w:rFonts w:ascii="Arial" w:eastAsia="SimHei" w:hAnsi="Arial" w:cs="Arial"/>
                <w:caps/>
                <w:sz w:val="20"/>
                <w:szCs w:val="20"/>
              </w:rPr>
              <w:t>%</w:t>
            </w:r>
          </w:p>
        </w:tc>
        <w:tc>
          <w:tcPr>
            <w:tcW w:w="1238" w:type="dxa"/>
            <w:vAlign w:val="center"/>
          </w:tcPr>
          <w:p w14:paraId="1F0610EC" w14:textId="77777777" w:rsidR="00722529" w:rsidRPr="00DF41D7" w:rsidRDefault="00722529" w:rsidP="00FB29DE">
            <w:pPr>
              <w:numPr>
                <w:ilvl w:val="1"/>
                <w:numId w:val="0"/>
              </w:numPr>
              <w:contextualSpacing/>
              <w:jc w:val="center"/>
              <w:rPr>
                <w:rFonts w:ascii="Arial" w:eastAsia="SimHei" w:hAnsi="Arial" w:cs="Arial"/>
                <w:caps/>
                <w:sz w:val="20"/>
                <w:szCs w:val="20"/>
              </w:rPr>
            </w:pPr>
          </w:p>
        </w:tc>
        <w:tc>
          <w:tcPr>
            <w:tcW w:w="1256" w:type="dxa"/>
            <w:vAlign w:val="center"/>
          </w:tcPr>
          <w:p w14:paraId="46C40254" w14:textId="77777777" w:rsidR="00722529" w:rsidRPr="00DF41D7" w:rsidRDefault="00722529" w:rsidP="00FB29DE">
            <w:pPr>
              <w:numPr>
                <w:ilvl w:val="1"/>
                <w:numId w:val="0"/>
              </w:numPr>
              <w:contextualSpacing/>
              <w:jc w:val="center"/>
              <w:rPr>
                <w:rFonts w:ascii="Arial" w:eastAsia="SimHei" w:hAnsi="Arial" w:cs="Arial"/>
                <w:caps/>
                <w:sz w:val="20"/>
                <w:szCs w:val="20"/>
              </w:rPr>
            </w:pPr>
          </w:p>
        </w:tc>
      </w:tr>
      <w:tr w:rsidR="00722529" w:rsidRPr="00DF41D7" w14:paraId="794FBF07" w14:textId="77777777" w:rsidTr="00FB29DE">
        <w:trPr>
          <w:trHeight w:val="398"/>
        </w:trPr>
        <w:tc>
          <w:tcPr>
            <w:tcW w:w="1064" w:type="dxa"/>
            <w:shd w:val="clear" w:color="auto" w:fill="C4BC96" w:themeFill="background2" w:themeFillShade="BF"/>
            <w:vAlign w:val="center"/>
          </w:tcPr>
          <w:p w14:paraId="7DC211F1" w14:textId="77777777" w:rsidR="00722529" w:rsidRPr="00DF41D7" w:rsidRDefault="00722529" w:rsidP="00FB29DE">
            <w:pPr>
              <w:numPr>
                <w:ilvl w:val="1"/>
                <w:numId w:val="0"/>
              </w:numPr>
              <w:contextualSpacing/>
              <w:jc w:val="center"/>
              <w:rPr>
                <w:rFonts w:ascii="Arial" w:eastAsia="SimHei" w:hAnsi="Arial" w:cs="Arial"/>
                <w:b/>
                <w:bCs/>
                <w:caps/>
                <w:color w:val="FFFFFF"/>
                <w:sz w:val="20"/>
                <w:szCs w:val="20"/>
              </w:rPr>
            </w:pPr>
            <w:r w:rsidRPr="00DF41D7">
              <w:rPr>
                <w:rFonts w:ascii="Arial" w:eastAsia="SimHei" w:hAnsi="Arial" w:cs="Arial"/>
                <w:b/>
                <w:bCs/>
                <w:caps/>
                <w:color w:val="FFFFFF"/>
                <w:sz w:val="20"/>
                <w:szCs w:val="20"/>
              </w:rPr>
              <w:t xml:space="preserve">PART </w:t>
            </w:r>
            <w:r>
              <w:rPr>
                <w:rFonts w:ascii="Arial" w:eastAsia="SimHei" w:hAnsi="Arial" w:cs="Arial"/>
                <w:b/>
                <w:bCs/>
                <w:caps/>
                <w:color w:val="FFFFFF"/>
                <w:sz w:val="20"/>
                <w:szCs w:val="20"/>
              </w:rPr>
              <w:t>3</w:t>
            </w:r>
          </w:p>
        </w:tc>
        <w:tc>
          <w:tcPr>
            <w:tcW w:w="8859" w:type="dxa"/>
            <w:gridSpan w:val="4"/>
            <w:tcBorders>
              <w:right w:val="nil"/>
            </w:tcBorders>
            <w:shd w:val="clear" w:color="auto" w:fill="C4BC96" w:themeFill="background2" w:themeFillShade="BF"/>
            <w:vAlign w:val="center"/>
          </w:tcPr>
          <w:p w14:paraId="19374B48" w14:textId="199674B5" w:rsidR="00722529" w:rsidRPr="00A40426" w:rsidRDefault="00A40426" w:rsidP="00FB29DE">
            <w:pPr>
              <w:numPr>
                <w:ilvl w:val="1"/>
                <w:numId w:val="0"/>
              </w:numPr>
              <w:contextualSpacing/>
              <w:rPr>
                <w:rFonts w:eastAsia="SimHei" w:cstheme="minorHAnsi"/>
                <w:b/>
                <w:bCs/>
                <w:caps/>
                <w:sz w:val="22"/>
                <w:szCs w:val="22"/>
              </w:rPr>
            </w:pPr>
            <w:r>
              <w:rPr>
                <w:rFonts w:eastAsia="SimHei" w:cstheme="minorHAnsi"/>
                <w:b/>
                <w:bCs/>
                <w:caps/>
                <w:color w:val="FFFFFF"/>
                <w:sz w:val="22"/>
                <w:szCs w:val="22"/>
              </w:rPr>
              <w:t>programme</w:t>
            </w:r>
          </w:p>
        </w:tc>
      </w:tr>
      <w:tr w:rsidR="00722529" w:rsidRPr="00DF41D7" w14:paraId="37BDA05A" w14:textId="77777777" w:rsidTr="00FB29DE">
        <w:trPr>
          <w:trHeight w:val="337"/>
        </w:trPr>
        <w:tc>
          <w:tcPr>
            <w:tcW w:w="1064" w:type="dxa"/>
            <w:vAlign w:val="center"/>
          </w:tcPr>
          <w:p w14:paraId="03606064" w14:textId="77777777" w:rsidR="00722529" w:rsidRPr="00DF41D7" w:rsidRDefault="00722529" w:rsidP="00FB29DE">
            <w:pPr>
              <w:numPr>
                <w:ilvl w:val="1"/>
                <w:numId w:val="0"/>
              </w:numPr>
              <w:contextualSpacing/>
              <w:jc w:val="center"/>
              <w:rPr>
                <w:rFonts w:ascii="Arial" w:eastAsia="SimHei" w:hAnsi="Arial" w:cs="Arial"/>
                <w:caps/>
                <w:sz w:val="20"/>
                <w:szCs w:val="20"/>
              </w:rPr>
            </w:pPr>
            <w:r>
              <w:rPr>
                <w:rFonts w:ascii="Arial" w:eastAsia="SimHei" w:hAnsi="Arial" w:cs="Arial"/>
                <w:caps/>
                <w:sz w:val="20"/>
                <w:szCs w:val="20"/>
              </w:rPr>
              <w:t>Q3</w:t>
            </w:r>
          </w:p>
        </w:tc>
        <w:tc>
          <w:tcPr>
            <w:tcW w:w="5032" w:type="dxa"/>
            <w:vAlign w:val="center"/>
          </w:tcPr>
          <w:p w14:paraId="14E3F18F" w14:textId="77777777" w:rsidR="00A40426" w:rsidRPr="00A40426" w:rsidRDefault="00A40426" w:rsidP="00A40426">
            <w:pPr>
              <w:pStyle w:val="Parasubclause1"/>
              <w:ind w:left="0"/>
              <w:rPr>
                <w:rFonts w:asciiTheme="minorHAnsi" w:hAnsiTheme="minorHAnsi" w:cstheme="minorHAnsi"/>
                <w:sz w:val="22"/>
                <w:szCs w:val="22"/>
              </w:rPr>
            </w:pPr>
            <w:r w:rsidRPr="00A40426">
              <w:rPr>
                <w:rFonts w:asciiTheme="minorHAnsi" w:hAnsiTheme="minorHAnsi" w:cstheme="minorHAnsi"/>
                <w:sz w:val="22"/>
                <w:szCs w:val="22"/>
              </w:rPr>
              <w:t xml:space="preserve">Please provide detailed programme to deliver the works within the 3 weeks contract period illustrating design sign off, lead in periods and </w:t>
            </w:r>
            <w:proofErr w:type="gramStart"/>
            <w:r w:rsidRPr="00A40426">
              <w:rPr>
                <w:rFonts w:asciiTheme="minorHAnsi" w:hAnsiTheme="minorHAnsi" w:cstheme="minorHAnsi"/>
                <w:sz w:val="22"/>
                <w:szCs w:val="22"/>
              </w:rPr>
              <w:t>on site</w:t>
            </w:r>
            <w:proofErr w:type="gramEnd"/>
            <w:r w:rsidRPr="00A40426">
              <w:rPr>
                <w:rFonts w:asciiTheme="minorHAnsi" w:hAnsiTheme="minorHAnsi" w:cstheme="minorHAnsi"/>
                <w:sz w:val="22"/>
                <w:szCs w:val="22"/>
              </w:rPr>
              <w:t xml:space="preserve"> construction activities to completion</w:t>
            </w:r>
          </w:p>
          <w:p w14:paraId="053A3C8C" w14:textId="1C32F726" w:rsidR="00722529" w:rsidRPr="00A40426" w:rsidRDefault="00722529" w:rsidP="00A40426">
            <w:pPr>
              <w:rPr>
                <w:rFonts w:eastAsia="SimHei" w:cstheme="minorHAnsi"/>
                <w:caps/>
              </w:rPr>
            </w:pPr>
          </w:p>
        </w:tc>
        <w:tc>
          <w:tcPr>
            <w:tcW w:w="1333" w:type="dxa"/>
            <w:vAlign w:val="center"/>
          </w:tcPr>
          <w:p w14:paraId="26318C78" w14:textId="5294F641" w:rsidR="00722529" w:rsidRPr="00DF41D7" w:rsidRDefault="00A40426" w:rsidP="00FB29DE">
            <w:pPr>
              <w:contextualSpacing/>
              <w:jc w:val="center"/>
              <w:rPr>
                <w:rFonts w:ascii="Arial" w:eastAsia="SimHei" w:hAnsi="Arial" w:cs="Arial"/>
                <w:caps/>
                <w:sz w:val="20"/>
                <w:szCs w:val="20"/>
              </w:rPr>
            </w:pPr>
            <w:r>
              <w:rPr>
                <w:rFonts w:ascii="Arial" w:eastAsia="SimHei" w:hAnsi="Arial" w:cs="Arial"/>
                <w:caps/>
                <w:sz w:val="20"/>
                <w:szCs w:val="20"/>
              </w:rPr>
              <w:t>20</w:t>
            </w:r>
            <w:r w:rsidR="00722529" w:rsidRPr="5BEEEAF2">
              <w:rPr>
                <w:rFonts w:ascii="Arial" w:eastAsia="SimHei" w:hAnsi="Arial" w:cs="Arial"/>
                <w:caps/>
                <w:sz w:val="20"/>
                <w:szCs w:val="20"/>
              </w:rPr>
              <w:t>%</w:t>
            </w:r>
          </w:p>
        </w:tc>
        <w:tc>
          <w:tcPr>
            <w:tcW w:w="1238" w:type="dxa"/>
            <w:vAlign w:val="center"/>
          </w:tcPr>
          <w:p w14:paraId="55E6A79E" w14:textId="77777777" w:rsidR="00722529" w:rsidRPr="00DF41D7" w:rsidRDefault="00722529" w:rsidP="00FB29DE">
            <w:pPr>
              <w:numPr>
                <w:ilvl w:val="1"/>
                <w:numId w:val="0"/>
              </w:numPr>
              <w:contextualSpacing/>
              <w:jc w:val="center"/>
              <w:rPr>
                <w:rFonts w:ascii="Arial" w:eastAsia="SimHei" w:hAnsi="Arial" w:cs="Arial"/>
                <w:caps/>
                <w:sz w:val="20"/>
                <w:szCs w:val="20"/>
              </w:rPr>
            </w:pPr>
          </w:p>
        </w:tc>
        <w:tc>
          <w:tcPr>
            <w:tcW w:w="1256" w:type="dxa"/>
            <w:vAlign w:val="center"/>
          </w:tcPr>
          <w:p w14:paraId="0CB931F1" w14:textId="77777777" w:rsidR="00722529" w:rsidRPr="00DF41D7" w:rsidRDefault="00722529" w:rsidP="00FB29DE">
            <w:pPr>
              <w:numPr>
                <w:ilvl w:val="1"/>
                <w:numId w:val="0"/>
              </w:numPr>
              <w:contextualSpacing/>
              <w:jc w:val="center"/>
              <w:rPr>
                <w:rFonts w:ascii="Arial" w:eastAsia="SimHei" w:hAnsi="Arial" w:cs="Arial"/>
                <w:caps/>
                <w:sz w:val="20"/>
                <w:szCs w:val="20"/>
              </w:rPr>
            </w:pPr>
          </w:p>
        </w:tc>
      </w:tr>
      <w:tr w:rsidR="00722529" w:rsidRPr="00DF41D7" w14:paraId="0A598007" w14:textId="77777777" w:rsidTr="00FB29DE">
        <w:trPr>
          <w:trHeight w:val="473"/>
        </w:trPr>
        <w:tc>
          <w:tcPr>
            <w:tcW w:w="1064" w:type="dxa"/>
            <w:shd w:val="clear" w:color="auto" w:fill="C4BC96" w:themeFill="background2" w:themeFillShade="BF"/>
            <w:vAlign w:val="center"/>
          </w:tcPr>
          <w:p w14:paraId="00BD6036" w14:textId="77777777" w:rsidR="00722529" w:rsidRPr="00DF41D7" w:rsidRDefault="00722529" w:rsidP="00FB29DE">
            <w:pPr>
              <w:numPr>
                <w:ilvl w:val="1"/>
                <w:numId w:val="0"/>
              </w:numPr>
              <w:contextualSpacing/>
              <w:jc w:val="center"/>
              <w:rPr>
                <w:rFonts w:ascii="Arial" w:eastAsia="SimHei" w:hAnsi="Arial" w:cs="Arial"/>
                <w:caps/>
                <w:sz w:val="20"/>
                <w:szCs w:val="20"/>
              </w:rPr>
            </w:pPr>
            <w:r w:rsidRPr="00DF41D7">
              <w:rPr>
                <w:rFonts w:ascii="Arial" w:eastAsia="SimHei" w:hAnsi="Arial" w:cs="Arial"/>
                <w:b/>
                <w:bCs/>
                <w:caps/>
                <w:color w:val="FFFFFF"/>
                <w:sz w:val="20"/>
                <w:szCs w:val="20"/>
              </w:rPr>
              <w:lastRenderedPageBreak/>
              <w:t xml:space="preserve">PART </w:t>
            </w:r>
            <w:r>
              <w:rPr>
                <w:rFonts w:ascii="Arial" w:eastAsia="SimHei" w:hAnsi="Arial" w:cs="Arial"/>
                <w:b/>
                <w:bCs/>
                <w:caps/>
                <w:color w:val="FFFFFF"/>
                <w:sz w:val="20"/>
                <w:szCs w:val="20"/>
              </w:rPr>
              <w:t>4</w:t>
            </w:r>
          </w:p>
        </w:tc>
        <w:tc>
          <w:tcPr>
            <w:tcW w:w="8859" w:type="dxa"/>
            <w:gridSpan w:val="4"/>
            <w:shd w:val="clear" w:color="auto" w:fill="C4BC96" w:themeFill="background2" w:themeFillShade="BF"/>
            <w:vAlign w:val="center"/>
          </w:tcPr>
          <w:p w14:paraId="7C209DFA" w14:textId="3F1D9E7F" w:rsidR="00722529" w:rsidRPr="00A40426" w:rsidRDefault="009E7355" w:rsidP="00FB29DE">
            <w:pPr>
              <w:numPr>
                <w:ilvl w:val="1"/>
                <w:numId w:val="0"/>
              </w:numPr>
              <w:contextualSpacing/>
              <w:rPr>
                <w:rFonts w:eastAsia="SimHei" w:cstheme="minorHAnsi"/>
                <w:caps/>
                <w:sz w:val="22"/>
                <w:szCs w:val="22"/>
              </w:rPr>
            </w:pPr>
            <w:r>
              <w:rPr>
                <w:rFonts w:eastAsia="SimHei" w:cstheme="minorHAnsi"/>
                <w:b/>
                <w:bCs/>
                <w:caps/>
                <w:color w:val="FFFFFF"/>
                <w:sz w:val="22"/>
                <w:szCs w:val="22"/>
              </w:rPr>
              <w:t>health &amp; safety</w:t>
            </w:r>
          </w:p>
        </w:tc>
      </w:tr>
      <w:tr w:rsidR="00722529" w:rsidRPr="00DF41D7" w14:paraId="5059DFD7" w14:textId="77777777" w:rsidTr="00FB29DE">
        <w:trPr>
          <w:trHeight w:val="267"/>
        </w:trPr>
        <w:tc>
          <w:tcPr>
            <w:tcW w:w="1064" w:type="dxa"/>
            <w:vAlign w:val="center"/>
          </w:tcPr>
          <w:p w14:paraId="26914378" w14:textId="77777777" w:rsidR="00722529" w:rsidRPr="00DF41D7" w:rsidRDefault="00722529" w:rsidP="00FB29DE">
            <w:pPr>
              <w:numPr>
                <w:ilvl w:val="1"/>
                <w:numId w:val="0"/>
              </w:numPr>
              <w:contextualSpacing/>
              <w:jc w:val="center"/>
              <w:rPr>
                <w:rFonts w:ascii="Arial" w:eastAsia="SimHei" w:hAnsi="Arial" w:cs="Arial"/>
                <w:caps/>
                <w:sz w:val="20"/>
                <w:szCs w:val="20"/>
              </w:rPr>
            </w:pPr>
            <w:r>
              <w:rPr>
                <w:rFonts w:ascii="Arial" w:eastAsia="SimHei" w:hAnsi="Arial" w:cs="Arial"/>
                <w:caps/>
                <w:sz w:val="20"/>
                <w:szCs w:val="20"/>
              </w:rPr>
              <w:t>Q4</w:t>
            </w:r>
          </w:p>
        </w:tc>
        <w:tc>
          <w:tcPr>
            <w:tcW w:w="5032" w:type="dxa"/>
            <w:vAlign w:val="center"/>
          </w:tcPr>
          <w:p w14:paraId="078588C6" w14:textId="7A351513" w:rsidR="00722529" w:rsidRPr="005660B8" w:rsidRDefault="005660B8" w:rsidP="005660B8">
            <w:pPr>
              <w:pStyle w:val="Parasubclause1"/>
              <w:ind w:left="0"/>
              <w:rPr>
                <w:rFonts w:asciiTheme="minorHAnsi" w:hAnsiTheme="minorHAnsi" w:cstheme="minorHAnsi"/>
                <w:sz w:val="22"/>
                <w:szCs w:val="22"/>
              </w:rPr>
            </w:pPr>
            <w:r w:rsidRPr="005660B8">
              <w:rPr>
                <w:rFonts w:asciiTheme="minorHAnsi" w:hAnsiTheme="minorHAnsi" w:cstheme="minorHAnsi"/>
                <w:sz w:val="22"/>
                <w:szCs w:val="22"/>
              </w:rPr>
              <w:t xml:space="preserve">Please describe how Health and Safety is managed within </w:t>
            </w:r>
            <w:proofErr w:type="gramStart"/>
            <w:r w:rsidRPr="005660B8">
              <w:rPr>
                <w:rFonts w:asciiTheme="minorHAnsi" w:hAnsiTheme="minorHAnsi" w:cstheme="minorHAnsi"/>
                <w:sz w:val="22"/>
                <w:szCs w:val="22"/>
              </w:rPr>
              <w:t>you</w:t>
            </w:r>
            <w:proofErr w:type="gramEnd"/>
            <w:r w:rsidRPr="005660B8">
              <w:rPr>
                <w:rFonts w:asciiTheme="minorHAnsi" w:hAnsiTheme="minorHAnsi" w:cstheme="minorHAnsi"/>
                <w:sz w:val="22"/>
                <w:szCs w:val="22"/>
              </w:rPr>
              <w:t xml:space="preserve"> company, to cover all the aspects required by this Tender and all associated Health &amp; Safety Legislation.  Please provide copies of any documentation you may have which provides evidence of the Health &amp; Safety Management employed within the company.  It is anticipated that the supplier will have ISO45001 or is working towards achieving this. This will be a ‘live’ college </w:t>
            </w:r>
            <w:proofErr w:type="gramStart"/>
            <w:r w:rsidRPr="005660B8">
              <w:rPr>
                <w:rFonts w:asciiTheme="minorHAnsi" w:hAnsiTheme="minorHAnsi" w:cstheme="minorHAnsi"/>
                <w:sz w:val="22"/>
                <w:szCs w:val="22"/>
              </w:rPr>
              <w:t>environment</w:t>
            </w:r>
            <w:proofErr w:type="gramEnd"/>
            <w:r w:rsidRPr="005660B8">
              <w:rPr>
                <w:rFonts w:asciiTheme="minorHAnsi" w:hAnsiTheme="minorHAnsi" w:cstheme="minorHAnsi"/>
                <w:sz w:val="22"/>
                <w:szCs w:val="22"/>
              </w:rPr>
              <w:t xml:space="preserve"> and the college needs comfort that the works will be segregated and carried out safely from students, staff and visitors</w:t>
            </w:r>
          </w:p>
        </w:tc>
        <w:tc>
          <w:tcPr>
            <w:tcW w:w="1333" w:type="dxa"/>
            <w:vAlign w:val="center"/>
          </w:tcPr>
          <w:p w14:paraId="28DCCD07" w14:textId="5E2BBF1E" w:rsidR="00722529" w:rsidRPr="00DF41D7" w:rsidRDefault="005660B8" w:rsidP="00FB29DE">
            <w:pPr>
              <w:contextualSpacing/>
              <w:jc w:val="center"/>
              <w:rPr>
                <w:rFonts w:ascii="Arial" w:eastAsia="SimHei" w:hAnsi="Arial" w:cs="Arial"/>
                <w:caps/>
                <w:sz w:val="20"/>
                <w:szCs w:val="20"/>
              </w:rPr>
            </w:pPr>
            <w:r>
              <w:rPr>
                <w:rFonts w:ascii="Arial" w:eastAsia="SimHei" w:hAnsi="Arial" w:cs="Arial"/>
                <w:caps/>
                <w:sz w:val="20"/>
                <w:szCs w:val="20"/>
              </w:rPr>
              <w:t>10</w:t>
            </w:r>
            <w:r w:rsidR="00722529" w:rsidRPr="5BEEEAF2">
              <w:rPr>
                <w:rFonts w:ascii="Arial" w:eastAsia="SimHei" w:hAnsi="Arial" w:cs="Arial"/>
                <w:caps/>
                <w:sz w:val="20"/>
                <w:szCs w:val="20"/>
              </w:rPr>
              <w:t>%</w:t>
            </w:r>
          </w:p>
        </w:tc>
        <w:tc>
          <w:tcPr>
            <w:tcW w:w="1238" w:type="dxa"/>
            <w:vAlign w:val="center"/>
          </w:tcPr>
          <w:p w14:paraId="39B248C1" w14:textId="77777777" w:rsidR="00722529" w:rsidRPr="00DF41D7" w:rsidRDefault="00722529" w:rsidP="00FB29DE">
            <w:pPr>
              <w:numPr>
                <w:ilvl w:val="1"/>
                <w:numId w:val="0"/>
              </w:numPr>
              <w:contextualSpacing/>
              <w:jc w:val="center"/>
              <w:rPr>
                <w:rFonts w:ascii="Arial" w:eastAsia="SimHei" w:hAnsi="Arial" w:cs="Arial"/>
                <w:caps/>
                <w:sz w:val="20"/>
                <w:szCs w:val="20"/>
              </w:rPr>
            </w:pPr>
          </w:p>
        </w:tc>
        <w:tc>
          <w:tcPr>
            <w:tcW w:w="1256" w:type="dxa"/>
            <w:vAlign w:val="center"/>
          </w:tcPr>
          <w:p w14:paraId="079DEB55" w14:textId="77777777" w:rsidR="00722529" w:rsidRPr="00DF41D7" w:rsidRDefault="00722529" w:rsidP="00FB29DE">
            <w:pPr>
              <w:numPr>
                <w:ilvl w:val="1"/>
                <w:numId w:val="0"/>
              </w:numPr>
              <w:contextualSpacing/>
              <w:jc w:val="center"/>
              <w:rPr>
                <w:rFonts w:ascii="Arial" w:eastAsia="SimHei" w:hAnsi="Arial" w:cs="Arial"/>
                <w:caps/>
                <w:sz w:val="20"/>
                <w:szCs w:val="20"/>
              </w:rPr>
            </w:pPr>
          </w:p>
        </w:tc>
      </w:tr>
      <w:tr w:rsidR="00722529" w:rsidRPr="00F94426" w14:paraId="012E5A1E" w14:textId="77777777" w:rsidTr="00FB29DE">
        <w:trPr>
          <w:trHeight w:val="73"/>
        </w:trPr>
        <w:tc>
          <w:tcPr>
            <w:tcW w:w="1064" w:type="dxa"/>
            <w:tcBorders>
              <w:bottom w:val="single" w:sz="4" w:space="0" w:color="auto"/>
            </w:tcBorders>
            <w:vAlign w:val="center"/>
          </w:tcPr>
          <w:p w14:paraId="22ED0B48" w14:textId="77777777" w:rsidR="00722529" w:rsidRPr="00F94426" w:rsidRDefault="00722529" w:rsidP="00FB29DE">
            <w:pPr>
              <w:numPr>
                <w:ilvl w:val="1"/>
                <w:numId w:val="0"/>
              </w:numPr>
              <w:contextualSpacing/>
              <w:rPr>
                <w:rFonts w:ascii="Arial" w:eastAsia="SimHei" w:hAnsi="Arial" w:cs="Arial"/>
                <w:b/>
                <w:bCs/>
                <w:caps/>
                <w:sz w:val="20"/>
                <w:szCs w:val="20"/>
              </w:rPr>
            </w:pPr>
          </w:p>
        </w:tc>
        <w:tc>
          <w:tcPr>
            <w:tcW w:w="5032" w:type="dxa"/>
            <w:tcBorders>
              <w:bottom w:val="single" w:sz="4" w:space="0" w:color="auto"/>
            </w:tcBorders>
            <w:vAlign w:val="center"/>
          </w:tcPr>
          <w:p w14:paraId="7AD68A44" w14:textId="77777777" w:rsidR="00722529" w:rsidRPr="00F94426" w:rsidRDefault="00722529" w:rsidP="00FB29DE">
            <w:pPr>
              <w:numPr>
                <w:ilvl w:val="1"/>
                <w:numId w:val="0"/>
              </w:numPr>
              <w:contextualSpacing/>
              <w:jc w:val="right"/>
              <w:rPr>
                <w:rFonts w:ascii="Arial" w:eastAsia="SimHei" w:hAnsi="Arial" w:cs="Arial"/>
                <w:b/>
                <w:bCs/>
                <w:caps/>
                <w:sz w:val="20"/>
                <w:szCs w:val="20"/>
              </w:rPr>
            </w:pPr>
            <w:r w:rsidRPr="00F94426">
              <w:rPr>
                <w:rFonts w:ascii="Arial" w:hAnsi="Arial" w:cs="Arial"/>
                <w:b/>
                <w:bCs/>
                <w:sz w:val="20"/>
                <w:szCs w:val="20"/>
              </w:rPr>
              <w:t>Total</w:t>
            </w:r>
          </w:p>
        </w:tc>
        <w:tc>
          <w:tcPr>
            <w:tcW w:w="1333" w:type="dxa"/>
            <w:tcBorders>
              <w:bottom w:val="single" w:sz="4" w:space="0" w:color="auto"/>
            </w:tcBorders>
            <w:vAlign w:val="center"/>
          </w:tcPr>
          <w:p w14:paraId="13834CFD" w14:textId="7C922CA0" w:rsidR="00722529" w:rsidRPr="00F94426" w:rsidRDefault="00722529" w:rsidP="00FB29DE">
            <w:pPr>
              <w:numPr>
                <w:ilvl w:val="1"/>
                <w:numId w:val="0"/>
              </w:numPr>
              <w:contextualSpacing/>
              <w:jc w:val="center"/>
              <w:rPr>
                <w:rFonts w:ascii="Arial" w:eastAsia="SimHei" w:hAnsi="Arial" w:cs="Arial"/>
                <w:b/>
                <w:bCs/>
                <w:caps/>
                <w:sz w:val="20"/>
                <w:szCs w:val="20"/>
              </w:rPr>
            </w:pPr>
            <w:r>
              <w:rPr>
                <w:rFonts w:ascii="Arial" w:eastAsia="SimHei" w:hAnsi="Arial" w:cs="Arial"/>
                <w:b/>
                <w:bCs/>
                <w:caps/>
                <w:sz w:val="20"/>
                <w:szCs w:val="20"/>
              </w:rPr>
              <w:t>7</w:t>
            </w:r>
            <w:r>
              <w:rPr>
                <w:rFonts w:ascii="Arial" w:eastAsia="SimHei" w:hAnsi="Arial" w:cs="Arial"/>
                <w:b/>
                <w:bCs/>
                <w:caps/>
                <w:sz w:val="20"/>
                <w:szCs w:val="20"/>
              </w:rPr>
              <w:t>0%</w:t>
            </w:r>
          </w:p>
        </w:tc>
        <w:tc>
          <w:tcPr>
            <w:tcW w:w="1238" w:type="dxa"/>
            <w:tcBorders>
              <w:bottom w:val="single" w:sz="4" w:space="0" w:color="auto"/>
            </w:tcBorders>
            <w:vAlign w:val="center"/>
          </w:tcPr>
          <w:p w14:paraId="2F2D4A2C" w14:textId="77777777" w:rsidR="00722529" w:rsidRPr="00F94426" w:rsidRDefault="00722529" w:rsidP="00FB29DE">
            <w:pPr>
              <w:numPr>
                <w:ilvl w:val="1"/>
                <w:numId w:val="0"/>
              </w:numPr>
              <w:contextualSpacing/>
              <w:rPr>
                <w:rFonts w:ascii="Arial" w:eastAsia="SimHei" w:hAnsi="Arial" w:cs="Arial"/>
                <w:b/>
                <w:bCs/>
                <w:caps/>
                <w:sz w:val="20"/>
                <w:szCs w:val="20"/>
              </w:rPr>
            </w:pPr>
          </w:p>
        </w:tc>
        <w:tc>
          <w:tcPr>
            <w:tcW w:w="1256" w:type="dxa"/>
            <w:tcBorders>
              <w:bottom w:val="single" w:sz="4" w:space="0" w:color="auto"/>
            </w:tcBorders>
            <w:vAlign w:val="center"/>
          </w:tcPr>
          <w:p w14:paraId="77833FAA" w14:textId="77777777" w:rsidR="00722529" w:rsidRPr="00F94426" w:rsidRDefault="00722529" w:rsidP="00FB29DE">
            <w:pPr>
              <w:numPr>
                <w:ilvl w:val="1"/>
                <w:numId w:val="0"/>
              </w:numPr>
              <w:contextualSpacing/>
              <w:rPr>
                <w:rFonts w:ascii="Arial" w:eastAsia="SimHei" w:hAnsi="Arial" w:cs="Arial"/>
                <w:b/>
                <w:bCs/>
                <w:caps/>
                <w:sz w:val="20"/>
                <w:szCs w:val="20"/>
              </w:rPr>
            </w:pPr>
          </w:p>
        </w:tc>
      </w:tr>
    </w:tbl>
    <w:bookmarkEnd w:id="39"/>
    <w:p w14:paraId="5DD850C1" w14:textId="1B90E3A6" w:rsidR="00CC52C0" w:rsidRPr="00974EC2" w:rsidRDefault="00A01C2C">
      <w:pPr>
        <w:pStyle w:val="Parasubclause1"/>
        <w:rPr>
          <w:b/>
        </w:rPr>
      </w:pPr>
      <w:r w:rsidRPr="00974EC2">
        <w:rPr>
          <w:b/>
        </w:rPr>
        <w:t>Pricing evaluation</w:t>
      </w:r>
    </w:p>
    <w:p w14:paraId="4E9EDABF" w14:textId="77777777" w:rsidR="00CC52C0" w:rsidRPr="00974EC2" w:rsidRDefault="00A01C2C">
      <w:pPr>
        <w:pStyle w:val="Parasubclause1"/>
      </w:pPr>
      <w:r w:rsidRPr="00974EC2">
        <w:t xml:space="preserve">Bid prices will be scored: </w:t>
      </w:r>
    </w:p>
    <w:p w14:paraId="3F3ABB09" w14:textId="5BD534DB" w:rsidR="00CC52C0" w:rsidRDefault="00A01C2C">
      <w:pPr>
        <w:pStyle w:val="Parasubclause1"/>
      </w:pPr>
      <w:r w:rsidRPr="00974EC2">
        <w:t>On a comparative basis with the lowest bid receiving 100% of the available marks (</w:t>
      </w:r>
      <w:r w:rsidR="00EB4B6F">
        <w:t>100</w:t>
      </w:r>
      <w:r w:rsidRPr="00974EC2">
        <w:t xml:space="preserve">% following weighting). All other bids will be compared against that lowest bid </w:t>
      </w:r>
    </w:p>
    <w:p w14:paraId="7641F69B" w14:textId="65A7D694" w:rsidR="009B07D6" w:rsidRDefault="009B07D6">
      <w:pPr>
        <w:pStyle w:val="Parasubclause1"/>
      </w:pPr>
      <w:r>
        <w:t xml:space="preserve">The Contractor is required to submit a detailed and fully priced inventory and schedule of works </w:t>
      </w:r>
      <w:r w:rsidR="008603A1">
        <w:t>for each work area, management prelims and contract sum breakdown</w:t>
      </w:r>
    </w:p>
    <w:p w14:paraId="53878147" w14:textId="77777777" w:rsidR="00993B98" w:rsidRDefault="00993B98" w:rsidP="00993B98">
      <w:pPr>
        <w:spacing w:before="160"/>
        <w:ind w:firstLine="709"/>
        <w:contextualSpacing/>
        <w:rPr>
          <w:rFonts w:ascii="Arial" w:eastAsia="Arial" w:hAnsi="Arial" w:cs="Arial"/>
        </w:rPr>
      </w:pPr>
    </w:p>
    <w:p w14:paraId="06F5A16E" w14:textId="29E8656B" w:rsidR="00993B98" w:rsidRPr="00CB1033" w:rsidRDefault="00993B98" w:rsidP="00993B98">
      <w:pPr>
        <w:spacing w:before="160"/>
        <w:ind w:firstLine="709"/>
        <w:contextualSpacing/>
        <w:rPr>
          <w:rFonts w:ascii="Arial" w:eastAsia="Arial" w:hAnsi="Arial" w:cs="Arial"/>
        </w:rPr>
      </w:pPr>
      <w:r w:rsidRPr="00CB1033">
        <w:rPr>
          <w:rFonts w:ascii="Arial" w:eastAsia="Arial" w:hAnsi="Arial" w:cs="Arial"/>
        </w:rPr>
        <w:t xml:space="preserve">The Financial information will represent </w:t>
      </w:r>
      <w:r>
        <w:rPr>
          <w:rFonts w:ascii="Arial" w:eastAsia="Arial" w:hAnsi="Arial" w:cs="Arial"/>
        </w:rPr>
        <w:t>3</w:t>
      </w:r>
      <w:r w:rsidRPr="00CB1033">
        <w:rPr>
          <w:rFonts w:ascii="Arial" w:eastAsia="Arial" w:hAnsi="Arial" w:cs="Arial"/>
        </w:rPr>
        <w:t>0% of the available score.</w:t>
      </w:r>
    </w:p>
    <w:p w14:paraId="183EAC67" w14:textId="77777777" w:rsidR="00993B98" w:rsidRPr="003872E8" w:rsidRDefault="00993B98" w:rsidP="00993B98">
      <w:pPr>
        <w:spacing w:before="160"/>
        <w:contextualSpacing/>
        <w:rPr>
          <w:rFonts w:ascii="Garamond" w:eastAsia="Arial" w:hAnsi="Garamond" w:cs="Arial"/>
          <w:sz w:val="24"/>
          <w:szCs w:val="24"/>
        </w:rPr>
      </w:pPr>
    </w:p>
    <w:p w14:paraId="3768A66D" w14:textId="77777777" w:rsidR="00993B98" w:rsidRPr="00A031EE" w:rsidRDefault="00993B98" w:rsidP="00993B98">
      <w:pPr>
        <w:tabs>
          <w:tab w:val="left" w:pos="2694"/>
          <w:tab w:val="left" w:pos="3119"/>
          <w:tab w:val="left" w:pos="5670"/>
          <w:tab w:val="left" w:pos="6096"/>
        </w:tabs>
        <w:ind w:left="709"/>
        <w:contextualSpacing/>
        <w:rPr>
          <w:rFonts w:ascii="Arial" w:eastAsia="Arial" w:hAnsi="Arial" w:cs="Arial"/>
          <w:b/>
          <w:bCs/>
        </w:rPr>
      </w:pPr>
      <w:r w:rsidRPr="2E59DAB8">
        <w:rPr>
          <w:rFonts w:ascii="Arial" w:eastAsia="Arial" w:hAnsi="Arial" w:cs="Arial"/>
          <w:b/>
          <w:bCs/>
        </w:rPr>
        <w:t xml:space="preserve">Financial Mark </w:t>
      </w:r>
      <w:r>
        <w:tab/>
      </w:r>
      <w:r w:rsidRPr="2E59DAB8">
        <w:rPr>
          <w:rFonts w:ascii="Arial" w:eastAsia="Arial" w:hAnsi="Arial" w:cs="Arial"/>
          <w:b/>
          <w:bCs/>
        </w:rPr>
        <w:t xml:space="preserve">= </w:t>
      </w:r>
      <w:r>
        <w:tab/>
      </w:r>
      <w:r w:rsidRPr="2E59DAB8">
        <w:rPr>
          <w:rFonts w:ascii="Arial" w:eastAsia="Arial" w:hAnsi="Arial" w:cs="Arial"/>
          <w:b/>
          <w:bCs/>
          <w:u w:val="single"/>
        </w:rPr>
        <w:t xml:space="preserve"> Lowest Price x </w:t>
      </w:r>
      <w:r>
        <w:rPr>
          <w:rFonts w:ascii="Arial" w:eastAsia="Arial" w:hAnsi="Arial" w:cs="Arial"/>
          <w:b/>
          <w:bCs/>
          <w:u w:val="single"/>
        </w:rPr>
        <w:t>3</w:t>
      </w:r>
      <w:r w:rsidRPr="2E59DAB8">
        <w:rPr>
          <w:rFonts w:ascii="Arial" w:eastAsia="Arial" w:hAnsi="Arial" w:cs="Arial"/>
          <w:b/>
          <w:bCs/>
          <w:u w:val="single"/>
        </w:rPr>
        <w:t xml:space="preserve">0% </w:t>
      </w:r>
      <w:r>
        <w:tab/>
      </w:r>
      <w:r w:rsidRPr="2E59DAB8">
        <w:rPr>
          <w:rFonts w:ascii="Arial" w:eastAsia="Arial" w:hAnsi="Arial" w:cs="Arial"/>
          <w:b/>
          <w:bCs/>
        </w:rPr>
        <w:t xml:space="preserve">= </w:t>
      </w:r>
      <w:r>
        <w:tab/>
      </w:r>
      <w:r w:rsidRPr="2E59DAB8">
        <w:rPr>
          <w:rFonts w:ascii="Arial" w:eastAsia="Arial" w:hAnsi="Arial" w:cs="Arial"/>
          <w:b/>
          <w:bCs/>
        </w:rPr>
        <w:t>Percentage Score</w:t>
      </w:r>
    </w:p>
    <w:p w14:paraId="44C56BDE" w14:textId="77777777" w:rsidR="00993B98" w:rsidRPr="00A031EE" w:rsidRDefault="00993B98" w:rsidP="00993B98">
      <w:pPr>
        <w:tabs>
          <w:tab w:val="left" w:pos="2694"/>
          <w:tab w:val="left" w:pos="3119"/>
          <w:tab w:val="left" w:pos="5670"/>
          <w:tab w:val="left" w:pos="5812"/>
          <w:tab w:val="left" w:pos="6096"/>
        </w:tabs>
        <w:ind w:left="709"/>
        <w:contextualSpacing/>
        <w:rPr>
          <w:rFonts w:ascii="Arial" w:eastAsia="Arial" w:hAnsi="Arial" w:cs="Arial"/>
          <w:b/>
          <w:bCs/>
        </w:rPr>
      </w:pPr>
      <w:r w:rsidRPr="00A031EE">
        <w:rPr>
          <w:rFonts w:ascii="Arial" w:eastAsia="Arial" w:hAnsi="Arial" w:cs="Arial"/>
          <w:b/>
          <w:bCs/>
        </w:rPr>
        <w:tab/>
      </w:r>
      <w:r w:rsidRPr="00A031EE">
        <w:rPr>
          <w:rFonts w:ascii="Arial" w:eastAsia="Arial" w:hAnsi="Arial" w:cs="Arial"/>
          <w:b/>
          <w:bCs/>
        </w:rPr>
        <w:tab/>
      </w:r>
      <w:r>
        <w:rPr>
          <w:rFonts w:ascii="Arial" w:eastAsia="Arial" w:hAnsi="Arial" w:cs="Arial"/>
          <w:b/>
          <w:bCs/>
        </w:rPr>
        <w:t xml:space="preserve">   Tenderers Price</w:t>
      </w:r>
    </w:p>
    <w:p w14:paraId="44EFF1E8" w14:textId="77777777" w:rsidR="00CC52C0" w:rsidRPr="00974EC2" w:rsidRDefault="00A01C2C">
      <w:pPr>
        <w:pStyle w:val="TitleClause"/>
      </w:pPr>
      <w:r w:rsidRPr="00974EC2">
        <w:fldChar w:fldCharType="begin"/>
      </w:r>
      <w:r w:rsidRPr="00974EC2">
        <w:instrText>TC "6. TUPE" \l 1</w:instrText>
      </w:r>
      <w:r w:rsidRPr="00974EC2">
        <w:fldChar w:fldCharType="end"/>
      </w:r>
      <w:bookmarkStart w:id="40" w:name="a819275"/>
      <w:bookmarkStart w:id="41" w:name="_Toc216178769"/>
      <w:r w:rsidRPr="00974EC2">
        <w:t>TUPE</w:t>
      </w:r>
      <w:bookmarkEnd w:id="40"/>
      <w:bookmarkEnd w:id="41"/>
    </w:p>
    <w:p w14:paraId="63818A84" w14:textId="6ED5249B" w:rsidR="00CC52C0" w:rsidRPr="00974EC2" w:rsidRDefault="00D525E1">
      <w:pPr>
        <w:pStyle w:val="Parasubclause1"/>
      </w:pPr>
      <w:r w:rsidRPr="00974EC2">
        <w:t xml:space="preserve">The College </w:t>
      </w:r>
      <w:r w:rsidR="004F2AD2" w:rsidRPr="00974EC2">
        <w:t>considers that the Transfer of Undertakings (Protection of Employment) Regulations 2006 (</w:t>
      </w:r>
      <w:r w:rsidR="004F2AD2" w:rsidRPr="00974EC2">
        <w:rPr>
          <w:b/>
          <w:bCs/>
        </w:rPr>
        <w:t>TUPE</w:t>
      </w:r>
      <w:r w:rsidR="004F2AD2" w:rsidRPr="00974EC2">
        <w:t xml:space="preserve">) do not apply to this procurement, as the requirement relates to a </w:t>
      </w:r>
      <w:proofErr w:type="gramStart"/>
      <w:r w:rsidR="004F2AD2" w:rsidRPr="00974EC2">
        <w:t>one off</w:t>
      </w:r>
      <w:proofErr w:type="gramEnd"/>
      <w:r w:rsidR="004F2AD2" w:rsidRPr="00974EC2">
        <w:t xml:space="preserve"> package of Works and does not involve the transfer </w:t>
      </w:r>
      <w:r w:rsidR="00263603" w:rsidRPr="00974EC2">
        <w:t xml:space="preserve">of employees or an ongoing service. </w:t>
      </w:r>
    </w:p>
    <w:p w14:paraId="429BD579" w14:textId="3493B5E6" w:rsidR="00263603" w:rsidRPr="00974EC2" w:rsidRDefault="00263603">
      <w:pPr>
        <w:pStyle w:val="Parasubclause1"/>
      </w:pPr>
      <w:r w:rsidRPr="00974EC2">
        <w:lastRenderedPageBreak/>
        <w:t xml:space="preserve">Tenderers are responsible for forming their own views on the applicability of TUPE and for obtaining independent legal advice where necessary. The College gives no warranty as to whether TUPE may or may not apply in any circumstances. </w:t>
      </w:r>
    </w:p>
    <w:p w14:paraId="0F7CDDF1" w14:textId="48D7FCC4" w:rsidR="00263603" w:rsidRPr="00C516B0" w:rsidRDefault="00263603">
      <w:pPr>
        <w:pStyle w:val="Parasubclause1"/>
      </w:pPr>
      <w:r w:rsidRPr="00974EC2">
        <w:t>By submitting a Tender, Tenderers confirm that they have taken TUPE into account (to the extent that they consider appropriate) in preparing their proposal and pricing.</w:t>
      </w:r>
    </w:p>
    <w:p w14:paraId="1EC54CD6" w14:textId="59D45917" w:rsidR="00632495" w:rsidRPr="00EB4B6F" w:rsidRDefault="00A01C2C" w:rsidP="00EB4B6F">
      <w:pPr>
        <w:pStyle w:val="TitleClause"/>
      </w:pPr>
      <w:r w:rsidRPr="00C516B0">
        <w:fldChar w:fldCharType="begin"/>
      </w:r>
      <w:r w:rsidRPr="00C516B0">
        <w:instrText xml:space="preserve">TC "7. Assessment questions for completion by </w:instrText>
      </w:r>
      <w:r w:rsidR="00EF5C3A">
        <w:instrText>T</w:instrText>
      </w:r>
      <w:r w:rsidRPr="00C516B0">
        <w:instrText>enderers" \l 1</w:instrText>
      </w:r>
      <w:r w:rsidRPr="00C516B0">
        <w:fldChar w:fldCharType="end"/>
      </w:r>
      <w:bookmarkStart w:id="42" w:name="a392533"/>
      <w:bookmarkStart w:id="43" w:name="_Toc216178770"/>
      <w:r w:rsidRPr="00C516B0">
        <w:t xml:space="preserve">Assessment questions for completion by </w:t>
      </w:r>
      <w:r w:rsidR="00EF5C3A">
        <w:t>T</w:t>
      </w:r>
      <w:r w:rsidRPr="00C516B0">
        <w:t>enderers</w:t>
      </w:r>
      <w:bookmarkEnd w:id="42"/>
      <w:bookmarkEnd w:id="43"/>
    </w:p>
    <w:p w14:paraId="7E9F3225" w14:textId="71BF4E94" w:rsidR="00CB36D4" w:rsidRPr="00686320" w:rsidRDefault="00F42BC9" w:rsidP="000929AB">
      <w:pPr>
        <w:pStyle w:val="Untitledsubclause1"/>
        <w:numPr>
          <w:ilvl w:val="0"/>
          <w:numId w:val="0"/>
        </w:numPr>
        <w:spacing w:after="0"/>
        <w:ind w:left="720"/>
        <w:rPr>
          <w:b/>
        </w:rPr>
      </w:pPr>
      <w:r w:rsidRPr="00686320">
        <w:rPr>
          <w:b/>
        </w:rPr>
        <w:t xml:space="preserve">Resource and Management </w:t>
      </w:r>
      <w:r w:rsidR="009D5CDC">
        <w:rPr>
          <w:b/>
        </w:rPr>
        <w:t>20</w:t>
      </w:r>
      <w:r w:rsidRPr="00686320">
        <w:rPr>
          <w:b/>
        </w:rPr>
        <w:t>%</w:t>
      </w:r>
    </w:p>
    <w:p w14:paraId="5527E05F" w14:textId="0D11D3FA" w:rsidR="00D4466B" w:rsidRPr="00686320" w:rsidRDefault="00D4466B" w:rsidP="00686320">
      <w:pPr>
        <w:pStyle w:val="Parasubclause1"/>
      </w:pPr>
      <w:r w:rsidRPr="000929AB">
        <w:t xml:space="preserve">Please provide a brief </w:t>
      </w:r>
      <w:r w:rsidR="000929AB">
        <w:t>des</w:t>
      </w:r>
      <w:r w:rsidRPr="000929AB">
        <w:t>cription of two similar size contracts you have successfully delivered in the last 5 years that show experience that is relevant to the requirements e.g. Further or Higher Education, Secondary Schools, NHS or similar type of organisations where the work may be similar.</w:t>
      </w:r>
    </w:p>
    <w:p w14:paraId="75D7730D" w14:textId="77777777" w:rsidR="00D4466B" w:rsidRPr="0093597D" w:rsidRDefault="00D4466B" w:rsidP="00686320">
      <w:pPr>
        <w:pStyle w:val="Parasubclause1"/>
      </w:pPr>
      <w:r w:rsidRPr="0093597D">
        <w:t>Provide details of: -</w:t>
      </w:r>
    </w:p>
    <w:p w14:paraId="6565B20E" w14:textId="77777777" w:rsidR="00D4466B" w:rsidRPr="0093597D" w:rsidRDefault="00D4466B" w:rsidP="00686320">
      <w:pPr>
        <w:pStyle w:val="subclause1Bullet2"/>
      </w:pPr>
      <w:r w:rsidRPr="0093597D">
        <w:t>How these are relevant to the requirement</w:t>
      </w:r>
    </w:p>
    <w:p w14:paraId="096CB881" w14:textId="5E8B6EED" w:rsidR="00D4466B" w:rsidRPr="0093597D" w:rsidRDefault="00D4466B" w:rsidP="00686320">
      <w:pPr>
        <w:pStyle w:val="subclause1Bullet2"/>
      </w:pPr>
      <w:r w:rsidRPr="0093597D">
        <w:t xml:space="preserve">How the </w:t>
      </w:r>
      <w:r w:rsidR="00C3234F">
        <w:t>C</w:t>
      </w:r>
      <w:r w:rsidRPr="0093597D">
        <w:t>ontract was delivered successfully: include testimonials</w:t>
      </w:r>
    </w:p>
    <w:p w14:paraId="2AEED22E" w14:textId="77777777" w:rsidR="00D4466B" w:rsidRPr="0093597D" w:rsidRDefault="00D4466B" w:rsidP="00686320">
      <w:pPr>
        <w:pStyle w:val="subclause1Bullet2"/>
      </w:pPr>
      <w:r w:rsidRPr="0093597D">
        <w:t>Contract Value</w:t>
      </w:r>
    </w:p>
    <w:p w14:paraId="10EFBEDA" w14:textId="262B54C3" w:rsidR="00D4466B" w:rsidRPr="0093597D" w:rsidRDefault="00D4466B" w:rsidP="00686320">
      <w:pPr>
        <w:pStyle w:val="subclause1Bullet2"/>
      </w:pPr>
      <w:r w:rsidRPr="0093597D">
        <w:t xml:space="preserve">Period over which the </w:t>
      </w:r>
      <w:r w:rsidR="00C3234F">
        <w:t>C</w:t>
      </w:r>
      <w:r w:rsidRPr="0093597D">
        <w:t>ontract was delivered</w:t>
      </w:r>
    </w:p>
    <w:p w14:paraId="30B98FFE" w14:textId="1FFF27D1" w:rsidR="00CB36D4" w:rsidRPr="00686320" w:rsidRDefault="00CB36D4" w:rsidP="00686320">
      <w:pPr>
        <w:pStyle w:val="Parasubclause1"/>
        <w:rPr>
          <w:b/>
          <w:bCs/>
        </w:rPr>
      </w:pPr>
    </w:p>
    <w:p w14:paraId="528E8F48" w14:textId="48C600C8" w:rsidR="001279AC" w:rsidRDefault="00CB36D4" w:rsidP="00686320">
      <w:pPr>
        <w:pStyle w:val="Parasubclause1"/>
        <w:rPr>
          <w:b/>
          <w:bCs/>
        </w:rPr>
      </w:pPr>
      <w:r w:rsidRPr="0093597D">
        <w:t xml:space="preserve">Provide details of the team to deliver this work service to the College including roles and experiences </w:t>
      </w:r>
      <w:r w:rsidR="00BF3836">
        <w:rPr>
          <w:b/>
          <w:bCs/>
        </w:rPr>
        <w:t>20</w:t>
      </w:r>
      <w:r w:rsidRPr="0093597D">
        <w:rPr>
          <w:b/>
          <w:bCs/>
        </w:rPr>
        <w:t>%</w:t>
      </w:r>
    </w:p>
    <w:p w14:paraId="5AAF3621" w14:textId="0CF0F827" w:rsidR="00411217" w:rsidRPr="00411217" w:rsidRDefault="00411217" w:rsidP="00686320">
      <w:pPr>
        <w:pStyle w:val="Parasubclause1"/>
      </w:pPr>
      <w:r>
        <w:t>CV and role</w:t>
      </w:r>
      <w:r w:rsidR="00F9130C">
        <w:t>s</w:t>
      </w:r>
      <w:r>
        <w:t xml:space="preserve"> of Project Manager</w:t>
      </w:r>
      <w:r w:rsidR="00F9130C">
        <w:t>, site manager and key staff</w:t>
      </w:r>
      <w:r>
        <w:t xml:space="preserve"> and their experience of working in a live college enviro</w:t>
      </w:r>
      <w:r w:rsidR="00F9130C">
        <w:t>nment</w:t>
      </w:r>
    </w:p>
    <w:p w14:paraId="6BF623E9" w14:textId="72B4D27B" w:rsidR="009D5CDC" w:rsidRDefault="009D5CDC" w:rsidP="00686320">
      <w:pPr>
        <w:pStyle w:val="Parasubclause1"/>
        <w:rPr>
          <w:b/>
          <w:bCs/>
        </w:rPr>
      </w:pPr>
      <w:r>
        <w:rPr>
          <w:b/>
          <w:bCs/>
        </w:rPr>
        <w:t>Programme 20%</w:t>
      </w:r>
    </w:p>
    <w:p w14:paraId="1A3DE3A4" w14:textId="3E67A9E5" w:rsidR="009D5CDC" w:rsidRPr="00300050" w:rsidRDefault="009D5CDC" w:rsidP="00686320">
      <w:pPr>
        <w:pStyle w:val="Parasubclause1"/>
      </w:pPr>
      <w:r>
        <w:t xml:space="preserve">Please provide detailed programme to </w:t>
      </w:r>
      <w:r w:rsidR="00596CF3">
        <w:t xml:space="preserve">deliver the works within the 3 weeks contract period illustrating design sign off, lead in periods and </w:t>
      </w:r>
      <w:proofErr w:type="gramStart"/>
      <w:r w:rsidR="00596CF3">
        <w:t>on site</w:t>
      </w:r>
      <w:proofErr w:type="gramEnd"/>
      <w:r w:rsidR="00596CF3">
        <w:t xml:space="preserve"> construction activities to completion</w:t>
      </w:r>
    </w:p>
    <w:p w14:paraId="0006CDDF" w14:textId="06585759" w:rsidR="008D549C" w:rsidRPr="00686320" w:rsidRDefault="008D549C" w:rsidP="00686320">
      <w:pPr>
        <w:pStyle w:val="Untitledsubclause1"/>
        <w:numPr>
          <w:ilvl w:val="0"/>
          <w:numId w:val="0"/>
        </w:numPr>
        <w:ind w:left="720"/>
        <w:rPr>
          <w:b/>
          <w:bCs/>
        </w:rPr>
      </w:pPr>
      <w:r w:rsidRPr="00686320">
        <w:rPr>
          <w:b/>
          <w:bCs/>
        </w:rPr>
        <w:t xml:space="preserve">Health and Safety Management System </w:t>
      </w:r>
      <w:r w:rsidR="00BF3836">
        <w:rPr>
          <w:b/>
          <w:bCs/>
        </w:rPr>
        <w:t>10</w:t>
      </w:r>
      <w:r w:rsidRPr="00686320">
        <w:rPr>
          <w:b/>
          <w:bCs/>
        </w:rPr>
        <w:t>%</w:t>
      </w:r>
    </w:p>
    <w:p w14:paraId="359FFB9B" w14:textId="126E7379" w:rsidR="008E2B25" w:rsidRDefault="008D549C" w:rsidP="008E2B25">
      <w:pPr>
        <w:pStyle w:val="Parasubclause1"/>
      </w:pPr>
      <w:r w:rsidRPr="0093597D">
        <w:t xml:space="preserve">Please describe how Health and Safety is managed within you company, to cover all the aspects required by this </w:t>
      </w:r>
      <w:r w:rsidR="00EF5C3A">
        <w:t>T</w:t>
      </w:r>
      <w:r w:rsidRPr="0093597D">
        <w:t>ender and all associated Health &amp; Safety Legislation.  Please provide copies of any documentation you may have which provides evidence of the Health &amp; Safety Management employed within the company.  It is anticipated that the supplier will have ISO45001 or is working towards achieving this.</w:t>
      </w:r>
      <w:r w:rsidR="00F62A5C">
        <w:t xml:space="preserve"> This will be a ‘live’ college </w:t>
      </w:r>
      <w:proofErr w:type="gramStart"/>
      <w:r w:rsidR="00F62A5C">
        <w:lastRenderedPageBreak/>
        <w:t>environment</w:t>
      </w:r>
      <w:proofErr w:type="gramEnd"/>
      <w:r w:rsidR="00F62A5C">
        <w:t xml:space="preserve"> and the college needs comfort that the works will be segregated and carried out safely from students, staff and visitors</w:t>
      </w:r>
    </w:p>
    <w:p w14:paraId="264A8ACE" w14:textId="470EFD40" w:rsidR="00596837" w:rsidRDefault="00596837" w:rsidP="00BA3942">
      <w:pPr>
        <w:pStyle w:val="TitleClause"/>
      </w:pPr>
      <w:bookmarkStart w:id="44" w:name="_Toc216178771"/>
      <w:bookmarkStart w:id="45" w:name="a472790"/>
      <w:r>
        <w:t>Applicable Policies</w:t>
      </w:r>
    </w:p>
    <w:p w14:paraId="168C2C19" w14:textId="3CA4FB26" w:rsidR="00596837" w:rsidRPr="00CD500E" w:rsidRDefault="00596837" w:rsidP="00CD500E">
      <w:pPr>
        <w:pStyle w:val="TitleClause"/>
        <w:numPr>
          <w:ilvl w:val="0"/>
          <w:numId w:val="0"/>
        </w:numPr>
        <w:ind w:left="720"/>
        <w:rPr>
          <w:b w:val="0"/>
          <w:bCs/>
        </w:rPr>
      </w:pPr>
      <w:r w:rsidRPr="00CD500E">
        <w:rPr>
          <w:b w:val="0"/>
          <w:bCs/>
        </w:rPr>
        <w:t xml:space="preserve">The Contractor shall comply with the </w:t>
      </w:r>
      <w:r>
        <w:rPr>
          <w:b w:val="0"/>
          <w:bCs/>
        </w:rPr>
        <w:t xml:space="preserve">Applicable Policies </w:t>
      </w:r>
      <w:r w:rsidRPr="00CD500E">
        <w:rPr>
          <w:b w:val="0"/>
          <w:bCs/>
        </w:rPr>
        <w:t xml:space="preserve">as set out at Schedule </w:t>
      </w:r>
      <w:r>
        <w:rPr>
          <w:b w:val="0"/>
          <w:bCs/>
        </w:rPr>
        <w:t>4</w:t>
      </w:r>
      <w:r w:rsidRPr="00CD500E">
        <w:rPr>
          <w:b w:val="0"/>
          <w:bCs/>
        </w:rPr>
        <w:t>.</w:t>
      </w:r>
    </w:p>
    <w:p w14:paraId="31181DCF" w14:textId="0A3820AF" w:rsidR="00BA3942" w:rsidRDefault="00BA3942" w:rsidP="00BA3942">
      <w:pPr>
        <w:pStyle w:val="TitleClause"/>
      </w:pPr>
      <w:r>
        <w:t>Construction Specific Requirements</w:t>
      </w:r>
      <w:bookmarkEnd w:id="44"/>
      <w:r>
        <w:t xml:space="preserve"> </w:t>
      </w:r>
    </w:p>
    <w:p w14:paraId="053C674B" w14:textId="72298212" w:rsidR="00BA3942" w:rsidRPr="00C516B0" w:rsidRDefault="00BA3942" w:rsidP="00BA3942">
      <w:pPr>
        <w:pStyle w:val="Parasubclause1"/>
      </w:pPr>
      <w:r>
        <w:t xml:space="preserve">The Contractor shall comply with the construction specific requirements as set out at Schedule </w:t>
      </w:r>
      <w:r w:rsidR="60654993">
        <w:t>9</w:t>
      </w:r>
    </w:p>
    <w:p w14:paraId="0BD5C2A2" w14:textId="57E8311C" w:rsidR="00CC52C0" w:rsidRDefault="00A04E15" w:rsidP="00C516B0">
      <w:pPr>
        <w:pStyle w:val="Schedule"/>
        <w:numPr>
          <w:ilvl w:val="0"/>
          <w:numId w:val="22"/>
        </w:numPr>
        <w:rPr>
          <w:rFonts w:ascii="Arial" w:hAnsi="Arial" w:cs="Arial"/>
          <w:color w:val="000000"/>
        </w:rPr>
      </w:pPr>
      <w:r>
        <w:rPr>
          <w:rFonts w:ascii="Arial" w:hAnsi="Arial" w:cs="Arial"/>
          <w:color w:val="000000"/>
        </w:rPr>
        <w:lastRenderedPageBreak/>
        <w:t>NEC ECC</w:t>
      </w:r>
      <w:bookmarkEnd w:id="45"/>
    </w:p>
    <w:p w14:paraId="592C74D2" w14:textId="77777777" w:rsidR="00EB4B6F" w:rsidRDefault="00EB4B6F" w:rsidP="00EB4B6F">
      <w:pPr>
        <w:pStyle w:val="Part"/>
        <w:numPr>
          <w:ilvl w:val="0"/>
          <w:numId w:val="0"/>
        </w:numPr>
      </w:pPr>
    </w:p>
    <w:p w14:paraId="4EEB1086" w14:textId="274458F6" w:rsidR="00EB4B6F" w:rsidRPr="00EB4B6F" w:rsidRDefault="00EB4B6F" w:rsidP="00EB4B6F">
      <w:pPr>
        <w:pStyle w:val="BodyText"/>
      </w:pPr>
      <w:r>
        <w:t xml:space="preserve">Draft NEC ECC Form of Contract will be issued </w:t>
      </w:r>
      <w:r w:rsidR="0027184E">
        <w:t>week commencing 5</w:t>
      </w:r>
      <w:r w:rsidR="0027184E" w:rsidRPr="0027184E">
        <w:rPr>
          <w:vertAlign w:val="superscript"/>
        </w:rPr>
        <w:t>th</w:t>
      </w:r>
      <w:r w:rsidR="0027184E">
        <w:t xml:space="preserve"> January 2026</w:t>
      </w:r>
    </w:p>
    <w:p w14:paraId="2298663E" w14:textId="1CDFBE5B" w:rsidR="00CC52C0" w:rsidRDefault="00D34E23" w:rsidP="00C516B0">
      <w:pPr>
        <w:pStyle w:val="Schedule"/>
        <w:numPr>
          <w:ilvl w:val="0"/>
          <w:numId w:val="22"/>
        </w:numPr>
        <w:rPr>
          <w:rFonts w:ascii="Arial" w:hAnsi="Arial" w:cs="Arial"/>
          <w:color w:val="000000"/>
        </w:rPr>
      </w:pPr>
      <w:r>
        <w:rPr>
          <w:rFonts w:ascii="Arial" w:hAnsi="Arial" w:cs="Arial"/>
          <w:color w:val="000000"/>
        </w:rPr>
        <w:lastRenderedPageBreak/>
        <w:t xml:space="preserve">Client Brief and Schedule of </w:t>
      </w:r>
      <w:r w:rsidR="00F964BF">
        <w:rPr>
          <w:rFonts w:ascii="Arial" w:hAnsi="Arial" w:cs="Arial"/>
          <w:color w:val="000000"/>
        </w:rPr>
        <w:t>Accommodation</w:t>
      </w:r>
    </w:p>
    <w:p w14:paraId="79A77D64" w14:textId="77777777" w:rsidR="00AC208D" w:rsidRDefault="00AC208D" w:rsidP="00AC208D">
      <w:pPr>
        <w:pStyle w:val="Part"/>
        <w:numPr>
          <w:ilvl w:val="0"/>
          <w:numId w:val="0"/>
        </w:numPr>
      </w:pPr>
    </w:p>
    <w:p w14:paraId="0091D6F5" w14:textId="17209113" w:rsidR="00AC208D" w:rsidRPr="00AC208D" w:rsidRDefault="00181FA5" w:rsidP="00AC208D">
      <w:pPr>
        <w:pStyle w:val="BodyText"/>
      </w:pPr>
      <w:r>
        <w:object w:dxaOrig="1504" w:dyaOrig="982" w14:anchorId="302BB0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8" o:title=""/>
          </v:shape>
          <o:OLEObject Type="Embed" ProgID="Word.Document.12" ShapeID="_x0000_i1025" DrawAspect="Icon" ObjectID="_1827637597" r:id="rId19">
            <o:FieldCodes>\s</o:FieldCodes>
          </o:OLEObject>
        </w:object>
      </w:r>
    </w:p>
    <w:p w14:paraId="00602363" w14:textId="77777777" w:rsidR="00CC52C0" w:rsidRDefault="00A01C2C" w:rsidP="00C516B0">
      <w:pPr>
        <w:pStyle w:val="Schedule"/>
        <w:numPr>
          <w:ilvl w:val="0"/>
          <w:numId w:val="22"/>
        </w:numPr>
        <w:rPr>
          <w:rFonts w:ascii="Arial" w:hAnsi="Arial" w:cs="Arial"/>
          <w:color w:val="000000"/>
        </w:rPr>
      </w:pPr>
      <w:bookmarkStart w:id="46" w:name="a163018"/>
      <w:r w:rsidRPr="00C516B0">
        <w:rPr>
          <w:rFonts w:ascii="Arial" w:hAnsi="Arial" w:cs="Arial"/>
          <w:color w:val="000000"/>
        </w:rPr>
        <w:lastRenderedPageBreak/>
        <w:t>Site plans</w:t>
      </w:r>
      <w:bookmarkEnd w:id="46"/>
    </w:p>
    <w:p w14:paraId="1D8ADB2B" w14:textId="77777777" w:rsidR="00A9762E" w:rsidRDefault="00A9762E" w:rsidP="00A9762E">
      <w:pPr>
        <w:pStyle w:val="Part"/>
        <w:numPr>
          <w:ilvl w:val="0"/>
          <w:numId w:val="0"/>
        </w:numPr>
      </w:pPr>
    </w:p>
    <w:p w14:paraId="363ACE13" w14:textId="36BC1804" w:rsidR="00A9762E" w:rsidRDefault="00885B11" w:rsidP="00A9762E">
      <w:pPr>
        <w:pStyle w:val="BodyText"/>
      </w:pPr>
      <w:r>
        <w:object w:dxaOrig="1504" w:dyaOrig="982" w14:anchorId="499528B5">
          <v:shape id="_x0000_i1029" type="#_x0000_t75" style="width:75pt;height:49pt" o:ole="">
            <v:imagedata r:id="rId20" o:title=""/>
          </v:shape>
          <o:OLEObject Type="Embed" ProgID="Acrobat.Document.DC" ShapeID="_x0000_i1029" DrawAspect="Icon" ObjectID="_1827637598" r:id="rId21"/>
        </w:object>
      </w:r>
    </w:p>
    <w:p w14:paraId="1F7BD63C" w14:textId="77777777" w:rsidR="00D12AC1" w:rsidRDefault="00D12AC1" w:rsidP="00A9762E">
      <w:pPr>
        <w:pStyle w:val="BodyText"/>
      </w:pPr>
    </w:p>
    <w:p w14:paraId="6DC37B7B" w14:textId="3D853C5E" w:rsidR="00D12AC1" w:rsidRPr="00A9762E" w:rsidRDefault="00AC208D" w:rsidP="00A9762E">
      <w:pPr>
        <w:pStyle w:val="BodyText"/>
      </w:pPr>
      <w:r>
        <w:object w:dxaOrig="1504" w:dyaOrig="982" w14:anchorId="40F6220E">
          <v:shape id="_x0000_i1027" type="#_x0000_t75" style="width:75pt;height:49pt" o:ole="">
            <v:imagedata r:id="rId22" o:title=""/>
          </v:shape>
          <o:OLEObject Type="Embed" ProgID="Word.Document.12" ShapeID="_x0000_i1027" DrawAspect="Icon" ObjectID="_1827637599" r:id="rId23">
            <o:FieldCodes>\s</o:FieldCodes>
          </o:OLEObject>
        </w:object>
      </w:r>
    </w:p>
    <w:p w14:paraId="69C8FBA3" w14:textId="77777777" w:rsidR="00CC52C0" w:rsidRDefault="00A01C2C" w:rsidP="00C516B0">
      <w:pPr>
        <w:pStyle w:val="Schedule"/>
        <w:numPr>
          <w:ilvl w:val="0"/>
          <w:numId w:val="22"/>
        </w:numPr>
        <w:rPr>
          <w:rFonts w:ascii="Arial" w:hAnsi="Arial" w:cs="Arial"/>
          <w:color w:val="000000"/>
        </w:rPr>
      </w:pPr>
      <w:bookmarkStart w:id="47" w:name="a150328"/>
      <w:r w:rsidRPr="00C516B0">
        <w:rPr>
          <w:rFonts w:ascii="Arial" w:hAnsi="Arial" w:cs="Arial"/>
          <w:color w:val="000000"/>
        </w:rPr>
        <w:lastRenderedPageBreak/>
        <w:t>Applicable policies</w:t>
      </w:r>
      <w:bookmarkEnd w:id="47"/>
    </w:p>
    <w:p w14:paraId="10182FB3" w14:textId="77777777" w:rsidR="00A9762E" w:rsidRDefault="00A9762E" w:rsidP="00A9762E">
      <w:pPr>
        <w:pStyle w:val="Part"/>
        <w:numPr>
          <w:ilvl w:val="0"/>
          <w:numId w:val="0"/>
        </w:numPr>
      </w:pPr>
    </w:p>
    <w:p w14:paraId="74B999B2" w14:textId="751C1A8B" w:rsidR="00A9762E" w:rsidRPr="00A9762E" w:rsidRDefault="00A9762E" w:rsidP="00A9762E">
      <w:pPr>
        <w:pStyle w:val="BodyText"/>
        <w:rPr>
          <w:rFonts w:ascii="Arial" w:hAnsi="Arial" w:cs="Arial"/>
        </w:rPr>
      </w:pPr>
      <w:r w:rsidRPr="00A9762E">
        <w:rPr>
          <w:rFonts w:ascii="Arial" w:hAnsi="Arial" w:cs="Arial"/>
        </w:rPr>
        <w:t>Will be issued week commencing 5</w:t>
      </w:r>
      <w:r w:rsidRPr="00A9762E">
        <w:rPr>
          <w:rFonts w:ascii="Arial" w:hAnsi="Arial" w:cs="Arial"/>
          <w:vertAlign w:val="superscript"/>
        </w:rPr>
        <w:t>th</w:t>
      </w:r>
      <w:r w:rsidRPr="00A9762E">
        <w:rPr>
          <w:rFonts w:ascii="Arial" w:hAnsi="Arial" w:cs="Arial"/>
        </w:rPr>
        <w:t xml:space="preserve"> January 2026</w:t>
      </w:r>
    </w:p>
    <w:p w14:paraId="5E6A9825" w14:textId="77777777" w:rsidR="00CC52C0" w:rsidRPr="00C516B0" w:rsidRDefault="00A01C2C" w:rsidP="00C516B0">
      <w:pPr>
        <w:pStyle w:val="Schedule"/>
        <w:numPr>
          <w:ilvl w:val="0"/>
          <w:numId w:val="22"/>
        </w:numPr>
        <w:rPr>
          <w:rFonts w:ascii="Arial" w:hAnsi="Arial" w:cs="Arial"/>
        </w:rPr>
      </w:pPr>
      <w:bookmarkStart w:id="48" w:name="a823738"/>
      <w:r w:rsidRPr="00C516B0">
        <w:rPr>
          <w:rFonts w:ascii="Arial" w:hAnsi="Arial" w:cs="Arial"/>
          <w:color w:val="000000"/>
        </w:rPr>
        <w:lastRenderedPageBreak/>
        <w:t>Commercially sensitive information.</w:t>
      </w:r>
      <w:bookmarkEnd w:id="48"/>
    </w:p>
    <w:p w14:paraId="3A5BADEA" w14:textId="77777777" w:rsidR="00CC52C0" w:rsidRPr="00C516B0" w:rsidRDefault="00A01C2C">
      <w:pPr>
        <w:pStyle w:val="Paragraph"/>
        <w:rPr>
          <w:b/>
        </w:rPr>
      </w:pPr>
      <w:r w:rsidRPr="00C516B0">
        <w:rPr>
          <w:b/>
        </w:rPr>
        <w:t>Commercially sensitive information</w:t>
      </w:r>
    </w:p>
    <w:p w14:paraId="6A2BC81E" w14:textId="25C171FA" w:rsidR="00CC52C0" w:rsidRPr="00C516B0" w:rsidRDefault="00A01C2C">
      <w:pPr>
        <w:pStyle w:val="Paragraph"/>
      </w:pPr>
      <w:r w:rsidRPr="00C516B0">
        <w:t>I declare that I wish the following information to be designated as commercially sensitive.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9340"/>
      </w:tblGrid>
      <w:tr w:rsidR="00492069" w:rsidRPr="00C516B0" w14:paraId="6B5D1B05" w14:textId="77777777">
        <w:tc>
          <w:tcPr>
            <w:tcW w:w="5000" w:type="pct"/>
            <w:tcBorders>
              <w:top w:val="single" w:sz="8" w:space="0" w:color="000000"/>
              <w:left w:val="single" w:sz="8" w:space="0" w:color="000000"/>
              <w:bottom w:val="single" w:sz="8" w:space="0" w:color="000000"/>
              <w:right w:val="single" w:sz="8" w:space="0" w:color="000000"/>
            </w:tcBorders>
          </w:tcPr>
          <w:p w14:paraId="2CA90622" w14:textId="77777777" w:rsidR="00CC52C0" w:rsidRPr="00C516B0" w:rsidRDefault="00A01C2C">
            <w:pPr>
              <w:pStyle w:val="Paragraph"/>
              <w:jc w:val="left"/>
            </w:pPr>
            <w:r w:rsidRPr="00C516B0">
              <w:t> </w:t>
            </w:r>
          </w:p>
        </w:tc>
      </w:tr>
    </w:tbl>
    <w:p w14:paraId="6DE27265" w14:textId="77777777" w:rsidR="00CC52C0" w:rsidRPr="00C516B0" w:rsidRDefault="00A01C2C">
      <w:pPr>
        <w:pStyle w:val="Paragraph"/>
      </w:pPr>
      <w:r w:rsidRPr="00C516B0">
        <w:t>The reason(s) it is considered that this information should be exempt under FOIA is: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9340"/>
      </w:tblGrid>
      <w:tr w:rsidR="00492069" w:rsidRPr="00C516B0" w14:paraId="20F96684" w14:textId="77777777">
        <w:tc>
          <w:tcPr>
            <w:tcW w:w="5000" w:type="pct"/>
            <w:tcBorders>
              <w:top w:val="single" w:sz="8" w:space="0" w:color="000000"/>
              <w:left w:val="single" w:sz="8" w:space="0" w:color="000000"/>
              <w:bottom w:val="single" w:sz="8" w:space="0" w:color="000000"/>
              <w:right w:val="single" w:sz="8" w:space="0" w:color="000000"/>
            </w:tcBorders>
          </w:tcPr>
          <w:p w14:paraId="234B75F8" w14:textId="77777777" w:rsidR="00CC52C0" w:rsidRPr="00C516B0" w:rsidRDefault="00A01C2C">
            <w:pPr>
              <w:pStyle w:val="Paragraph"/>
              <w:jc w:val="left"/>
            </w:pPr>
            <w:r w:rsidRPr="00C516B0">
              <w:t> </w:t>
            </w:r>
          </w:p>
        </w:tc>
      </w:tr>
    </w:tbl>
    <w:p w14:paraId="1ADE8B01" w14:textId="748B33F7" w:rsidR="00CC52C0" w:rsidRPr="00C516B0" w:rsidRDefault="00A01C2C">
      <w:pPr>
        <w:pStyle w:val="Paragraph"/>
      </w:pPr>
      <w:r w:rsidRPr="00C516B0">
        <w:t xml:space="preserve">The </w:t>
      </w:r>
      <w:proofErr w:type="gramStart"/>
      <w:r w:rsidRPr="00C516B0">
        <w:t>period of time</w:t>
      </w:r>
      <w:proofErr w:type="gramEnd"/>
      <w:r w:rsidRPr="00C516B0">
        <w:t xml:space="preserve"> for which it is considered this information should be exempt is until award of Contract.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789"/>
        <w:gridCol w:w="13"/>
        <w:gridCol w:w="6512"/>
        <w:gridCol w:w="26"/>
      </w:tblGrid>
      <w:tr w:rsidR="00492069" w:rsidRPr="00C516B0" w14:paraId="74DD59F1" w14:textId="77777777" w:rsidTr="004B7409">
        <w:trPr>
          <w:gridAfter w:val="1"/>
          <w:wAfter w:w="14" w:type="pct"/>
        </w:trPr>
        <w:tc>
          <w:tcPr>
            <w:tcW w:w="4986" w:type="pct"/>
            <w:gridSpan w:val="3"/>
            <w:tcBorders>
              <w:top w:val="single" w:sz="8" w:space="0" w:color="000000"/>
              <w:left w:val="single" w:sz="8" w:space="0" w:color="000000"/>
              <w:bottom w:val="single" w:sz="8" w:space="0" w:color="000000"/>
              <w:right w:val="single" w:sz="8" w:space="0" w:color="000000"/>
            </w:tcBorders>
          </w:tcPr>
          <w:p w14:paraId="66876FEA" w14:textId="77777777" w:rsidR="00CC52C0" w:rsidRPr="00C516B0" w:rsidRDefault="00A01C2C">
            <w:pPr>
              <w:pStyle w:val="Paragraph"/>
              <w:jc w:val="left"/>
            </w:pPr>
            <w:r w:rsidRPr="00C516B0">
              <w:t> </w:t>
            </w:r>
          </w:p>
        </w:tc>
      </w:tr>
      <w:tr w:rsidR="00492069" w:rsidRPr="00C516B0" w14:paraId="717854D2" w14:textId="77777777" w:rsidTr="004B7409">
        <w:tblPrEx>
          <w:tblBorders>
            <w:top w:val="nil"/>
            <w:left w:val="nil"/>
            <w:bottom w:val="nil"/>
            <w:right w:val="nil"/>
            <w:insideH w:val="nil"/>
            <w:insideV w:val="nil"/>
          </w:tblBorders>
        </w:tblPrEx>
        <w:tc>
          <w:tcPr>
            <w:tcW w:w="1493" w:type="pct"/>
            <w:tcBorders>
              <w:top w:val="nil"/>
              <w:left w:val="nil"/>
              <w:bottom w:val="nil"/>
              <w:right w:val="nil"/>
            </w:tcBorders>
          </w:tcPr>
          <w:p w14:paraId="6AD06F01" w14:textId="77777777" w:rsidR="00CC52C0" w:rsidRPr="00C516B0" w:rsidRDefault="00A01C2C">
            <w:pPr>
              <w:pStyle w:val="Paragraph"/>
              <w:jc w:val="left"/>
            </w:pPr>
            <w:r w:rsidRPr="00C516B0">
              <w:t>SIGNATURE:</w:t>
            </w:r>
          </w:p>
        </w:tc>
        <w:tc>
          <w:tcPr>
            <w:tcW w:w="3507" w:type="pct"/>
            <w:gridSpan w:val="3"/>
            <w:tcBorders>
              <w:top w:val="nil"/>
              <w:left w:val="nil"/>
              <w:bottom w:val="nil"/>
              <w:right w:val="nil"/>
            </w:tcBorders>
          </w:tcPr>
          <w:p w14:paraId="593F6E53" w14:textId="77777777" w:rsidR="00CC52C0" w:rsidRPr="00C516B0" w:rsidRDefault="00A01C2C">
            <w:pPr>
              <w:pStyle w:val="Paragraph"/>
              <w:jc w:val="left"/>
            </w:pPr>
            <w:r w:rsidRPr="00C516B0">
              <w:t>_________________________________________</w:t>
            </w:r>
          </w:p>
        </w:tc>
      </w:tr>
      <w:tr w:rsidR="00492069" w:rsidRPr="00C516B0" w14:paraId="3ABE03EE" w14:textId="77777777" w:rsidTr="004B7409">
        <w:tblPrEx>
          <w:tblBorders>
            <w:top w:val="nil"/>
            <w:left w:val="nil"/>
            <w:bottom w:val="nil"/>
            <w:right w:val="nil"/>
            <w:insideH w:val="nil"/>
            <w:insideV w:val="nil"/>
          </w:tblBorders>
        </w:tblPrEx>
        <w:tc>
          <w:tcPr>
            <w:tcW w:w="1493" w:type="pct"/>
            <w:tcBorders>
              <w:top w:val="nil"/>
              <w:left w:val="nil"/>
              <w:bottom w:val="nil"/>
              <w:right w:val="nil"/>
            </w:tcBorders>
          </w:tcPr>
          <w:p w14:paraId="305AE0FE" w14:textId="77777777" w:rsidR="00CC52C0" w:rsidRPr="00C516B0" w:rsidRDefault="00A01C2C">
            <w:pPr>
              <w:pStyle w:val="Paragraph"/>
              <w:jc w:val="left"/>
            </w:pPr>
            <w:r w:rsidRPr="00C516B0">
              <w:t>NAME (PRINT):</w:t>
            </w:r>
          </w:p>
        </w:tc>
        <w:tc>
          <w:tcPr>
            <w:tcW w:w="3507" w:type="pct"/>
            <w:gridSpan w:val="3"/>
            <w:tcBorders>
              <w:top w:val="nil"/>
              <w:left w:val="nil"/>
              <w:bottom w:val="nil"/>
              <w:right w:val="nil"/>
            </w:tcBorders>
          </w:tcPr>
          <w:p w14:paraId="29764EE9" w14:textId="77777777" w:rsidR="00CC52C0" w:rsidRPr="00C516B0" w:rsidRDefault="00A01C2C">
            <w:pPr>
              <w:pStyle w:val="Paragraph"/>
              <w:jc w:val="left"/>
            </w:pPr>
            <w:r w:rsidRPr="00C516B0">
              <w:t>_________________________________________</w:t>
            </w:r>
          </w:p>
        </w:tc>
      </w:tr>
      <w:tr w:rsidR="00492069" w:rsidRPr="00C516B0" w14:paraId="440E52FD" w14:textId="77777777" w:rsidTr="004B7409">
        <w:tblPrEx>
          <w:tblBorders>
            <w:top w:val="nil"/>
            <w:left w:val="nil"/>
            <w:bottom w:val="nil"/>
            <w:right w:val="nil"/>
            <w:insideH w:val="nil"/>
            <w:insideV w:val="nil"/>
          </w:tblBorders>
        </w:tblPrEx>
        <w:tc>
          <w:tcPr>
            <w:tcW w:w="1493" w:type="pct"/>
            <w:tcBorders>
              <w:top w:val="nil"/>
              <w:left w:val="nil"/>
              <w:bottom w:val="nil"/>
              <w:right w:val="nil"/>
            </w:tcBorders>
          </w:tcPr>
          <w:p w14:paraId="26A99FA6" w14:textId="77777777" w:rsidR="00CC52C0" w:rsidRPr="00C516B0" w:rsidRDefault="00A01C2C">
            <w:pPr>
              <w:pStyle w:val="Paragraph"/>
              <w:jc w:val="left"/>
            </w:pPr>
            <w:r w:rsidRPr="00C516B0">
              <w:t>POSITION:</w:t>
            </w:r>
          </w:p>
        </w:tc>
        <w:tc>
          <w:tcPr>
            <w:tcW w:w="3507" w:type="pct"/>
            <w:gridSpan w:val="3"/>
            <w:tcBorders>
              <w:top w:val="nil"/>
              <w:left w:val="nil"/>
              <w:bottom w:val="nil"/>
              <w:right w:val="nil"/>
            </w:tcBorders>
          </w:tcPr>
          <w:p w14:paraId="545E6325" w14:textId="77777777" w:rsidR="00CC52C0" w:rsidRPr="00C516B0" w:rsidRDefault="00A01C2C">
            <w:pPr>
              <w:pStyle w:val="Paragraph"/>
              <w:jc w:val="left"/>
            </w:pPr>
            <w:r w:rsidRPr="00C516B0">
              <w:t>_________________________________________</w:t>
            </w:r>
          </w:p>
        </w:tc>
      </w:tr>
      <w:tr w:rsidR="00492069" w:rsidRPr="00C516B0" w14:paraId="38EE6FF0" w14:textId="77777777" w:rsidTr="004B7409">
        <w:tblPrEx>
          <w:tblBorders>
            <w:top w:val="nil"/>
            <w:left w:val="nil"/>
            <w:bottom w:val="nil"/>
            <w:right w:val="nil"/>
            <w:insideH w:val="nil"/>
            <w:insideV w:val="nil"/>
          </w:tblBorders>
        </w:tblPrEx>
        <w:tc>
          <w:tcPr>
            <w:tcW w:w="1493" w:type="pct"/>
            <w:tcBorders>
              <w:top w:val="nil"/>
              <w:left w:val="nil"/>
              <w:bottom w:val="nil"/>
              <w:right w:val="nil"/>
            </w:tcBorders>
          </w:tcPr>
          <w:p w14:paraId="749297DD" w14:textId="77777777" w:rsidR="00CC52C0" w:rsidRPr="00C516B0" w:rsidRDefault="00A01C2C">
            <w:pPr>
              <w:pStyle w:val="Paragraph"/>
              <w:jc w:val="left"/>
            </w:pPr>
            <w:r w:rsidRPr="00C516B0">
              <w:t>COMPANY:</w:t>
            </w:r>
          </w:p>
        </w:tc>
        <w:tc>
          <w:tcPr>
            <w:tcW w:w="3507" w:type="pct"/>
            <w:gridSpan w:val="3"/>
            <w:tcBorders>
              <w:top w:val="nil"/>
              <w:left w:val="nil"/>
              <w:bottom w:val="nil"/>
              <w:right w:val="nil"/>
            </w:tcBorders>
          </w:tcPr>
          <w:p w14:paraId="36D8DEF7" w14:textId="77777777" w:rsidR="00CC52C0" w:rsidRPr="00C516B0" w:rsidRDefault="00A01C2C">
            <w:pPr>
              <w:pStyle w:val="Paragraph"/>
              <w:jc w:val="left"/>
            </w:pPr>
            <w:r w:rsidRPr="00C516B0">
              <w:t>_________________________________________</w:t>
            </w:r>
          </w:p>
        </w:tc>
      </w:tr>
      <w:tr w:rsidR="00492069" w:rsidRPr="00C516B0" w14:paraId="32DBC854" w14:textId="77777777" w:rsidTr="004B7409">
        <w:tblPrEx>
          <w:tblBorders>
            <w:top w:val="nil"/>
            <w:left w:val="nil"/>
            <w:bottom w:val="nil"/>
            <w:right w:val="nil"/>
            <w:insideH w:val="nil"/>
            <w:insideV w:val="nil"/>
          </w:tblBorders>
        </w:tblPrEx>
        <w:tc>
          <w:tcPr>
            <w:tcW w:w="1493" w:type="pct"/>
            <w:tcBorders>
              <w:top w:val="nil"/>
              <w:left w:val="nil"/>
              <w:bottom w:val="nil"/>
              <w:right w:val="nil"/>
            </w:tcBorders>
          </w:tcPr>
          <w:p w14:paraId="2E492B98" w14:textId="77777777" w:rsidR="00CC52C0" w:rsidRPr="00C516B0" w:rsidRDefault="00A01C2C">
            <w:pPr>
              <w:pStyle w:val="Paragraph"/>
              <w:jc w:val="left"/>
            </w:pPr>
            <w:r w:rsidRPr="00C516B0">
              <w:t>DATE:</w:t>
            </w:r>
          </w:p>
        </w:tc>
        <w:tc>
          <w:tcPr>
            <w:tcW w:w="3507" w:type="pct"/>
            <w:gridSpan w:val="3"/>
            <w:tcBorders>
              <w:top w:val="nil"/>
              <w:left w:val="nil"/>
              <w:bottom w:val="nil"/>
              <w:right w:val="nil"/>
            </w:tcBorders>
          </w:tcPr>
          <w:p w14:paraId="481A4527" w14:textId="77777777" w:rsidR="00CC52C0" w:rsidRPr="00C516B0" w:rsidRDefault="00A01C2C">
            <w:pPr>
              <w:pStyle w:val="Paragraph"/>
              <w:jc w:val="left"/>
            </w:pPr>
            <w:r w:rsidRPr="00C516B0">
              <w:t>_________________________________________</w:t>
            </w:r>
          </w:p>
        </w:tc>
      </w:tr>
      <w:tr w:rsidR="00492069" w:rsidRPr="00C516B0" w14:paraId="38EF896A" w14:textId="77777777">
        <w:tblPrEx>
          <w:tblBorders>
            <w:top w:val="nil"/>
            <w:left w:val="nil"/>
            <w:bottom w:val="nil"/>
            <w:right w:val="nil"/>
            <w:insideH w:val="nil"/>
            <w:insideV w:val="nil"/>
          </w:tblBorders>
        </w:tblPrEx>
        <w:tc>
          <w:tcPr>
            <w:tcW w:w="1500" w:type="pct"/>
            <w:gridSpan w:val="2"/>
            <w:tcBorders>
              <w:top w:val="nil"/>
              <w:left w:val="nil"/>
              <w:bottom w:val="nil"/>
              <w:right w:val="nil"/>
            </w:tcBorders>
          </w:tcPr>
          <w:p w14:paraId="5D13F7D4" w14:textId="77777777" w:rsidR="00CC52C0" w:rsidRPr="00C516B0" w:rsidRDefault="00A01C2C">
            <w:pPr>
              <w:pStyle w:val="Paragraph"/>
              <w:jc w:val="left"/>
            </w:pPr>
            <w:r w:rsidRPr="00C516B0">
              <w:t>COMPANY:</w:t>
            </w:r>
          </w:p>
        </w:tc>
        <w:tc>
          <w:tcPr>
            <w:tcW w:w="3500" w:type="pct"/>
            <w:gridSpan w:val="2"/>
            <w:tcBorders>
              <w:top w:val="nil"/>
              <w:left w:val="nil"/>
              <w:bottom w:val="nil"/>
              <w:right w:val="nil"/>
            </w:tcBorders>
          </w:tcPr>
          <w:p w14:paraId="621774FA" w14:textId="77777777" w:rsidR="00CC52C0" w:rsidRPr="00C516B0" w:rsidRDefault="00A01C2C">
            <w:pPr>
              <w:pStyle w:val="Paragraph"/>
              <w:jc w:val="left"/>
            </w:pPr>
            <w:r w:rsidRPr="00C516B0">
              <w:t>_________________________________________</w:t>
            </w:r>
          </w:p>
        </w:tc>
      </w:tr>
      <w:tr w:rsidR="00492069" w:rsidRPr="00C516B0" w14:paraId="2ADC5312" w14:textId="77777777">
        <w:tblPrEx>
          <w:tblBorders>
            <w:top w:val="nil"/>
            <w:left w:val="nil"/>
            <w:bottom w:val="nil"/>
            <w:right w:val="nil"/>
            <w:insideH w:val="nil"/>
            <w:insideV w:val="nil"/>
          </w:tblBorders>
        </w:tblPrEx>
        <w:tc>
          <w:tcPr>
            <w:tcW w:w="1500" w:type="pct"/>
            <w:gridSpan w:val="2"/>
            <w:tcBorders>
              <w:top w:val="nil"/>
              <w:left w:val="nil"/>
              <w:bottom w:val="nil"/>
              <w:right w:val="nil"/>
            </w:tcBorders>
          </w:tcPr>
          <w:p w14:paraId="5877853E" w14:textId="77777777" w:rsidR="00CC52C0" w:rsidRPr="00C516B0" w:rsidRDefault="00A01C2C">
            <w:pPr>
              <w:pStyle w:val="Paragraph"/>
              <w:jc w:val="left"/>
            </w:pPr>
            <w:r w:rsidRPr="00C516B0">
              <w:t>DATE:</w:t>
            </w:r>
          </w:p>
        </w:tc>
        <w:tc>
          <w:tcPr>
            <w:tcW w:w="3500" w:type="pct"/>
            <w:gridSpan w:val="2"/>
            <w:tcBorders>
              <w:top w:val="nil"/>
              <w:left w:val="nil"/>
              <w:bottom w:val="nil"/>
              <w:right w:val="nil"/>
            </w:tcBorders>
          </w:tcPr>
          <w:p w14:paraId="7C3F7E47" w14:textId="77777777" w:rsidR="00CC52C0" w:rsidRPr="00C516B0" w:rsidRDefault="00A01C2C">
            <w:pPr>
              <w:pStyle w:val="Paragraph"/>
              <w:jc w:val="left"/>
            </w:pPr>
            <w:r w:rsidRPr="00C516B0">
              <w:t>_________________________________________</w:t>
            </w:r>
          </w:p>
        </w:tc>
      </w:tr>
    </w:tbl>
    <w:p w14:paraId="6C039658" w14:textId="2C484BC1" w:rsidR="00D174E6" w:rsidRDefault="00D174E6" w:rsidP="00D174E6">
      <w:pPr>
        <w:pStyle w:val="Schedule"/>
        <w:numPr>
          <w:ilvl w:val="0"/>
          <w:numId w:val="22"/>
        </w:numPr>
        <w:rPr>
          <w:rFonts w:ascii="Arial" w:hAnsi="Arial" w:cs="Arial"/>
          <w:color w:val="000000"/>
        </w:rPr>
      </w:pPr>
      <w:bookmarkStart w:id="49" w:name="a737736"/>
      <w:r>
        <w:rPr>
          <w:rFonts w:ascii="Arial" w:hAnsi="Arial" w:cs="Arial"/>
          <w:color w:val="000000"/>
        </w:rPr>
        <w:lastRenderedPageBreak/>
        <w:t>Tender Response Form</w:t>
      </w:r>
    </w:p>
    <w:p w14:paraId="51411793" w14:textId="77777777" w:rsidR="009F1432" w:rsidRPr="00090355" w:rsidRDefault="009F1432" w:rsidP="009F1432">
      <w:pPr>
        <w:jc w:val="both"/>
        <w:rPr>
          <w:rFonts w:ascii="Arial" w:hAnsi="Arial" w:cs="Arial"/>
          <w:b/>
          <w:szCs w:val="20"/>
        </w:rPr>
      </w:pPr>
      <w:r w:rsidRPr="00090355">
        <w:rPr>
          <w:rFonts w:ascii="Arial" w:hAnsi="Arial" w:cs="Arial"/>
          <w:b/>
          <w:szCs w:val="20"/>
        </w:rPr>
        <w:t>Tenderers are required to respond to each of the items below, by inserting their response to the question within the box provided on this Tender Response Form.  The College may only score the information provided within the Tender Response Form.</w:t>
      </w:r>
    </w:p>
    <w:p w14:paraId="49324442" w14:textId="77777777" w:rsidR="009F1432" w:rsidRPr="00090355" w:rsidRDefault="009F1432" w:rsidP="009F1432">
      <w:pPr>
        <w:jc w:val="both"/>
        <w:rPr>
          <w:rFonts w:ascii="Arial" w:hAnsi="Arial" w:cs="Arial"/>
          <w:b/>
          <w:szCs w:val="20"/>
        </w:rPr>
      </w:pPr>
    </w:p>
    <w:p w14:paraId="28717A5C" w14:textId="77777777" w:rsidR="009F1432" w:rsidRPr="00090355" w:rsidRDefault="009F1432" w:rsidP="009F1432">
      <w:pPr>
        <w:jc w:val="both"/>
        <w:rPr>
          <w:rFonts w:ascii="Arial" w:hAnsi="Arial" w:cs="Arial"/>
          <w:b/>
          <w:szCs w:val="20"/>
        </w:rPr>
      </w:pPr>
      <w:r w:rsidRPr="00090355">
        <w:rPr>
          <w:rFonts w:ascii="Arial" w:hAnsi="Arial" w:cs="Arial"/>
          <w:b/>
          <w:szCs w:val="20"/>
        </w:rPr>
        <w:t>Tenderers may attach additional documentation in support of the response provided in the Tender Response Form such as diagrams, certificates or spreadsheets, although this should be clearly referenced.</w:t>
      </w:r>
    </w:p>
    <w:p w14:paraId="246FE1DB" w14:textId="77777777" w:rsidR="009F1432" w:rsidRPr="00090355" w:rsidRDefault="009F1432" w:rsidP="009F1432">
      <w:pPr>
        <w:jc w:val="both"/>
        <w:rPr>
          <w:rFonts w:ascii="Arial" w:hAnsi="Arial" w:cs="Arial"/>
          <w:szCs w:val="20"/>
        </w:rPr>
      </w:pPr>
    </w:p>
    <w:p w14:paraId="73385E81" w14:textId="236B24FD" w:rsidR="009F1432" w:rsidRPr="00090355" w:rsidRDefault="009F1432" w:rsidP="009F1432">
      <w:pPr>
        <w:jc w:val="both"/>
        <w:rPr>
          <w:rFonts w:ascii="Arial" w:hAnsi="Arial" w:cs="Arial"/>
          <w:szCs w:val="20"/>
        </w:rPr>
      </w:pPr>
      <w:r w:rsidRPr="00090355">
        <w:rPr>
          <w:rFonts w:ascii="Arial" w:hAnsi="Arial" w:cs="Arial"/>
          <w:szCs w:val="20"/>
        </w:rPr>
        <w:t>Suitability Assessment Questions</w:t>
      </w:r>
    </w:p>
    <w:p w14:paraId="548E73CC" w14:textId="77777777" w:rsidR="009F1432" w:rsidRPr="00090355" w:rsidRDefault="009F1432" w:rsidP="009F1432">
      <w:pPr>
        <w:jc w:val="both"/>
        <w:rPr>
          <w:rFonts w:ascii="Arial" w:hAnsi="Arial" w:cs="Arial"/>
          <w:szCs w:val="20"/>
        </w:rPr>
      </w:pPr>
    </w:p>
    <w:p w14:paraId="77FD398A" w14:textId="77777777" w:rsidR="009F1432" w:rsidRPr="00090355" w:rsidRDefault="009F1432" w:rsidP="009F1432">
      <w:pPr>
        <w:jc w:val="both"/>
        <w:rPr>
          <w:rFonts w:ascii="Arial" w:hAnsi="Arial" w:cs="Arial"/>
          <w:szCs w:val="20"/>
        </w:rPr>
      </w:pPr>
      <w:r w:rsidRPr="00090355">
        <w:rPr>
          <w:rFonts w:ascii="Arial" w:hAnsi="Arial" w:cs="Arial"/>
          <w:szCs w:val="20"/>
        </w:rPr>
        <w:t xml:space="preserve">All information will be verified at Contract award stage.  If the Tenderer fails to supply evidence to demonstrate its compliance with any of the following questions at award stage, then its bid may be excluded.  </w:t>
      </w:r>
    </w:p>
    <w:p w14:paraId="48955A91" w14:textId="77777777" w:rsidR="009F1432" w:rsidRPr="00090355" w:rsidRDefault="009F1432" w:rsidP="009F1432">
      <w:pPr>
        <w:jc w:val="both"/>
        <w:rPr>
          <w:rFonts w:ascii="Arial" w:hAnsi="Arial" w:cs="Arial"/>
          <w:szCs w:val="20"/>
        </w:rPr>
      </w:pPr>
    </w:p>
    <w:p w14:paraId="24C05B32" w14:textId="77777777" w:rsidR="009F1432" w:rsidRPr="00090355" w:rsidRDefault="009F1432" w:rsidP="009F1432">
      <w:pPr>
        <w:pStyle w:val="ListParagraph"/>
        <w:numPr>
          <w:ilvl w:val="0"/>
          <w:numId w:val="70"/>
        </w:numPr>
        <w:spacing w:after="0"/>
        <w:ind w:hanging="720"/>
        <w:jc w:val="both"/>
        <w:rPr>
          <w:rFonts w:ascii="Arial" w:hAnsi="Arial" w:cs="Arial"/>
          <w:b/>
          <w:szCs w:val="20"/>
        </w:rPr>
      </w:pPr>
      <w:r w:rsidRPr="00090355">
        <w:rPr>
          <w:rFonts w:ascii="Arial" w:hAnsi="Arial" w:cs="Arial"/>
          <w:b/>
          <w:szCs w:val="20"/>
        </w:rPr>
        <w:t>Safeguarding Young People and Adults</w:t>
      </w:r>
    </w:p>
    <w:p w14:paraId="027763EF" w14:textId="77777777" w:rsidR="009F1432" w:rsidRPr="00090355" w:rsidRDefault="009F1432" w:rsidP="009F1432">
      <w:pPr>
        <w:jc w:val="both"/>
        <w:rPr>
          <w:rFonts w:ascii="Arial" w:hAnsi="Arial" w:cs="Arial"/>
          <w:b/>
          <w:szCs w:val="20"/>
        </w:rPr>
      </w:pPr>
    </w:p>
    <w:tbl>
      <w:tblPr>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00" w:firstRow="0" w:lastRow="0" w:firstColumn="0" w:lastColumn="0" w:noHBand="0" w:noVBand="1"/>
      </w:tblPr>
      <w:tblGrid>
        <w:gridCol w:w="5010"/>
        <w:gridCol w:w="4330"/>
      </w:tblGrid>
      <w:tr w:rsidR="009F1432" w:rsidRPr="00090355" w14:paraId="7AE34F42" w14:textId="77777777">
        <w:tc>
          <w:tcPr>
            <w:tcW w:w="2682" w:type="pct"/>
          </w:tcPr>
          <w:p w14:paraId="39418857" w14:textId="77777777" w:rsidR="009F1432" w:rsidRPr="00090355" w:rsidRDefault="009F1432">
            <w:pPr>
              <w:pStyle w:val="ListParagraph"/>
              <w:tabs>
                <w:tab w:val="num" w:pos="0"/>
              </w:tabs>
              <w:ind w:left="35"/>
              <w:jc w:val="both"/>
              <w:rPr>
                <w:rFonts w:ascii="Arial" w:hAnsi="Arial" w:cs="Arial"/>
                <w:szCs w:val="20"/>
              </w:rPr>
            </w:pPr>
            <w:r w:rsidRPr="00090355">
              <w:rPr>
                <w:rFonts w:ascii="Arial" w:hAnsi="Arial" w:cs="Arial"/>
                <w:szCs w:val="20"/>
              </w:rPr>
              <w:t xml:space="preserve">Please confirm that all staff that will be working onsite during this Contract have enhanced DBS clearance.  </w:t>
            </w:r>
          </w:p>
          <w:p w14:paraId="22183425" w14:textId="77777777" w:rsidR="009F1432" w:rsidRPr="00090355" w:rsidRDefault="009F1432">
            <w:pPr>
              <w:pStyle w:val="ListParagraph"/>
              <w:tabs>
                <w:tab w:val="num" w:pos="0"/>
              </w:tabs>
              <w:ind w:left="35"/>
              <w:jc w:val="both"/>
              <w:rPr>
                <w:rFonts w:ascii="Arial" w:hAnsi="Arial" w:cs="Arial"/>
                <w:szCs w:val="20"/>
              </w:rPr>
            </w:pPr>
            <w:r w:rsidRPr="00090355">
              <w:rPr>
                <w:rFonts w:ascii="Arial" w:hAnsi="Arial" w:cs="Arial"/>
                <w:szCs w:val="20"/>
              </w:rPr>
              <w:t xml:space="preserve">If not, they </w:t>
            </w:r>
            <w:r w:rsidRPr="00090355">
              <w:rPr>
                <w:rFonts w:ascii="Arial" w:hAnsi="Arial" w:cs="Arial"/>
                <w:b/>
                <w:bCs/>
                <w:szCs w:val="20"/>
              </w:rPr>
              <w:t xml:space="preserve">may </w:t>
            </w:r>
            <w:r w:rsidRPr="00090355">
              <w:rPr>
                <w:rFonts w:ascii="Arial" w:hAnsi="Arial" w:cs="Arial"/>
                <w:b/>
                <w:szCs w:val="20"/>
              </w:rPr>
              <w:t>be</w:t>
            </w:r>
            <w:r w:rsidRPr="00090355">
              <w:rPr>
                <w:rFonts w:ascii="Arial" w:hAnsi="Arial" w:cs="Arial"/>
                <w:szCs w:val="20"/>
              </w:rPr>
              <w:t xml:space="preserve"> refused entry to site.</w:t>
            </w:r>
          </w:p>
        </w:tc>
        <w:tc>
          <w:tcPr>
            <w:tcW w:w="2318" w:type="pct"/>
          </w:tcPr>
          <w:p w14:paraId="15954550" w14:textId="77777777" w:rsidR="009F1432" w:rsidRPr="00090355" w:rsidRDefault="009F1432">
            <w:pPr>
              <w:pStyle w:val="Normal1"/>
              <w:jc w:val="both"/>
              <w:rPr>
                <w:rFonts w:ascii="Arial" w:hAnsi="Arial" w:cs="Arial"/>
                <w:sz w:val="20"/>
                <w:szCs w:val="20"/>
              </w:rPr>
            </w:pPr>
            <w:r w:rsidRPr="00090355">
              <w:rPr>
                <w:rFonts w:ascii="Arial" w:eastAsia="Arial" w:hAnsi="Arial" w:cs="Arial"/>
                <w:sz w:val="20"/>
                <w:szCs w:val="20"/>
              </w:rPr>
              <w:t xml:space="preserve">Yes </w:t>
            </w:r>
            <w:r w:rsidRPr="00090355">
              <w:rPr>
                <w:rFonts w:ascii="Segoe UI Symbol" w:eastAsia="Menlo Regular" w:hAnsi="Segoe UI Symbol" w:cs="Segoe UI Symbol"/>
                <w:sz w:val="20"/>
                <w:szCs w:val="20"/>
              </w:rPr>
              <w:t>☐</w:t>
            </w:r>
          </w:p>
          <w:p w14:paraId="1A90C7AF" w14:textId="77777777" w:rsidR="009F1432" w:rsidRPr="00090355" w:rsidRDefault="009F1432">
            <w:pPr>
              <w:pStyle w:val="Normal1"/>
              <w:jc w:val="both"/>
              <w:rPr>
                <w:rFonts w:ascii="Arial" w:hAnsi="Arial" w:cs="Arial"/>
                <w:sz w:val="20"/>
                <w:szCs w:val="20"/>
              </w:rPr>
            </w:pPr>
            <w:r w:rsidRPr="00090355">
              <w:rPr>
                <w:rFonts w:ascii="Arial" w:eastAsia="Arial" w:hAnsi="Arial" w:cs="Arial"/>
                <w:sz w:val="20"/>
                <w:szCs w:val="20"/>
              </w:rPr>
              <w:t xml:space="preserve">No   </w:t>
            </w:r>
            <w:r w:rsidRPr="00090355">
              <w:rPr>
                <w:rFonts w:ascii="Segoe UI Symbol" w:eastAsia="Menlo Regular" w:hAnsi="Segoe UI Symbol" w:cs="Segoe UI Symbol"/>
                <w:sz w:val="20"/>
                <w:szCs w:val="20"/>
              </w:rPr>
              <w:t>☐</w:t>
            </w:r>
          </w:p>
          <w:p w14:paraId="3F495233" w14:textId="77777777" w:rsidR="009F1432" w:rsidRPr="00090355" w:rsidRDefault="009F1432">
            <w:pPr>
              <w:pStyle w:val="Normal1"/>
              <w:jc w:val="both"/>
              <w:rPr>
                <w:rFonts w:ascii="Arial" w:hAnsi="Arial" w:cs="Arial"/>
                <w:sz w:val="20"/>
                <w:szCs w:val="20"/>
              </w:rPr>
            </w:pPr>
            <w:r w:rsidRPr="00090355">
              <w:rPr>
                <w:rFonts w:ascii="Arial" w:eastAsia="Arial" w:hAnsi="Arial" w:cs="Arial"/>
                <w:sz w:val="20"/>
                <w:szCs w:val="20"/>
              </w:rPr>
              <w:t xml:space="preserve">If </w:t>
            </w:r>
            <w:proofErr w:type="gramStart"/>
            <w:r w:rsidRPr="00090355">
              <w:rPr>
                <w:rFonts w:ascii="Arial" w:eastAsia="Arial" w:hAnsi="Arial" w:cs="Arial"/>
                <w:sz w:val="20"/>
                <w:szCs w:val="20"/>
              </w:rPr>
              <w:t>No</w:t>
            </w:r>
            <w:proofErr w:type="gramEnd"/>
            <w:r w:rsidRPr="00090355">
              <w:rPr>
                <w:rFonts w:ascii="Arial" w:eastAsia="Arial" w:hAnsi="Arial" w:cs="Arial"/>
                <w:sz w:val="20"/>
                <w:szCs w:val="20"/>
              </w:rPr>
              <w:t xml:space="preserve"> please provide details below</w:t>
            </w:r>
          </w:p>
        </w:tc>
      </w:tr>
    </w:tbl>
    <w:p w14:paraId="7D6483EB" w14:textId="77777777" w:rsidR="009F1432" w:rsidRPr="00090355" w:rsidRDefault="009F1432" w:rsidP="009F1432">
      <w:pPr>
        <w:rPr>
          <w:rFonts w:ascii="Arial" w:hAnsi="Arial" w:cs="Arial"/>
          <w:szCs w:val="20"/>
        </w:rPr>
      </w:pPr>
    </w:p>
    <w:p w14:paraId="1425D2C6" w14:textId="77777777" w:rsidR="009F1432" w:rsidRPr="00090355" w:rsidRDefault="009F1432" w:rsidP="009F1432">
      <w:pPr>
        <w:ind w:left="709"/>
        <w:jc w:val="both"/>
        <w:rPr>
          <w:rFonts w:ascii="Arial" w:hAnsi="Arial" w:cs="Arial"/>
          <w:szCs w:val="20"/>
        </w:rPr>
      </w:pPr>
      <w:r w:rsidRPr="00090355">
        <w:rPr>
          <w:rFonts w:ascii="Arial" w:hAnsi="Arial" w:cs="Arial"/>
          <w:szCs w:val="20"/>
        </w:rPr>
        <w:t>If you answer No to the above question, without giving suitable evidence, your Tender may be excluded.</w:t>
      </w:r>
    </w:p>
    <w:p w14:paraId="0A13A7E9" w14:textId="77777777" w:rsidR="009F1432" w:rsidRPr="00090355" w:rsidRDefault="009F1432" w:rsidP="009F1432">
      <w:pPr>
        <w:jc w:val="both"/>
        <w:rPr>
          <w:rFonts w:ascii="Arial" w:hAnsi="Arial" w:cs="Arial"/>
          <w:b/>
          <w:szCs w:val="20"/>
          <w:u w:val="single"/>
        </w:rPr>
      </w:pPr>
    </w:p>
    <w:p w14:paraId="2F1D4F0A" w14:textId="77777777" w:rsidR="009F1432" w:rsidRPr="00090355" w:rsidRDefault="009F1432" w:rsidP="009F1432">
      <w:pPr>
        <w:pStyle w:val="Normal1"/>
        <w:widowControl w:val="0"/>
        <w:numPr>
          <w:ilvl w:val="0"/>
          <w:numId w:val="70"/>
        </w:numPr>
        <w:ind w:left="709" w:hanging="709"/>
        <w:rPr>
          <w:rFonts w:ascii="Arial" w:hAnsi="Arial" w:cs="Arial"/>
          <w:b/>
          <w:sz w:val="20"/>
          <w:szCs w:val="20"/>
        </w:rPr>
      </w:pPr>
      <w:r w:rsidRPr="00090355">
        <w:rPr>
          <w:rFonts w:ascii="Arial" w:hAnsi="Arial" w:cs="Arial"/>
          <w:b/>
          <w:sz w:val="20"/>
          <w:szCs w:val="20"/>
        </w:rPr>
        <w:t>Health &amp; Safety</w:t>
      </w:r>
    </w:p>
    <w:p w14:paraId="126E11B8" w14:textId="77777777" w:rsidR="009F1432" w:rsidRPr="00090355" w:rsidRDefault="009F1432" w:rsidP="009F1432">
      <w:pPr>
        <w:pStyle w:val="Normal1"/>
        <w:widowControl w:val="0"/>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1414"/>
        <w:gridCol w:w="1113"/>
      </w:tblGrid>
      <w:tr w:rsidR="009F1432" w:rsidRPr="00090355" w14:paraId="063E8A86" w14:textId="77777777">
        <w:trPr>
          <w:trHeight w:val="270"/>
        </w:trPr>
        <w:tc>
          <w:tcPr>
            <w:tcW w:w="3649" w:type="pct"/>
            <w:vMerge w:val="restart"/>
          </w:tcPr>
          <w:p w14:paraId="23AA8694" w14:textId="77777777" w:rsidR="009F1432" w:rsidRPr="00090355" w:rsidRDefault="009F1432">
            <w:pPr>
              <w:jc w:val="both"/>
              <w:rPr>
                <w:rFonts w:ascii="Arial" w:eastAsia="MS Mincho" w:hAnsi="Arial" w:cs="Arial"/>
                <w:szCs w:val="20"/>
              </w:rPr>
            </w:pPr>
            <w:r w:rsidRPr="00090355">
              <w:rPr>
                <w:rFonts w:ascii="Arial" w:eastAsia="MS Mincho" w:hAnsi="Arial" w:cs="Arial"/>
                <w:szCs w:val="20"/>
              </w:rPr>
              <w:t>Please self-certify that your organisation has a Health and Safety Policy that complies with current legislative requirements.</w:t>
            </w:r>
          </w:p>
          <w:p w14:paraId="5FF9A139" w14:textId="77777777" w:rsidR="009F1432" w:rsidRPr="00090355" w:rsidRDefault="009F1432">
            <w:pPr>
              <w:jc w:val="both"/>
              <w:rPr>
                <w:rFonts w:ascii="Arial" w:eastAsia="MS Mincho" w:hAnsi="Arial" w:cs="Arial"/>
                <w:szCs w:val="20"/>
              </w:rPr>
            </w:pPr>
          </w:p>
          <w:p w14:paraId="06AAF029" w14:textId="77777777" w:rsidR="009F1432" w:rsidRPr="00090355" w:rsidRDefault="009F1432">
            <w:pPr>
              <w:rPr>
                <w:rFonts w:ascii="Arial" w:hAnsi="Arial" w:cs="Arial"/>
                <w:i/>
                <w:szCs w:val="20"/>
              </w:rPr>
            </w:pPr>
            <w:r w:rsidRPr="00090355">
              <w:rPr>
                <w:rFonts w:ascii="Arial" w:hAnsi="Arial" w:cs="Arial"/>
                <w:i/>
                <w:szCs w:val="20"/>
              </w:rPr>
              <w:t xml:space="preserve">Answering no may result in a </w:t>
            </w:r>
            <w:proofErr w:type="gramStart"/>
            <w:r w:rsidRPr="00090355">
              <w:rPr>
                <w:rFonts w:ascii="Arial" w:hAnsi="Arial" w:cs="Arial"/>
                <w:i/>
                <w:szCs w:val="20"/>
              </w:rPr>
              <w:t>fail</w:t>
            </w:r>
            <w:proofErr w:type="gramEnd"/>
            <w:r w:rsidRPr="00090355">
              <w:rPr>
                <w:rFonts w:ascii="Arial" w:hAnsi="Arial" w:cs="Arial"/>
                <w:i/>
                <w:szCs w:val="20"/>
              </w:rPr>
              <w:t xml:space="preserve"> and your Tender being excluded.</w:t>
            </w:r>
          </w:p>
          <w:p w14:paraId="66CC1050" w14:textId="77777777" w:rsidR="009F1432" w:rsidRPr="00090355" w:rsidRDefault="009F1432">
            <w:pPr>
              <w:jc w:val="both"/>
              <w:rPr>
                <w:rFonts w:ascii="Arial" w:eastAsia="MS Mincho" w:hAnsi="Arial" w:cs="Arial"/>
                <w:szCs w:val="20"/>
              </w:rPr>
            </w:pPr>
          </w:p>
        </w:tc>
        <w:tc>
          <w:tcPr>
            <w:tcW w:w="756" w:type="pct"/>
            <w:tcBorders>
              <w:bottom w:val="nil"/>
              <w:right w:val="nil"/>
            </w:tcBorders>
          </w:tcPr>
          <w:p w14:paraId="3D9AA87A" w14:textId="77777777" w:rsidR="009F1432" w:rsidRPr="00090355" w:rsidRDefault="009F1432">
            <w:pPr>
              <w:jc w:val="center"/>
              <w:rPr>
                <w:rFonts w:ascii="Arial" w:eastAsia="MS Mincho" w:hAnsi="Arial" w:cs="Arial"/>
                <w:szCs w:val="20"/>
              </w:rPr>
            </w:pPr>
            <w:r w:rsidRPr="00090355">
              <w:rPr>
                <w:rFonts w:ascii="Arial" w:eastAsia="MS Mincho" w:hAnsi="Arial" w:cs="Arial"/>
                <w:szCs w:val="20"/>
              </w:rPr>
              <w:t>Yes</w:t>
            </w:r>
          </w:p>
          <w:p w14:paraId="713E1ADF" w14:textId="77777777" w:rsidR="009F1432" w:rsidRPr="00090355" w:rsidRDefault="009F1432">
            <w:pPr>
              <w:jc w:val="center"/>
              <w:rPr>
                <w:rFonts w:ascii="Arial" w:eastAsia="MS Mincho" w:hAnsi="Arial" w:cs="Arial"/>
                <w:szCs w:val="20"/>
              </w:rPr>
            </w:pPr>
          </w:p>
        </w:tc>
        <w:tc>
          <w:tcPr>
            <w:tcW w:w="595" w:type="pct"/>
            <w:tcBorders>
              <w:left w:val="nil"/>
              <w:bottom w:val="nil"/>
            </w:tcBorders>
          </w:tcPr>
          <w:p w14:paraId="7699D2F2" w14:textId="77777777" w:rsidR="009F1432" w:rsidRPr="00090355" w:rsidRDefault="009F1432">
            <w:pPr>
              <w:jc w:val="center"/>
              <w:rPr>
                <w:rFonts w:ascii="Arial" w:eastAsia="MS Mincho" w:hAnsi="Arial" w:cs="Arial"/>
                <w:szCs w:val="20"/>
              </w:rPr>
            </w:pPr>
            <w:r w:rsidRPr="00090355">
              <w:rPr>
                <w:rFonts w:ascii="Segoe UI Symbol" w:eastAsia="MS Gothic" w:hAnsi="Segoe UI Symbol" w:cs="Segoe UI Symbol"/>
                <w:szCs w:val="20"/>
              </w:rPr>
              <w:t>☐</w:t>
            </w:r>
          </w:p>
        </w:tc>
      </w:tr>
      <w:tr w:rsidR="009F1432" w:rsidRPr="00090355" w14:paraId="3F7BDAA3" w14:textId="77777777">
        <w:trPr>
          <w:trHeight w:val="606"/>
        </w:trPr>
        <w:tc>
          <w:tcPr>
            <w:tcW w:w="3649" w:type="pct"/>
            <w:vMerge/>
          </w:tcPr>
          <w:p w14:paraId="2854ECDB" w14:textId="77777777" w:rsidR="009F1432" w:rsidRPr="00090355" w:rsidRDefault="009F1432">
            <w:pPr>
              <w:jc w:val="both"/>
              <w:rPr>
                <w:rFonts w:ascii="Arial" w:eastAsia="MS Mincho" w:hAnsi="Arial" w:cs="Arial"/>
                <w:szCs w:val="20"/>
              </w:rPr>
            </w:pPr>
          </w:p>
        </w:tc>
        <w:tc>
          <w:tcPr>
            <w:tcW w:w="756" w:type="pct"/>
            <w:tcBorders>
              <w:top w:val="nil"/>
              <w:bottom w:val="single" w:sz="4" w:space="0" w:color="auto"/>
              <w:right w:val="nil"/>
            </w:tcBorders>
          </w:tcPr>
          <w:p w14:paraId="5D0F4D8C" w14:textId="77777777" w:rsidR="009F1432" w:rsidRPr="00090355" w:rsidRDefault="009F1432">
            <w:pPr>
              <w:jc w:val="center"/>
              <w:rPr>
                <w:rFonts w:ascii="Arial" w:eastAsia="MS Mincho" w:hAnsi="Arial" w:cs="Arial"/>
                <w:szCs w:val="20"/>
              </w:rPr>
            </w:pPr>
            <w:r w:rsidRPr="00090355">
              <w:rPr>
                <w:rFonts w:ascii="Arial" w:eastAsia="MS Mincho" w:hAnsi="Arial" w:cs="Arial"/>
                <w:szCs w:val="20"/>
              </w:rPr>
              <w:t>No</w:t>
            </w:r>
          </w:p>
          <w:p w14:paraId="2F1ED258" w14:textId="77777777" w:rsidR="009F1432" w:rsidRPr="00090355" w:rsidRDefault="009F1432">
            <w:pPr>
              <w:jc w:val="center"/>
              <w:rPr>
                <w:rFonts w:ascii="Arial" w:eastAsia="MS Mincho" w:hAnsi="Arial" w:cs="Arial"/>
                <w:szCs w:val="20"/>
              </w:rPr>
            </w:pPr>
          </w:p>
        </w:tc>
        <w:tc>
          <w:tcPr>
            <w:tcW w:w="595" w:type="pct"/>
            <w:tcBorders>
              <w:top w:val="nil"/>
              <w:left w:val="nil"/>
            </w:tcBorders>
          </w:tcPr>
          <w:p w14:paraId="4C7855AE" w14:textId="77777777" w:rsidR="009F1432" w:rsidRPr="00090355" w:rsidRDefault="009F1432">
            <w:pPr>
              <w:jc w:val="center"/>
              <w:rPr>
                <w:rFonts w:ascii="Arial" w:eastAsia="MS Mincho" w:hAnsi="Arial" w:cs="Arial"/>
                <w:szCs w:val="20"/>
              </w:rPr>
            </w:pPr>
            <w:r w:rsidRPr="00090355">
              <w:rPr>
                <w:rFonts w:ascii="Segoe UI Symbol" w:eastAsia="MS Gothic" w:hAnsi="Segoe UI Symbol" w:cs="Segoe UI Symbol"/>
                <w:szCs w:val="20"/>
              </w:rPr>
              <w:t>☐</w:t>
            </w:r>
          </w:p>
        </w:tc>
      </w:tr>
      <w:tr w:rsidR="009F1432" w:rsidRPr="00090355" w14:paraId="6FBD42C8" w14:textId="77777777">
        <w:trPr>
          <w:trHeight w:val="693"/>
        </w:trPr>
        <w:tc>
          <w:tcPr>
            <w:tcW w:w="3649" w:type="pct"/>
            <w:vMerge w:val="restart"/>
          </w:tcPr>
          <w:p w14:paraId="0D7F84AC" w14:textId="77777777" w:rsidR="009F1432" w:rsidRPr="00090355" w:rsidRDefault="009F1432">
            <w:pPr>
              <w:jc w:val="both"/>
              <w:rPr>
                <w:rFonts w:ascii="Arial" w:eastAsia="MS Mincho" w:hAnsi="Arial" w:cs="Arial"/>
                <w:szCs w:val="20"/>
              </w:rPr>
            </w:pPr>
            <w:r w:rsidRPr="00090355">
              <w:rPr>
                <w:rFonts w:ascii="Arial" w:eastAsia="MS Mincho" w:hAnsi="Arial" w:cs="Arial"/>
                <w:szCs w:val="20"/>
              </w:rPr>
              <w:t xml:space="preserve">Has your organisation or any of its </w:t>
            </w:r>
            <w:proofErr w:type="gramStart"/>
            <w:r w:rsidRPr="00090355">
              <w:rPr>
                <w:rFonts w:ascii="Arial" w:eastAsia="MS Mincho" w:hAnsi="Arial" w:cs="Arial"/>
                <w:szCs w:val="20"/>
              </w:rPr>
              <w:t>Directors</w:t>
            </w:r>
            <w:proofErr w:type="gramEnd"/>
            <w:r w:rsidRPr="00090355">
              <w:rPr>
                <w:rFonts w:ascii="Arial" w:eastAsia="MS Mincho" w:hAnsi="Arial" w:cs="Arial"/>
                <w:szCs w:val="20"/>
              </w:rPr>
              <w:t xml:space="preserve"> or Executive Officers been in receipt of enforcement / remedial orders in relation to the </w:t>
            </w:r>
            <w:r w:rsidRPr="00090355">
              <w:rPr>
                <w:rFonts w:ascii="Arial" w:eastAsia="MS Mincho" w:hAnsi="Arial" w:cs="Arial"/>
                <w:szCs w:val="20"/>
              </w:rPr>
              <w:lastRenderedPageBreak/>
              <w:t>Health and Safety Executive (or equivalent body) in the last three years?</w:t>
            </w:r>
          </w:p>
          <w:p w14:paraId="70116BB6" w14:textId="77777777" w:rsidR="009F1432" w:rsidRPr="00090355" w:rsidRDefault="009F1432">
            <w:pPr>
              <w:jc w:val="both"/>
              <w:rPr>
                <w:rFonts w:ascii="Arial" w:eastAsia="MS Mincho" w:hAnsi="Arial" w:cs="Arial"/>
                <w:szCs w:val="20"/>
              </w:rPr>
            </w:pPr>
          </w:p>
          <w:p w14:paraId="675E0BEB" w14:textId="77777777" w:rsidR="009F1432" w:rsidRPr="00090355" w:rsidRDefault="009F1432">
            <w:pPr>
              <w:jc w:val="both"/>
              <w:rPr>
                <w:rFonts w:ascii="Arial" w:eastAsia="MS Mincho" w:hAnsi="Arial" w:cs="Arial"/>
                <w:szCs w:val="20"/>
              </w:rPr>
            </w:pPr>
            <w:r w:rsidRPr="00090355">
              <w:rPr>
                <w:rFonts w:ascii="Arial" w:eastAsia="MS Mincho" w:hAnsi="Arial" w:cs="Arial"/>
                <w:szCs w:val="20"/>
              </w:rPr>
              <w:t>If your answer to the question was “yes”, please provide details in a separate Appendix of any enforcement / remedial orders served and give details of any remedial action or changes to procedures you have made as a result.</w:t>
            </w:r>
          </w:p>
          <w:p w14:paraId="1DFC184E" w14:textId="77777777" w:rsidR="009F1432" w:rsidRPr="00090355" w:rsidRDefault="009F1432">
            <w:pPr>
              <w:jc w:val="both"/>
              <w:rPr>
                <w:rFonts w:ascii="Arial" w:eastAsia="MS Mincho" w:hAnsi="Arial" w:cs="Arial"/>
                <w:szCs w:val="20"/>
              </w:rPr>
            </w:pPr>
          </w:p>
          <w:p w14:paraId="6B3D2B52" w14:textId="77777777" w:rsidR="009F1432" w:rsidRPr="00090355" w:rsidRDefault="009F1432">
            <w:pPr>
              <w:jc w:val="both"/>
              <w:rPr>
                <w:rFonts w:ascii="Arial" w:eastAsia="MS Mincho" w:hAnsi="Arial" w:cs="Arial"/>
                <w:i/>
                <w:szCs w:val="20"/>
              </w:rPr>
            </w:pPr>
            <w:r w:rsidRPr="00090355">
              <w:rPr>
                <w:rFonts w:ascii="Arial" w:eastAsia="MS Mincho" w:hAnsi="Arial" w:cs="Arial"/>
                <w:i/>
                <w:szCs w:val="20"/>
              </w:rPr>
              <w:t>The College will exclude Tenderer(s) that have been in receipt of enforcement / remedial action orders unless the Tenderer(s) can demonstrate to the authority’s satisfaction that appropriate remedial action has been taken to prevent future occurrences or breaches.</w:t>
            </w:r>
          </w:p>
        </w:tc>
        <w:tc>
          <w:tcPr>
            <w:tcW w:w="756" w:type="pct"/>
            <w:tcBorders>
              <w:bottom w:val="nil"/>
              <w:right w:val="nil"/>
            </w:tcBorders>
          </w:tcPr>
          <w:p w14:paraId="24B3D177" w14:textId="77777777" w:rsidR="009F1432" w:rsidRPr="00090355" w:rsidRDefault="009F1432">
            <w:pPr>
              <w:jc w:val="center"/>
              <w:rPr>
                <w:rFonts w:ascii="Arial" w:eastAsia="MS Mincho" w:hAnsi="Arial" w:cs="Arial"/>
                <w:szCs w:val="20"/>
              </w:rPr>
            </w:pPr>
            <w:r w:rsidRPr="00090355">
              <w:rPr>
                <w:rFonts w:ascii="Arial" w:eastAsia="MS Mincho" w:hAnsi="Arial" w:cs="Arial"/>
                <w:szCs w:val="20"/>
              </w:rPr>
              <w:lastRenderedPageBreak/>
              <w:t>Yes</w:t>
            </w:r>
          </w:p>
          <w:p w14:paraId="217792A1" w14:textId="77777777" w:rsidR="009F1432" w:rsidRPr="00090355" w:rsidRDefault="009F1432">
            <w:pPr>
              <w:jc w:val="center"/>
              <w:rPr>
                <w:rFonts w:ascii="Arial" w:eastAsia="MS Mincho" w:hAnsi="Arial" w:cs="Arial"/>
                <w:szCs w:val="20"/>
              </w:rPr>
            </w:pPr>
          </w:p>
        </w:tc>
        <w:tc>
          <w:tcPr>
            <w:tcW w:w="595" w:type="pct"/>
            <w:tcBorders>
              <w:left w:val="nil"/>
              <w:bottom w:val="nil"/>
            </w:tcBorders>
          </w:tcPr>
          <w:p w14:paraId="03410083" w14:textId="77777777" w:rsidR="009F1432" w:rsidRPr="00090355" w:rsidRDefault="009F1432">
            <w:pPr>
              <w:jc w:val="center"/>
              <w:rPr>
                <w:rFonts w:ascii="Arial" w:eastAsia="MS Mincho" w:hAnsi="Arial" w:cs="Arial"/>
                <w:szCs w:val="20"/>
              </w:rPr>
            </w:pPr>
            <w:r w:rsidRPr="00090355">
              <w:rPr>
                <w:rFonts w:ascii="Segoe UI Symbol" w:eastAsia="MS Gothic" w:hAnsi="Segoe UI Symbol" w:cs="Segoe UI Symbol"/>
                <w:szCs w:val="20"/>
              </w:rPr>
              <w:t>☐</w:t>
            </w:r>
          </w:p>
        </w:tc>
      </w:tr>
      <w:tr w:rsidR="009F1432" w:rsidRPr="00090355" w14:paraId="7302EB05" w14:textId="77777777">
        <w:trPr>
          <w:trHeight w:val="285"/>
        </w:trPr>
        <w:tc>
          <w:tcPr>
            <w:tcW w:w="3649" w:type="pct"/>
            <w:vMerge/>
          </w:tcPr>
          <w:p w14:paraId="4AB7DE68" w14:textId="77777777" w:rsidR="009F1432" w:rsidRPr="00090355" w:rsidRDefault="009F1432">
            <w:pPr>
              <w:jc w:val="both"/>
              <w:rPr>
                <w:rFonts w:ascii="Arial" w:eastAsia="MS Mincho" w:hAnsi="Arial" w:cs="Arial"/>
                <w:szCs w:val="20"/>
              </w:rPr>
            </w:pPr>
          </w:p>
        </w:tc>
        <w:tc>
          <w:tcPr>
            <w:tcW w:w="756" w:type="pct"/>
            <w:tcBorders>
              <w:top w:val="nil"/>
              <w:bottom w:val="nil"/>
              <w:right w:val="nil"/>
            </w:tcBorders>
          </w:tcPr>
          <w:p w14:paraId="0ADC0DFB" w14:textId="77777777" w:rsidR="009F1432" w:rsidRPr="00090355" w:rsidRDefault="009F1432">
            <w:pPr>
              <w:jc w:val="center"/>
              <w:rPr>
                <w:rFonts w:ascii="Arial" w:eastAsia="MS Mincho" w:hAnsi="Arial" w:cs="Arial"/>
                <w:szCs w:val="20"/>
              </w:rPr>
            </w:pPr>
            <w:r w:rsidRPr="00090355">
              <w:rPr>
                <w:rFonts w:ascii="Arial" w:eastAsia="MS Mincho" w:hAnsi="Arial" w:cs="Arial"/>
                <w:szCs w:val="20"/>
              </w:rPr>
              <w:t>No</w:t>
            </w:r>
          </w:p>
          <w:p w14:paraId="371113A0" w14:textId="77777777" w:rsidR="009F1432" w:rsidRPr="00090355" w:rsidRDefault="009F1432">
            <w:pPr>
              <w:jc w:val="center"/>
              <w:rPr>
                <w:rFonts w:ascii="Arial" w:eastAsia="MS Mincho" w:hAnsi="Arial" w:cs="Arial"/>
                <w:szCs w:val="20"/>
              </w:rPr>
            </w:pPr>
          </w:p>
        </w:tc>
        <w:tc>
          <w:tcPr>
            <w:tcW w:w="595" w:type="pct"/>
            <w:tcBorders>
              <w:top w:val="nil"/>
              <w:left w:val="nil"/>
              <w:bottom w:val="nil"/>
            </w:tcBorders>
          </w:tcPr>
          <w:p w14:paraId="252AB8DE" w14:textId="77777777" w:rsidR="009F1432" w:rsidRPr="00090355" w:rsidRDefault="009F1432">
            <w:pPr>
              <w:jc w:val="center"/>
              <w:rPr>
                <w:rFonts w:ascii="Arial" w:eastAsia="MS Mincho" w:hAnsi="Arial" w:cs="Arial"/>
                <w:szCs w:val="20"/>
              </w:rPr>
            </w:pPr>
            <w:r w:rsidRPr="00090355">
              <w:rPr>
                <w:rFonts w:ascii="Segoe UI Symbol" w:eastAsia="MS Gothic" w:hAnsi="Segoe UI Symbol" w:cs="Segoe UI Symbol"/>
                <w:szCs w:val="20"/>
              </w:rPr>
              <w:t>☐</w:t>
            </w:r>
          </w:p>
        </w:tc>
      </w:tr>
      <w:tr w:rsidR="009F1432" w:rsidRPr="00090355" w14:paraId="723BA4E3" w14:textId="77777777">
        <w:trPr>
          <w:trHeight w:val="1760"/>
        </w:trPr>
        <w:tc>
          <w:tcPr>
            <w:tcW w:w="3649" w:type="pct"/>
            <w:vMerge/>
          </w:tcPr>
          <w:p w14:paraId="51FF1EDE" w14:textId="77777777" w:rsidR="009F1432" w:rsidRPr="00090355" w:rsidRDefault="009F1432">
            <w:pPr>
              <w:jc w:val="both"/>
              <w:rPr>
                <w:rFonts w:ascii="Arial" w:eastAsia="MS Mincho" w:hAnsi="Arial" w:cs="Arial"/>
                <w:szCs w:val="20"/>
              </w:rPr>
            </w:pPr>
          </w:p>
        </w:tc>
        <w:tc>
          <w:tcPr>
            <w:tcW w:w="1351" w:type="pct"/>
            <w:gridSpan w:val="2"/>
            <w:tcBorders>
              <w:top w:val="nil"/>
            </w:tcBorders>
          </w:tcPr>
          <w:p w14:paraId="435014D2" w14:textId="77777777" w:rsidR="009F1432" w:rsidRPr="00090355" w:rsidRDefault="009F1432">
            <w:pPr>
              <w:rPr>
                <w:rFonts w:ascii="Arial" w:eastAsia="MS Mincho" w:hAnsi="Arial" w:cs="Arial"/>
                <w:szCs w:val="20"/>
              </w:rPr>
            </w:pPr>
          </w:p>
        </w:tc>
      </w:tr>
      <w:tr w:rsidR="009F1432" w:rsidRPr="00090355" w14:paraId="463F408F" w14:textId="77777777">
        <w:trPr>
          <w:trHeight w:val="360"/>
        </w:trPr>
        <w:tc>
          <w:tcPr>
            <w:tcW w:w="3649" w:type="pct"/>
            <w:vMerge w:val="restart"/>
          </w:tcPr>
          <w:p w14:paraId="7531882E" w14:textId="77777777" w:rsidR="009F1432" w:rsidRPr="00090355" w:rsidRDefault="009F1432">
            <w:pPr>
              <w:jc w:val="both"/>
              <w:rPr>
                <w:rFonts w:ascii="Arial" w:eastAsia="MS Mincho" w:hAnsi="Arial" w:cs="Arial"/>
                <w:szCs w:val="20"/>
              </w:rPr>
            </w:pPr>
            <w:r w:rsidRPr="00090355">
              <w:rPr>
                <w:rFonts w:ascii="Arial" w:eastAsia="MS Mincho" w:hAnsi="Arial" w:cs="Arial"/>
                <w:szCs w:val="20"/>
              </w:rPr>
              <w:t>If you use sub-contractors, do you have processes in place to check whether any of the above circumstances apply to these other organisations?</w:t>
            </w:r>
          </w:p>
          <w:p w14:paraId="08424653" w14:textId="77777777" w:rsidR="009F1432" w:rsidRPr="00090355" w:rsidRDefault="009F1432">
            <w:pPr>
              <w:jc w:val="both"/>
              <w:rPr>
                <w:rFonts w:ascii="Arial" w:eastAsia="MS Mincho" w:hAnsi="Arial" w:cs="Arial"/>
                <w:szCs w:val="20"/>
              </w:rPr>
            </w:pPr>
          </w:p>
          <w:p w14:paraId="71908A22" w14:textId="77777777" w:rsidR="009F1432" w:rsidRPr="00090355" w:rsidRDefault="009F1432">
            <w:pPr>
              <w:rPr>
                <w:rFonts w:ascii="Arial" w:hAnsi="Arial" w:cs="Arial"/>
                <w:i/>
                <w:szCs w:val="20"/>
              </w:rPr>
            </w:pPr>
            <w:r w:rsidRPr="00090355">
              <w:rPr>
                <w:rFonts w:ascii="Arial" w:hAnsi="Arial" w:cs="Arial"/>
                <w:i/>
                <w:szCs w:val="20"/>
              </w:rPr>
              <w:t xml:space="preserve">Answering no may result in a </w:t>
            </w:r>
            <w:proofErr w:type="gramStart"/>
            <w:r w:rsidRPr="00090355">
              <w:rPr>
                <w:rFonts w:ascii="Arial" w:hAnsi="Arial" w:cs="Arial"/>
                <w:i/>
                <w:szCs w:val="20"/>
              </w:rPr>
              <w:t>fail</w:t>
            </w:r>
            <w:proofErr w:type="gramEnd"/>
            <w:r w:rsidRPr="00090355">
              <w:rPr>
                <w:rFonts w:ascii="Arial" w:hAnsi="Arial" w:cs="Arial"/>
                <w:i/>
                <w:szCs w:val="20"/>
              </w:rPr>
              <w:t xml:space="preserve"> and your Tender being excluded.</w:t>
            </w:r>
          </w:p>
          <w:p w14:paraId="51102C18" w14:textId="77777777" w:rsidR="009F1432" w:rsidRPr="00090355" w:rsidRDefault="009F1432">
            <w:pPr>
              <w:jc w:val="both"/>
              <w:rPr>
                <w:rFonts w:ascii="Arial" w:eastAsia="MS Mincho" w:hAnsi="Arial" w:cs="Arial"/>
                <w:szCs w:val="20"/>
              </w:rPr>
            </w:pPr>
          </w:p>
        </w:tc>
        <w:tc>
          <w:tcPr>
            <w:tcW w:w="756" w:type="pct"/>
            <w:tcBorders>
              <w:bottom w:val="nil"/>
              <w:right w:val="nil"/>
            </w:tcBorders>
          </w:tcPr>
          <w:p w14:paraId="7478645D" w14:textId="77777777" w:rsidR="009F1432" w:rsidRPr="00090355" w:rsidRDefault="009F1432">
            <w:pPr>
              <w:jc w:val="center"/>
              <w:rPr>
                <w:rFonts w:ascii="Arial" w:eastAsia="MS Mincho" w:hAnsi="Arial" w:cs="Arial"/>
                <w:szCs w:val="20"/>
              </w:rPr>
            </w:pPr>
            <w:r w:rsidRPr="00090355">
              <w:rPr>
                <w:rFonts w:ascii="Arial" w:eastAsia="MS Mincho" w:hAnsi="Arial" w:cs="Arial"/>
                <w:szCs w:val="20"/>
              </w:rPr>
              <w:t>Yes</w:t>
            </w:r>
          </w:p>
          <w:p w14:paraId="49AF4736" w14:textId="77777777" w:rsidR="009F1432" w:rsidRPr="00090355" w:rsidRDefault="009F1432">
            <w:pPr>
              <w:jc w:val="center"/>
              <w:rPr>
                <w:rFonts w:ascii="Arial" w:eastAsia="MS Mincho" w:hAnsi="Arial" w:cs="Arial"/>
                <w:szCs w:val="20"/>
              </w:rPr>
            </w:pPr>
          </w:p>
        </w:tc>
        <w:tc>
          <w:tcPr>
            <w:tcW w:w="595" w:type="pct"/>
            <w:tcBorders>
              <w:left w:val="nil"/>
              <w:bottom w:val="nil"/>
            </w:tcBorders>
          </w:tcPr>
          <w:p w14:paraId="644BAD2B" w14:textId="77777777" w:rsidR="009F1432" w:rsidRPr="00090355" w:rsidRDefault="009F1432">
            <w:pPr>
              <w:jc w:val="center"/>
              <w:rPr>
                <w:rFonts w:ascii="Arial" w:eastAsia="MS Mincho" w:hAnsi="Arial" w:cs="Arial"/>
                <w:szCs w:val="20"/>
              </w:rPr>
            </w:pPr>
            <w:r w:rsidRPr="00090355">
              <w:rPr>
                <w:rFonts w:ascii="Segoe UI Symbol" w:eastAsia="MS Gothic" w:hAnsi="Segoe UI Symbol" w:cs="Segoe UI Symbol"/>
                <w:szCs w:val="20"/>
              </w:rPr>
              <w:t>☐</w:t>
            </w:r>
          </w:p>
        </w:tc>
      </w:tr>
      <w:tr w:rsidR="009F1432" w:rsidRPr="00090355" w14:paraId="10976051" w14:textId="77777777">
        <w:trPr>
          <w:trHeight w:val="360"/>
        </w:trPr>
        <w:tc>
          <w:tcPr>
            <w:tcW w:w="3649" w:type="pct"/>
            <w:vMerge/>
          </w:tcPr>
          <w:p w14:paraId="039C840C" w14:textId="77777777" w:rsidR="009F1432" w:rsidRPr="00090355" w:rsidRDefault="009F1432">
            <w:pPr>
              <w:jc w:val="both"/>
              <w:rPr>
                <w:rFonts w:ascii="Arial" w:eastAsia="MS Mincho" w:hAnsi="Arial" w:cs="Arial"/>
                <w:szCs w:val="20"/>
              </w:rPr>
            </w:pPr>
          </w:p>
        </w:tc>
        <w:tc>
          <w:tcPr>
            <w:tcW w:w="756" w:type="pct"/>
            <w:tcBorders>
              <w:top w:val="nil"/>
              <w:bottom w:val="nil"/>
              <w:right w:val="nil"/>
            </w:tcBorders>
          </w:tcPr>
          <w:p w14:paraId="26826886" w14:textId="77777777" w:rsidR="009F1432" w:rsidRPr="00090355" w:rsidRDefault="009F1432">
            <w:pPr>
              <w:jc w:val="center"/>
              <w:rPr>
                <w:rFonts w:ascii="Arial" w:eastAsia="MS Mincho" w:hAnsi="Arial" w:cs="Arial"/>
                <w:szCs w:val="20"/>
              </w:rPr>
            </w:pPr>
            <w:r w:rsidRPr="00090355">
              <w:rPr>
                <w:rFonts w:ascii="Arial" w:eastAsia="MS Mincho" w:hAnsi="Arial" w:cs="Arial"/>
                <w:szCs w:val="20"/>
              </w:rPr>
              <w:t>No</w:t>
            </w:r>
          </w:p>
          <w:p w14:paraId="73F09DF0" w14:textId="77777777" w:rsidR="009F1432" w:rsidRPr="00090355" w:rsidRDefault="009F1432">
            <w:pPr>
              <w:jc w:val="center"/>
              <w:rPr>
                <w:rFonts w:ascii="Arial" w:eastAsia="MS Mincho" w:hAnsi="Arial" w:cs="Arial"/>
                <w:szCs w:val="20"/>
              </w:rPr>
            </w:pPr>
          </w:p>
        </w:tc>
        <w:tc>
          <w:tcPr>
            <w:tcW w:w="595" w:type="pct"/>
            <w:tcBorders>
              <w:top w:val="nil"/>
              <w:left w:val="nil"/>
              <w:bottom w:val="nil"/>
            </w:tcBorders>
          </w:tcPr>
          <w:p w14:paraId="70E80868" w14:textId="77777777" w:rsidR="009F1432" w:rsidRPr="00090355" w:rsidRDefault="009F1432">
            <w:pPr>
              <w:jc w:val="center"/>
              <w:rPr>
                <w:rFonts w:ascii="Arial" w:eastAsia="MS Mincho" w:hAnsi="Arial" w:cs="Arial"/>
                <w:szCs w:val="20"/>
              </w:rPr>
            </w:pPr>
            <w:r w:rsidRPr="00090355">
              <w:rPr>
                <w:rFonts w:ascii="Segoe UI Symbol" w:eastAsia="MS Gothic" w:hAnsi="Segoe UI Symbol" w:cs="Segoe UI Symbol"/>
                <w:szCs w:val="20"/>
              </w:rPr>
              <w:t>☐</w:t>
            </w:r>
          </w:p>
        </w:tc>
      </w:tr>
      <w:tr w:rsidR="009F1432" w:rsidRPr="00090355" w14:paraId="1FD9FFB9" w14:textId="77777777">
        <w:trPr>
          <w:trHeight w:val="360"/>
        </w:trPr>
        <w:tc>
          <w:tcPr>
            <w:tcW w:w="3649" w:type="pct"/>
            <w:vMerge/>
          </w:tcPr>
          <w:p w14:paraId="1A56B182" w14:textId="77777777" w:rsidR="009F1432" w:rsidRPr="00090355" w:rsidRDefault="009F1432">
            <w:pPr>
              <w:jc w:val="both"/>
              <w:rPr>
                <w:rFonts w:ascii="Arial" w:eastAsia="MS Mincho" w:hAnsi="Arial" w:cs="Arial"/>
                <w:szCs w:val="20"/>
              </w:rPr>
            </w:pPr>
          </w:p>
        </w:tc>
        <w:tc>
          <w:tcPr>
            <w:tcW w:w="756" w:type="pct"/>
            <w:tcBorders>
              <w:top w:val="nil"/>
              <w:right w:val="nil"/>
            </w:tcBorders>
          </w:tcPr>
          <w:p w14:paraId="0AE496E8" w14:textId="77777777" w:rsidR="009F1432" w:rsidRPr="00090355" w:rsidRDefault="009F1432">
            <w:pPr>
              <w:jc w:val="center"/>
              <w:rPr>
                <w:rFonts w:ascii="Arial" w:eastAsia="MS Mincho" w:hAnsi="Arial" w:cs="Arial"/>
                <w:szCs w:val="20"/>
              </w:rPr>
            </w:pPr>
            <w:r w:rsidRPr="00090355">
              <w:rPr>
                <w:rFonts w:ascii="Arial" w:eastAsia="MS Mincho" w:hAnsi="Arial" w:cs="Arial"/>
                <w:szCs w:val="20"/>
              </w:rPr>
              <w:t>Sub-contractors not used</w:t>
            </w:r>
          </w:p>
          <w:p w14:paraId="7E7DEB1D" w14:textId="77777777" w:rsidR="009F1432" w:rsidRPr="00090355" w:rsidRDefault="009F1432">
            <w:pPr>
              <w:jc w:val="center"/>
              <w:rPr>
                <w:rFonts w:ascii="Arial" w:eastAsia="MS Mincho" w:hAnsi="Arial" w:cs="Arial"/>
                <w:szCs w:val="20"/>
              </w:rPr>
            </w:pPr>
          </w:p>
        </w:tc>
        <w:tc>
          <w:tcPr>
            <w:tcW w:w="595" w:type="pct"/>
            <w:tcBorders>
              <w:top w:val="nil"/>
              <w:left w:val="nil"/>
            </w:tcBorders>
          </w:tcPr>
          <w:p w14:paraId="3FB1B783" w14:textId="77777777" w:rsidR="009F1432" w:rsidRPr="00090355" w:rsidRDefault="009F1432">
            <w:pPr>
              <w:jc w:val="center"/>
              <w:rPr>
                <w:rFonts w:ascii="Arial" w:eastAsia="MS Mincho" w:hAnsi="Arial" w:cs="Arial"/>
                <w:szCs w:val="20"/>
              </w:rPr>
            </w:pPr>
            <w:r w:rsidRPr="00090355">
              <w:rPr>
                <w:rFonts w:ascii="Segoe UI Symbol" w:eastAsia="MS Gothic" w:hAnsi="Segoe UI Symbol" w:cs="Segoe UI Symbol"/>
                <w:szCs w:val="20"/>
              </w:rPr>
              <w:t>☐</w:t>
            </w:r>
          </w:p>
        </w:tc>
      </w:tr>
    </w:tbl>
    <w:p w14:paraId="68F58722" w14:textId="77777777" w:rsidR="00D174E6" w:rsidRPr="00090355" w:rsidRDefault="00D174E6" w:rsidP="00090355">
      <w:pPr>
        <w:pStyle w:val="Part"/>
        <w:sectPr w:rsidR="00D174E6" w:rsidRPr="00090355">
          <w:pgSz w:w="12240" w:h="15840"/>
          <w:pgMar w:top="1440" w:right="1440" w:bottom="1440" w:left="1440" w:header="720" w:footer="720" w:gutter="0"/>
          <w:cols w:space="720"/>
        </w:sectPr>
      </w:pPr>
    </w:p>
    <w:p w14:paraId="773E566A" w14:textId="77777777" w:rsidR="00CC52C0" w:rsidRPr="00C516B0" w:rsidRDefault="00A01C2C" w:rsidP="00C516B0">
      <w:pPr>
        <w:pStyle w:val="Schedule"/>
        <w:numPr>
          <w:ilvl w:val="0"/>
          <w:numId w:val="22"/>
        </w:numPr>
        <w:rPr>
          <w:rFonts w:ascii="Arial" w:hAnsi="Arial" w:cs="Arial"/>
        </w:rPr>
      </w:pPr>
      <w:r w:rsidRPr="00C516B0">
        <w:rPr>
          <w:rFonts w:ascii="Arial" w:hAnsi="Arial" w:cs="Arial"/>
          <w:color w:val="000000"/>
        </w:rPr>
        <w:lastRenderedPageBreak/>
        <w:t>Form of Tender</w:t>
      </w:r>
      <w:bookmarkEnd w:id="49"/>
    </w:p>
    <w:tbl>
      <w:tblPr>
        <w:tblW w:w="5000" w:type="pct"/>
        <w:tblBorders>
          <w:top w:val="nil"/>
          <w:left w:val="nil"/>
          <w:bottom w:val="nil"/>
          <w:right w:val="nil"/>
          <w:insideH w:val="nil"/>
          <w:insideV w:val="nil"/>
        </w:tblBorders>
        <w:tblLook w:val="04A0" w:firstRow="1" w:lastRow="0" w:firstColumn="1" w:lastColumn="0" w:noHBand="0" w:noVBand="1"/>
      </w:tblPr>
      <w:tblGrid>
        <w:gridCol w:w="2808"/>
        <w:gridCol w:w="6552"/>
      </w:tblGrid>
      <w:tr w:rsidR="00492069" w:rsidRPr="00C516B0" w14:paraId="0B575240" w14:textId="77777777">
        <w:tc>
          <w:tcPr>
            <w:tcW w:w="5000" w:type="pct"/>
            <w:gridSpan w:val="2"/>
            <w:tcBorders>
              <w:top w:val="nil"/>
              <w:left w:val="nil"/>
              <w:bottom w:val="nil"/>
              <w:right w:val="nil"/>
            </w:tcBorders>
          </w:tcPr>
          <w:p w14:paraId="2D86116D" w14:textId="77777777" w:rsidR="00CC52C0" w:rsidRPr="00C516B0" w:rsidRDefault="00A01C2C">
            <w:pPr>
              <w:pStyle w:val="Paragraph"/>
              <w:jc w:val="center"/>
              <w:rPr>
                <w:b/>
              </w:rPr>
            </w:pPr>
            <w:r w:rsidRPr="00C516B0">
              <w:rPr>
                <w:b/>
              </w:rPr>
              <w:t>FORM OF TENDER: TENDER CERTIFICATE</w:t>
            </w:r>
          </w:p>
        </w:tc>
      </w:tr>
      <w:tr w:rsidR="00492069" w:rsidRPr="00C516B0" w14:paraId="4ED28FAE" w14:textId="77777777">
        <w:tc>
          <w:tcPr>
            <w:tcW w:w="5000" w:type="pct"/>
            <w:gridSpan w:val="2"/>
            <w:tcBorders>
              <w:top w:val="nil"/>
              <w:left w:val="nil"/>
              <w:bottom w:val="nil"/>
              <w:right w:val="nil"/>
            </w:tcBorders>
          </w:tcPr>
          <w:p w14:paraId="2FFB17F3" w14:textId="6D0277BF" w:rsidR="00CC52C0" w:rsidRPr="00C516B0" w:rsidRDefault="00A01C2C">
            <w:pPr>
              <w:pStyle w:val="Paragraph"/>
              <w:jc w:val="left"/>
            </w:pPr>
            <w:r w:rsidRPr="00C516B0">
              <w:t xml:space="preserve">TO: </w:t>
            </w:r>
            <w:r w:rsidR="005B2521">
              <w:t xml:space="preserve">Coleg y </w:t>
            </w:r>
            <w:proofErr w:type="spellStart"/>
            <w:r w:rsidR="005B2521">
              <w:t>Cymoedd</w:t>
            </w:r>
            <w:proofErr w:type="spellEnd"/>
          </w:p>
        </w:tc>
      </w:tr>
      <w:tr w:rsidR="00492069" w:rsidRPr="00C516B0" w14:paraId="49656BF4" w14:textId="77777777">
        <w:tc>
          <w:tcPr>
            <w:tcW w:w="5000" w:type="pct"/>
            <w:gridSpan w:val="2"/>
            <w:tcBorders>
              <w:top w:val="nil"/>
              <w:left w:val="nil"/>
              <w:bottom w:val="nil"/>
              <w:right w:val="nil"/>
            </w:tcBorders>
          </w:tcPr>
          <w:p w14:paraId="7EDEEE35" w14:textId="6683C54E" w:rsidR="00CC52C0" w:rsidRPr="00C516B0" w:rsidRDefault="00A01C2C">
            <w:pPr>
              <w:pStyle w:val="Paragraph"/>
              <w:jc w:val="left"/>
            </w:pPr>
            <w:r w:rsidRPr="00C516B0">
              <w:t xml:space="preserve">DATE: </w:t>
            </w:r>
          </w:p>
        </w:tc>
      </w:tr>
      <w:tr w:rsidR="00492069" w:rsidRPr="00C516B0" w14:paraId="25A2DA0D" w14:textId="77777777">
        <w:tc>
          <w:tcPr>
            <w:tcW w:w="5000" w:type="pct"/>
            <w:gridSpan w:val="2"/>
            <w:tcBorders>
              <w:top w:val="nil"/>
              <w:left w:val="nil"/>
              <w:bottom w:val="nil"/>
              <w:right w:val="nil"/>
            </w:tcBorders>
          </w:tcPr>
          <w:p w14:paraId="029E0782" w14:textId="77777777" w:rsidR="00C074B6" w:rsidRPr="00974EC2" w:rsidRDefault="00A01C2C" w:rsidP="00C074B6">
            <w:pPr>
              <w:pStyle w:val="Parasubclause1"/>
              <w:ind w:left="0"/>
              <w:rPr>
                <w:b/>
                <w:bCs/>
              </w:rPr>
            </w:pPr>
            <w:r w:rsidRPr="00C516B0">
              <w:t xml:space="preserve">PROVISION OF: </w:t>
            </w:r>
            <w:r w:rsidR="00C074B6" w:rsidRPr="00A2313C">
              <w:rPr>
                <w:b/>
                <w:bCs/>
              </w:rPr>
              <w:t xml:space="preserve">Ground floor refurbishment of </w:t>
            </w:r>
            <w:r w:rsidR="00C074B6">
              <w:rPr>
                <w:b/>
                <w:bCs/>
              </w:rPr>
              <w:t xml:space="preserve">and interior design for </w:t>
            </w:r>
            <w:r w:rsidR="00C074B6" w:rsidRPr="00A2313C">
              <w:rPr>
                <w:b/>
                <w:bCs/>
              </w:rPr>
              <w:t xml:space="preserve">4 – 5 existing classrooms at Block D, Nantgarw Campus, </w:t>
            </w:r>
            <w:proofErr w:type="spellStart"/>
            <w:r w:rsidR="00C074B6" w:rsidRPr="00974EC2">
              <w:rPr>
                <w:b/>
                <w:bCs/>
              </w:rPr>
              <w:t>Heol</w:t>
            </w:r>
            <w:proofErr w:type="spellEnd"/>
            <w:r w:rsidR="00C074B6" w:rsidRPr="00974EC2">
              <w:rPr>
                <w:b/>
                <w:bCs/>
              </w:rPr>
              <w:t xml:space="preserve"> y Coleg, Nantgarw, Cardiff, CF15 7QY</w:t>
            </w:r>
          </w:p>
          <w:p w14:paraId="52EB3D7E" w14:textId="0392BF1A" w:rsidR="00CC52C0" w:rsidRPr="00C516B0" w:rsidRDefault="00CC52C0">
            <w:pPr>
              <w:pStyle w:val="Paragraph"/>
              <w:jc w:val="left"/>
            </w:pPr>
          </w:p>
        </w:tc>
      </w:tr>
      <w:tr w:rsidR="00492069" w:rsidRPr="00C516B0" w14:paraId="0ADCA290" w14:textId="77777777">
        <w:tc>
          <w:tcPr>
            <w:tcW w:w="5000" w:type="pct"/>
            <w:gridSpan w:val="2"/>
            <w:tcBorders>
              <w:top w:val="nil"/>
              <w:left w:val="nil"/>
              <w:bottom w:val="nil"/>
              <w:right w:val="nil"/>
            </w:tcBorders>
          </w:tcPr>
          <w:p w14:paraId="7393DEF0" w14:textId="2891E0C6" w:rsidR="00CC52C0" w:rsidRPr="00C516B0" w:rsidRDefault="00A01C2C">
            <w:pPr>
              <w:pStyle w:val="Paragraph"/>
              <w:jc w:val="left"/>
            </w:pPr>
            <w:r w:rsidRPr="00C516B0">
              <w:t xml:space="preserve">REFERENCE NUMBER: </w:t>
            </w:r>
            <w:r w:rsidR="00D02487">
              <w:t>CYC/ALN/N2025</w:t>
            </w:r>
          </w:p>
        </w:tc>
      </w:tr>
      <w:tr w:rsidR="00492069" w:rsidRPr="00C516B0" w14:paraId="43D48E4E" w14:textId="77777777">
        <w:tc>
          <w:tcPr>
            <w:tcW w:w="5000" w:type="pct"/>
            <w:gridSpan w:val="2"/>
            <w:tcBorders>
              <w:top w:val="nil"/>
              <w:left w:val="nil"/>
              <w:bottom w:val="nil"/>
              <w:right w:val="nil"/>
            </w:tcBorders>
          </w:tcPr>
          <w:p w14:paraId="4D552E13" w14:textId="5DC70EFD" w:rsidR="00CC52C0" w:rsidRPr="00C516B0" w:rsidRDefault="00A01C2C">
            <w:pPr>
              <w:pStyle w:val="Paragraph"/>
              <w:jc w:val="left"/>
            </w:pPr>
            <w:r w:rsidRPr="00C516B0">
              <w:t xml:space="preserve">We [INSERT NAME[S]] the undersigned, having examined the ITT and all other schedules, do hereby offer to provide [CONTRACT SUBJECT MATTER] as specified in those documents and in accordance with the attached documentation to the </w:t>
            </w:r>
            <w:r w:rsidR="00C516B0">
              <w:t>College</w:t>
            </w:r>
            <w:r w:rsidRPr="00C516B0">
              <w:t xml:space="preserve"> commencing [DATE] and continuing for the period specified in the Contract.</w:t>
            </w:r>
          </w:p>
          <w:p w14:paraId="57D57ED8" w14:textId="77777777" w:rsidR="00CC52C0" w:rsidRPr="00C516B0" w:rsidRDefault="00A01C2C">
            <w:pPr>
              <w:pStyle w:val="Paragraph"/>
              <w:jc w:val="left"/>
            </w:pPr>
            <w:r w:rsidRPr="00C516B0">
              <w:t>If this offer is accepted, we will execute such documents in the form of the Contract within [NUMBER] days of being called on to do so.</w:t>
            </w:r>
          </w:p>
          <w:p w14:paraId="34700C8C" w14:textId="0962C86C" w:rsidR="00CC52C0" w:rsidRPr="00C516B0" w:rsidRDefault="00A01C2C">
            <w:pPr>
              <w:pStyle w:val="Paragraph"/>
              <w:jc w:val="left"/>
            </w:pPr>
            <w:r w:rsidRPr="00C516B0">
              <w:t xml:space="preserve">We agree that before executing the Contract (and associated schedules) substantially in the form set out in the ITT, the formal acceptance of this Tender in writing by the </w:t>
            </w:r>
            <w:r w:rsidR="00C516B0">
              <w:t>College</w:t>
            </w:r>
            <w:r w:rsidR="00646D9B">
              <w:t xml:space="preserve">, </w:t>
            </w:r>
            <w:r w:rsidRPr="00C516B0">
              <w:t xml:space="preserve">together with the </w:t>
            </w:r>
            <w:r w:rsidR="00DC133C">
              <w:t>C</w:t>
            </w:r>
            <w:r w:rsidRPr="00C516B0">
              <w:t xml:space="preserve">ontract documents attached hereto shall comprise a binding contract between the </w:t>
            </w:r>
            <w:r w:rsidR="00C516B0">
              <w:t>College</w:t>
            </w:r>
            <w:r w:rsidRPr="00C516B0">
              <w:t xml:space="preserve"> and the Tenderer.</w:t>
            </w:r>
          </w:p>
          <w:p w14:paraId="499E15CD" w14:textId="14C9E426" w:rsidR="00CC52C0" w:rsidRDefault="00A01C2C">
            <w:pPr>
              <w:pStyle w:val="Paragraph"/>
              <w:jc w:val="left"/>
            </w:pPr>
            <w:r w:rsidRPr="00C516B0">
              <w:t xml:space="preserve">We agree with the </w:t>
            </w:r>
            <w:r w:rsidR="00C516B0">
              <w:t>College</w:t>
            </w:r>
            <w:r w:rsidRPr="00C516B0">
              <w:t xml:space="preserve"> in legally binding terms to comply with the provisions of confidentiality set out in </w:t>
            </w:r>
            <w:r w:rsidRPr="00C516B0">
              <w:fldChar w:fldCharType="begin"/>
            </w:r>
            <w:r w:rsidRPr="00C516B0">
              <w:instrText>PAGEREF a447638\# "'paragraph '"  \h</w:instrText>
            </w:r>
            <w:r w:rsidRPr="00C516B0">
              <w:fldChar w:fldCharType="separate"/>
            </w:r>
            <w:r w:rsidRPr="00C516B0">
              <w:t xml:space="preserve">paragraph </w:t>
            </w:r>
            <w:r w:rsidRPr="00C516B0">
              <w:fldChar w:fldCharType="end"/>
            </w:r>
            <w:r w:rsidRPr="00C516B0">
              <w:fldChar w:fldCharType="begin"/>
            </w:r>
            <w:r w:rsidRPr="00C516B0">
              <w:rPr>
                <w:highlight w:val="lightGray"/>
              </w:rPr>
              <w:instrText>REF a447638 \h \w</w:instrText>
            </w:r>
            <w:r w:rsidR="00C516B0">
              <w:instrText xml:space="preserve"> \* MERGEFORMAT </w:instrText>
            </w:r>
            <w:r w:rsidRPr="00C516B0">
              <w:fldChar w:fldCharType="separate"/>
            </w:r>
            <w:r w:rsidRPr="00C516B0">
              <w:t>4.2</w:t>
            </w:r>
            <w:r w:rsidRPr="00C516B0">
              <w:fldChar w:fldCharType="end"/>
            </w:r>
            <w:r w:rsidRPr="00C516B0">
              <w:t xml:space="preserve"> of the ITT.</w:t>
            </w:r>
          </w:p>
          <w:p w14:paraId="6E6D723B" w14:textId="6E3580F4" w:rsidR="002E6B10" w:rsidRPr="00C516B0" w:rsidRDefault="002E6B10">
            <w:pPr>
              <w:pStyle w:val="Paragraph"/>
              <w:jc w:val="left"/>
            </w:pPr>
            <w:r>
              <w:t xml:space="preserve">We agree that if we have used Artificial Intelligence to produce any part of our Tender, that the information has been checked and verified as correct by us. We </w:t>
            </w:r>
            <w:r w:rsidR="004D435E">
              <w:t>accept that anything written in our Tender is considered true and accurate.</w:t>
            </w:r>
          </w:p>
          <w:p w14:paraId="1CCB71AC" w14:textId="77777777" w:rsidR="00CC52C0" w:rsidRPr="00C516B0" w:rsidRDefault="00A01C2C">
            <w:pPr>
              <w:pStyle w:val="Paragraph"/>
              <w:jc w:val="left"/>
            </w:pPr>
            <w:r w:rsidRPr="00C516B0">
              <w:t>We warrant that we have all requisite authority to sign this Tender and confirm that we have complied with all the requirements of the ITT.</w:t>
            </w:r>
          </w:p>
        </w:tc>
      </w:tr>
      <w:tr w:rsidR="00492069" w:rsidRPr="00C516B0" w14:paraId="3ABCC247" w14:textId="77777777">
        <w:tc>
          <w:tcPr>
            <w:tcW w:w="1500" w:type="pct"/>
            <w:tcBorders>
              <w:top w:val="nil"/>
              <w:left w:val="nil"/>
              <w:bottom w:val="nil"/>
              <w:right w:val="nil"/>
            </w:tcBorders>
          </w:tcPr>
          <w:p w14:paraId="4C64105D" w14:textId="77777777" w:rsidR="00CC52C0" w:rsidRPr="00C516B0" w:rsidRDefault="00A01C2C">
            <w:pPr>
              <w:pStyle w:val="Paragraph"/>
              <w:jc w:val="left"/>
            </w:pPr>
            <w:r w:rsidRPr="00C516B0">
              <w:t>Signature</w:t>
            </w:r>
          </w:p>
        </w:tc>
        <w:tc>
          <w:tcPr>
            <w:tcW w:w="3500" w:type="pct"/>
            <w:tcBorders>
              <w:top w:val="nil"/>
              <w:left w:val="nil"/>
              <w:bottom w:val="nil"/>
              <w:right w:val="nil"/>
            </w:tcBorders>
          </w:tcPr>
          <w:p w14:paraId="35D4AB4F" w14:textId="77777777" w:rsidR="00CC52C0" w:rsidRPr="00C516B0" w:rsidRDefault="00A01C2C">
            <w:pPr>
              <w:pStyle w:val="Paragraph"/>
              <w:jc w:val="left"/>
            </w:pPr>
            <w:r w:rsidRPr="00C516B0">
              <w:t>_________________________________________</w:t>
            </w:r>
          </w:p>
        </w:tc>
      </w:tr>
      <w:tr w:rsidR="00492069" w:rsidRPr="00C516B0" w14:paraId="3CFBA568" w14:textId="77777777">
        <w:tc>
          <w:tcPr>
            <w:tcW w:w="1500" w:type="pct"/>
            <w:tcBorders>
              <w:top w:val="nil"/>
              <w:left w:val="nil"/>
              <w:bottom w:val="nil"/>
              <w:right w:val="nil"/>
            </w:tcBorders>
          </w:tcPr>
          <w:p w14:paraId="7675E9B1" w14:textId="77777777" w:rsidR="00CC52C0" w:rsidRPr="00C516B0" w:rsidRDefault="00A01C2C">
            <w:pPr>
              <w:pStyle w:val="Paragraph"/>
              <w:jc w:val="left"/>
            </w:pPr>
            <w:r w:rsidRPr="00C516B0">
              <w:t>Name and status</w:t>
            </w:r>
          </w:p>
        </w:tc>
        <w:tc>
          <w:tcPr>
            <w:tcW w:w="3500" w:type="pct"/>
            <w:tcBorders>
              <w:top w:val="nil"/>
              <w:left w:val="nil"/>
              <w:bottom w:val="nil"/>
              <w:right w:val="nil"/>
            </w:tcBorders>
          </w:tcPr>
          <w:p w14:paraId="24932B94" w14:textId="77777777" w:rsidR="00CC52C0" w:rsidRPr="00C516B0" w:rsidRDefault="00A01C2C">
            <w:pPr>
              <w:pStyle w:val="Paragraph"/>
              <w:jc w:val="left"/>
            </w:pPr>
            <w:r w:rsidRPr="00C516B0">
              <w:t>_________________________________________</w:t>
            </w:r>
          </w:p>
        </w:tc>
      </w:tr>
      <w:tr w:rsidR="00492069" w:rsidRPr="00C516B0" w14:paraId="023C9163" w14:textId="77777777">
        <w:tc>
          <w:tcPr>
            <w:tcW w:w="1500" w:type="pct"/>
            <w:tcBorders>
              <w:top w:val="nil"/>
              <w:left w:val="nil"/>
              <w:bottom w:val="nil"/>
              <w:right w:val="nil"/>
            </w:tcBorders>
          </w:tcPr>
          <w:p w14:paraId="1D055C0D" w14:textId="77777777" w:rsidR="00CC52C0" w:rsidRPr="00C516B0" w:rsidRDefault="00A01C2C">
            <w:pPr>
              <w:pStyle w:val="Paragraph"/>
              <w:jc w:val="left"/>
            </w:pPr>
            <w:r w:rsidRPr="00C516B0">
              <w:t>Signature</w:t>
            </w:r>
          </w:p>
        </w:tc>
        <w:tc>
          <w:tcPr>
            <w:tcW w:w="3500" w:type="pct"/>
            <w:tcBorders>
              <w:top w:val="nil"/>
              <w:left w:val="nil"/>
              <w:bottom w:val="nil"/>
              <w:right w:val="nil"/>
            </w:tcBorders>
          </w:tcPr>
          <w:p w14:paraId="71A92D52" w14:textId="77777777" w:rsidR="00CC52C0" w:rsidRPr="00C516B0" w:rsidRDefault="00A01C2C">
            <w:pPr>
              <w:pStyle w:val="Paragraph"/>
              <w:jc w:val="left"/>
            </w:pPr>
            <w:r w:rsidRPr="00C516B0">
              <w:t>_________________________________________</w:t>
            </w:r>
          </w:p>
        </w:tc>
      </w:tr>
      <w:tr w:rsidR="00492069" w:rsidRPr="00C516B0" w14:paraId="78FF51E9" w14:textId="77777777">
        <w:tc>
          <w:tcPr>
            <w:tcW w:w="1500" w:type="pct"/>
            <w:tcBorders>
              <w:top w:val="nil"/>
              <w:left w:val="nil"/>
              <w:bottom w:val="nil"/>
              <w:right w:val="nil"/>
            </w:tcBorders>
          </w:tcPr>
          <w:p w14:paraId="68A23A56" w14:textId="77777777" w:rsidR="00CC52C0" w:rsidRPr="00C516B0" w:rsidRDefault="00A01C2C">
            <w:pPr>
              <w:pStyle w:val="Paragraph"/>
              <w:jc w:val="left"/>
            </w:pPr>
            <w:r w:rsidRPr="00C516B0">
              <w:t>Name and status</w:t>
            </w:r>
          </w:p>
        </w:tc>
        <w:tc>
          <w:tcPr>
            <w:tcW w:w="3500" w:type="pct"/>
            <w:tcBorders>
              <w:top w:val="nil"/>
              <w:left w:val="nil"/>
              <w:bottom w:val="nil"/>
              <w:right w:val="nil"/>
            </w:tcBorders>
          </w:tcPr>
          <w:p w14:paraId="32A4D800" w14:textId="77777777" w:rsidR="00CC52C0" w:rsidRPr="00C516B0" w:rsidRDefault="00A01C2C">
            <w:pPr>
              <w:pStyle w:val="Paragraph"/>
              <w:jc w:val="left"/>
            </w:pPr>
            <w:r w:rsidRPr="00C516B0">
              <w:t>_________________________________________</w:t>
            </w:r>
          </w:p>
        </w:tc>
      </w:tr>
      <w:tr w:rsidR="00492069" w:rsidRPr="00C516B0" w14:paraId="369DFCF3" w14:textId="77777777">
        <w:tc>
          <w:tcPr>
            <w:tcW w:w="1500" w:type="pct"/>
            <w:tcBorders>
              <w:top w:val="nil"/>
              <w:left w:val="nil"/>
              <w:bottom w:val="nil"/>
              <w:right w:val="nil"/>
            </w:tcBorders>
          </w:tcPr>
          <w:p w14:paraId="75F656A5" w14:textId="77777777" w:rsidR="00CC52C0" w:rsidRPr="00C516B0" w:rsidRDefault="00A01C2C">
            <w:pPr>
              <w:pStyle w:val="Paragraph"/>
              <w:jc w:val="left"/>
            </w:pPr>
            <w:r w:rsidRPr="00C516B0">
              <w:t>For and on behalf of</w:t>
            </w:r>
          </w:p>
        </w:tc>
        <w:tc>
          <w:tcPr>
            <w:tcW w:w="3500" w:type="pct"/>
            <w:tcBorders>
              <w:top w:val="nil"/>
              <w:left w:val="nil"/>
              <w:bottom w:val="nil"/>
              <w:right w:val="nil"/>
            </w:tcBorders>
          </w:tcPr>
          <w:p w14:paraId="0666F3A7" w14:textId="77777777" w:rsidR="00CC52C0" w:rsidRPr="00C516B0" w:rsidRDefault="00A01C2C">
            <w:pPr>
              <w:pStyle w:val="Paragraph"/>
              <w:jc w:val="left"/>
            </w:pPr>
            <w:r w:rsidRPr="00C516B0">
              <w:t>[NAME OF COMPANY, PARTNERS OR CONSORTIUM]</w:t>
            </w:r>
          </w:p>
        </w:tc>
      </w:tr>
    </w:tbl>
    <w:p w14:paraId="770D7030" w14:textId="77777777" w:rsidR="00CC52C0" w:rsidRDefault="00CC52C0">
      <w:pPr>
        <w:pStyle w:val="Paragraph"/>
        <w:rPr>
          <w:lang w:val="en-US"/>
        </w:rPr>
      </w:pPr>
    </w:p>
    <w:p w14:paraId="6F0DEEBE" w14:textId="77777777" w:rsidR="00A33097" w:rsidRDefault="00A33097">
      <w:pPr>
        <w:pStyle w:val="Paragraph"/>
        <w:rPr>
          <w:lang w:val="en-US"/>
        </w:rPr>
      </w:pPr>
    </w:p>
    <w:p w14:paraId="2B1B7CE6" w14:textId="77777777" w:rsidR="00A33097" w:rsidRDefault="00A33097">
      <w:pPr>
        <w:pStyle w:val="Paragraph"/>
        <w:rPr>
          <w:lang w:val="en-US"/>
        </w:rPr>
      </w:pPr>
    </w:p>
    <w:p w14:paraId="74D11F59" w14:textId="77777777" w:rsidR="00A33097" w:rsidRDefault="00A33097">
      <w:pPr>
        <w:pStyle w:val="Paragraph"/>
        <w:rPr>
          <w:lang w:val="en-US"/>
        </w:rPr>
      </w:pPr>
    </w:p>
    <w:p w14:paraId="1BD8C8D6" w14:textId="77777777" w:rsidR="00A33097" w:rsidRDefault="00A33097">
      <w:pPr>
        <w:pStyle w:val="Paragraph"/>
        <w:rPr>
          <w:lang w:val="en-US"/>
        </w:rPr>
      </w:pPr>
    </w:p>
    <w:p w14:paraId="1D4D2C6F" w14:textId="77777777" w:rsidR="00A33097" w:rsidRDefault="00A33097">
      <w:pPr>
        <w:pStyle w:val="Paragraph"/>
        <w:rPr>
          <w:lang w:val="en-US"/>
        </w:rPr>
      </w:pPr>
    </w:p>
    <w:p w14:paraId="7E7E9EB4" w14:textId="77777777" w:rsidR="005F62CC" w:rsidRDefault="005F62CC" w:rsidP="00F660D7">
      <w:pPr>
        <w:pStyle w:val="Schedule"/>
        <w:numPr>
          <w:ilvl w:val="0"/>
          <w:numId w:val="22"/>
        </w:numPr>
        <w:rPr>
          <w:rFonts w:ascii="Arial" w:hAnsi="Arial" w:cs="Arial"/>
          <w:color w:val="000000"/>
        </w:rPr>
        <w:sectPr w:rsidR="005F62CC">
          <w:pgSz w:w="12240" w:h="15840"/>
          <w:pgMar w:top="1440" w:right="1440" w:bottom="1440" w:left="1440" w:header="720" w:footer="720" w:gutter="0"/>
          <w:cols w:space="720"/>
        </w:sectPr>
      </w:pPr>
    </w:p>
    <w:p w14:paraId="10F75AB7" w14:textId="4F6484EA" w:rsidR="005F62CC" w:rsidRDefault="005F62CC" w:rsidP="005F62CC">
      <w:pPr>
        <w:pStyle w:val="Schedule"/>
        <w:numPr>
          <w:ilvl w:val="0"/>
          <w:numId w:val="22"/>
        </w:numPr>
        <w:rPr>
          <w:rFonts w:ascii="Arial" w:hAnsi="Arial" w:cs="Arial"/>
          <w:color w:val="000000"/>
        </w:rPr>
      </w:pPr>
      <w:r>
        <w:rPr>
          <w:rFonts w:ascii="Arial" w:hAnsi="Arial" w:cs="Arial"/>
          <w:color w:val="000000"/>
        </w:rPr>
        <w:lastRenderedPageBreak/>
        <w:t>Conflict of Interest Declaration</w:t>
      </w:r>
    </w:p>
    <w:p w14:paraId="6249D2C7" w14:textId="77777777" w:rsidR="00D82165" w:rsidRPr="00090355" w:rsidRDefault="00D82165" w:rsidP="00D82165">
      <w:pPr>
        <w:jc w:val="both"/>
        <w:rPr>
          <w:rFonts w:ascii="Arial" w:hAnsi="Arial" w:cs="Arial"/>
          <w:szCs w:val="20"/>
        </w:rPr>
      </w:pPr>
      <w:r w:rsidRPr="00090355">
        <w:rPr>
          <w:rFonts w:ascii="Arial" w:hAnsi="Arial" w:cs="Arial"/>
          <w:szCs w:val="20"/>
        </w:rPr>
        <w:t>I/We warrant that:</w:t>
      </w:r>
    </w:p>
    <w:p w14:paraId="45281980" w14:textId="77777777" w:rsidR="00D82165" w:rsidRPr="00090355" w:rsidRDefault="00D82165" w:rsidP="00D82165">
      <w:pPr>
        <w:jc w:val="both"/>
        <w:rPr>
          <w:rFonts w:ascii="Arial" w:hAnsi="Arial" w:cs="Arial"/>
          <w:szCs w:val="20"/>
        </w:rPr>
      </w:pPr>
    </w:p>
    <w:p w14:paraId="2E670AFC" w14:textId="77777777" w:rsidR="00D82165" w:rsidRPr="00090355" w:rsidRDefault="00D82165" w:rsidP="00D82165">
      <w:pPr>
        <w:pStyle w:val="ListParagraph"/>
        <w:numPr>
          <w:ilvl w:val="3"/>
          <w:numId w:val="69"/>
        </w:numPr>
        <w:spacing w:after="0"/>
        <w:ind w:left="567" w:hanging="567"/>
        <w:jc w:val="both"/>
        <w:rPr>
          <w:rFonts w:ascii="Arial" w:hAnsi="Arial" w:cs="Arial"/>
          <w:szCs w:val="20"/>
        </w:rPr>
      </w:pPr>
      <w:r w:rsidRPr="00090355">
        <w:rPr>
          <w:rFonts w:ascii="Arial" w:hAnsi="Arial" w:cs="Arial"/>
          <w:szCs w:val="20"/>
        </w:rPr>
        <w:t xml:space="preserve">There </w:t>
      </w:r>
      <w:r w:rsidRPr="00090355">
        <w:rPr>
          <w:rFonts w:ascii="Arial" w:hAnsi="Arial" w:cs="Arial"/>
          <w:b/>
          <w:szCs w:val="20"/>
        </w:rPr>
        <w:t>would be no</w:t>
      </w:r>
      <w:r w:rsidRPr="00090355">
        <w:rPr>
          <w:rFonts w:ascii="Arial" w:hAnsi="Arial" w:cs="Arial"/>
          <w:szCs w:val="20"/>
        </w:rPr>
        <w:t xml:space="preserve"> conflict or perceived conflict of interest in relation to the personnel or type of work involved in this contract.</w:t>
      </w:r>
    </w:p>
    <w:p w14:paraId="421D23F6" w14:textId="77777777" w:rsidR="00D82165" w:rsidRPr="00090355" w:rsidRDefault="00D82165" w:rsidP="00D82165">
      <w:pPr>
        <w:jc w:val="both"/>
        <w:rPr>
          <w:rFonts w:ascii="Arial" w:hAnsi="Arial" w:cs="Arial"/>
          <w:szCs w:val="20"/>
        </w:rPr>
      </w:pPr>
    </w:p>
    <w:p w14:paraId="25C32666" w14:textId="77777777" w:rsidR="00D82165" w:rsidRPr="00090355" w:rsidRDefault="00D82165" w:rsidP="00D82165">
      <w:pPr>
        <w:jc w:val="both"/>
        <w:rPr>
          <w:rFonts w:ascii="Arial" w:hAnsi="Arial" w:cs="Arial"/>
          <w:szCs w:val="20"/>
          <w:u w:val="single"/>
        </w:rPr>
      </w:pPr>
      <w:r w:rsidRPr="00090355">
        <w:rPr>
          <w:rFonts w:ascii="Arial" w:hAnsi="Arial" w:cs="Arial"/>
          <w:szCs w:val="20"/>
        </w:rPr>
        <w:t>Signed:</w:t>
      </w:r>
      <w:r w:rsidRPr="00090355">
        <w:rPr>
          <w:rFonts w:ascii="Arial" w:hAnsi="Arial" w:cs="Arial"/>
          <w:szCs w:val="20"/>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p>
    <w:p w14:paraId="4AA4DA57" w14:textId="77777777" w:rsidR="00D82165" w:rsidRPr="00090355" w:rsidRDefault="00D82165" w:rsidP="00D82165">
      <w:pPr>
        <w:jc w:val="both"/>
        <w:rPr>
          <w:rFonts w:ascii="Arial" w:hAnsi="Arial" w:cs="Arial"/>
          <w:szCs w:val="20"/>
        </w:rPr>
      </w:pPr>
    </w:p>
    <w:p w14:paraId="315919CB" w14:textId="77777777" w:rsidR="00D82165" w:rsidRPr="00090355" w:rsidRDefault="00D82165" w:rsidP="00D82165">
      <w:pPr>
        <w:jc w:val="both"/>
        <w:rPr>
          <w:rFonts w:ascii="Arial" w:hAnsi="Arial" w:cs="Arial"/>
          <w:szCs w:val="20"/>
          <w:u w:val="single"/>
        </w:rPr>
      </w:pPr>
      <w:r w:rsidRPr="00090355">
        <w:rPr>
          <w:rFonts w:ascii="Arial" w:hAnsi="Arial" w:cs="Arial"/>
          <w:szCs w:val="20"/>
        </w:rPr>
        <w:t>Position/Status:</w:t>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p>
    <w:p w14:paraId="423F4096" w14:textId="77777777" w:rsidR="00D82165" w:rsidRPr="00090355" w:rsidRDefault="00D82165" w:rsidP="00D82165">
      <w:pPr>
        <w:jc w:val="both"/>
        <w:rPr>
          <w:rFonts w:ascii="Arial" w:hAnsi="Arial" w:cs="Arial"/>
          <w:szCs w:val="20"/>
        </w:rPr>
      </w:pPr>
    </w:p>
    <w:p w14:paraId="0F9D8B0B" w14:textId="77777777" w:rsidR="00D82165" w:rsidRPr="00090355" w:rsidRDefault="00D82165" w:rsidP="00D82165">
      <w:pPr>
        <w:jc w:val="both"/>
        <w:rPr>
          <w:rFonts w:ascii="Arial" w:hAnsi="Arial" w:cs="Arial"/>
          <w:szCs w:val="20"/>
          <w:u w:val="single"/>
        </w:rPr>
      </w:pPr>
      <w:r w:rsidRPr="00090355">
        <w:rPr>
          <w:rFonts w:ascii="Arial" w:hAnsi="Arial" w:cs="Arial"/>
          <w:szCs w:val="20"/>
        </w:rPr>
        <w:t>Company Name:</w:t>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p>
    <w:p w14:paraId="29EBE297" w14:textId="77777777" w:rsidR="00D82165" w:rsidRPr="00090355" w:rsidRDefault="00D82165" w:rsidP="00D82165">
      <w:pPr>
        <w:jc w:val="both"/>
        <w:rPr>
          <w:rFonts w:ascii="Arial" w:hAnsi="Arial" w:cs="Arial"/>
          <w:szCs w:val="20"/>
        </w:rPr>
      </w:pPr>
    </w:p>
    <w:p w14:paraId="59607A2B" w14:textId="77777777" w:rsidR="00D82165" w:rsidRPr="00090355" w:rsidRDefault="00D82165" w:rsidP="00D82165">
      <w:pPr>
        <w:jc w:val="both"/>
        <w:rPr>
          <w:rFonts w:ascii="Arial" w:hAnsi="Arial" w:cs="Arial"/>
          <w:szCs w:val="20"/>
          <w:u w:val="single"/>
        </w:rPr>
      </w:pPr>
      <w:r w:rsidRPr="00090355">
        <w:rPr>
          <w:rFonts w:ascii="Arial" w:hAnsi="Arial" w:cs="Arial"/>
          <w:szCs w:val="20"/>
        </w:rPr>
        <w:t>Address:</w:t>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p>
    <w:p w14:paraId="653BB01E" w14:textId="77777777" w:rsidR="00D82165" w:rsidRPr="00090355" w:rsidRDefault="00D82165" w:rsidP="00D82165">
      <w:pPr>
        <w:jc w:val="both"/>
        <w:rPr>
          <w:rFonts w:ascii="Arial" w:hAnsi="Arial" w:cs="Arial"/>
          <w:szCs w:val="20"/>
        </w:rPr>
      </w:pPr>
    </w:p>
    <w:p w14:paraId="3DE04956" w14:textId="77777777" w:rsidR="00D82165" w:rsidRPr="00090355" w:rsidRDefault="00D82165" w:rsidP="00D82165">
      <w:pPr>
        <w:jc w:val="both"/>
        <w:rPr>
          <w:rFonts w:ascii="Arial" w:hAnsi="Arial" w:cs="Arial"/>
          <w:szCs w:val="20"/>
          <w:u w:val="single"/>
        </w:rPr>
      </w:pPr>
      <w:r w:rsidRPr="00090355">
        <w:rPr>
          <w:rFonts w:ascii="Arial" w:hAnsi="Arial" w:cs="Arial"/>
          <w:szCs w:val="20"/>
        </w:rPr>
        <w:t>Date Signed:</w:t>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p>
    <w:p w14:paraId="606A4B4C" w14:textId="77777777" w:rsidR="00D82165" w:rsidRPr="00090355" w:rsidRDefault="00D82165" w:rsidP="00D82165">
      <w:pPr>
        <w:jc w:val="both"/>
        <w:rPr>
          <w:rFonts w:ascii="Arial" w:hAnsi="Arial" w:cs="Arial"/>
          <w:szCs w:val="20"/>
        </w:rPr>
      </w:pPr>
    </w:p>
    <w:p w14:paraId="68D78164" w14:textId="77777777" w:rsidR="00D82165" w:rsidRPr="00090355" w:rsidRDefault="00D82165" w:rsidP="00D82165">
      <w:pPr>
        <w:jc w:val="both"/>
        <w:rPr>
          <w:rFonts w:ascii="Arial" w:hAnsi="Arial" w:cs="Arial"/>
          <w:szCs w:val="20"/>
        </w:rPr>
      </w:pPr>
    </w:p>
    <w:p w14:paraId="44DA76F3" w14:textId="77777777" w:rsidR="00D82165" w:rsidRPr="00090355" w:rsidRDefault="00D82165" w:rsidP="00D82165">
      <w:pPr>
        <w:jc w:val="both"/>
        <w:rPr>
          <w:rFonts w:ascii="Arial" w:hAnsi="Arial" w:cs="Arial"/>
          <w:b/>
          <w:szCs w:val="20"/>
          <w:u w:val="single"/>
        </w:rPr>
      </w:pPr>
      <w:r w:rsidRPr="00090355">
        <w:rPr>
          <w:rFonts w:ascii="Arial" w:hAnsi="Arial" w:cs="Arial"/>
          <w:b/>
          <w:szCs w:val="20"/>
          <w:u w:val="single"/>
        </w:rPr>
        <w:tab/>
      </w:r>
      <w:r w:rsidRPr="00090355">
        <w:rPr>
          <w:rFonts w:ascii="Arial" w:hAnsi="Arial" w:cs="Arial"/>
          <w:b/>
          <w:szCs w:val="20"/>
          <w:u w:val="single"/>
        </w:rPr>
        <w:tab/>
      </w:r>
      <w:r w:rsidRPr="00090355">
        <w:rPr>
          <w:rFonts w:ascii="Arial" w:hAnsi="Arial" w:cs="Arial"/>
          <w:b/>
          <w:szCs w:val="20"/>
          <w:u w:val="single"/>
        </w:rPr>
        <w:tab/>
      </w:r>
      <w:r w:rsidRPr="00090355">
        <w:rPr>
          <w:rFonts w:ascii="Arial" w:hAnsi="Arial" w:cs="Arial"/>
          <w:b/>
          <w:szCs w:val="20"/>
          <w:u w:val="single"/>
        </w:rPr>
        <w:tab/>
      </w:r>
      <w:r w:rsidRPr="00090355">
        <w:rPr>
          <w:rFonts w:ascii="Arial" w:hAnsi="Arial" w:cs="Arial"/>
          <w:b/>
          <w:szCs w:val="20"/>
          <w:u w:val="single"/>
        </w:rPr>
        <w:tab/>
      </w:r>
      <w:r w:rsidRPr="00090355">
        <w:rPr>
          <w:rFonts w:ascii="Arial" w:hAnsi="Arial" w:cs="Arial"/>
          <w:b/>
          <w:szCs w:val="20"/>
          <w:u w:val="single"/>
        </w:rPr>
        <w:tab/>
      </w:r>
      <w:r w:rsidRPr="00090355">
        <w:rPr>
          <w:rFonts w:ascii="Arial" w:hAnsi="Arial" w:cs="Arial"/>
          <w:b/>
          <w:szCs w:val="20"/>
          <w:u w:val="single"/>
        </w:rPr>
        <w:tab/>
      </w:r>
      <w:r w:rsidRPr="00090355">
        <w:rPr>
          <w:rFonts w:ascii="Arial" w:hAnsi="Arial" w:cs="Arial"/>
          <w:b/>
          <w:szCs w:val="20"/>
          <w:u w:val="single"/>
        </w:rPr>
        <w:tab/>
      </w:r>
      <w:r w:rsidRPr="00090355">
        <w:rPr>
          <w:rFonts w:ascii="Arial" w:hAnsi="Arial" w:cs="Arial"/>
          <w:b/>
          <w:szCs w:val="20"/>
          <w:u w:val="single"/>
        </w:rPr>
        <w:tab/>
      </w:r>
      <w:r w:rsidRPr="00090355">
        <w:rPr>
          <w:rFonts w:ascii="Arial" w:hAnsi="Arial" w:cs="Arial"/>
          <w:b/>
          <w:szCs w:val="20"/>
          <w:u w:val="single"/>
        </w:rPr>
        <w:tab/>
      </w:r>
      <w:r w:rsidRPr="00090355">
        <w:rPr>
          <w:rFonts w:ascii="Arial" w:hAnsi="Arial" w:cs="Arial"/>
          <w:b/>
          <w:szCs w:val="20"/>
          <w:u w:val="single"/>
        </w:rPr>
        <w:tab/>
      </w:r>
      <w:r w:rsidRPr="00090355">
        <w:rPr>
          <w:rFonts w:ascii="Arial" w:hAnsi="Arial" w:cs="Arial"/>
          <w:b/>
          <w:szCs w:val="20"/>
          <w:u w:val="single"/>
        </w:rPr>
        <w:tab/>
      </w:r>
    </w:p>
    <w:p w14:paraId="0C122F3B" w14:textId="77777777" w:rsidR="00D82165" w:rsidRPr="00090355" w:rsidRDefault="00D82165" w:rsidP="00D82165">
      <w:pPr>
        <w:jc w:val="both"/>
        <w:rPr>
          <w:rFonts w:ascii="Arial" w:hAnsi="Arial" w:cs="Arial"/>
          <w:szCs w:val="20"/>
        </w:rPr>
      </w:pPr>
    </w:p>
    <w:p w14:paraId="30AAB3F1" w14:textId="77777777" w:rsidR="00D82165" w:rsidRPr="00090355" w:rsidRDefault="00D82165" w:rsidP="00D82165">
      <w:pPr>
        <w:jc w:val="both"/>
        <w:rPr>
          <w:rFonts w:ascii="Arial" w:hAnsi="Arial" w:cs="Arial"/>
          <w:szCs w:val="20"/>
        </w:rPr>
      </w:pPr>
    </w:p>
    <w:p w14:paraId="1FC5DF4C" w14:textId="77777777" w:rsidR="00D82165" w:rsidRPr="00090355" w:rsidRDefault="00D82165" w:rsidP="00D82165">
      <w:pPr>
        <w:jc w:val="both"/>
        <w:rPr>
          <w:rFonts w:ascii="Arial" w:hAnsi="Arial" w:cs="Arial"/>
          <w:szCs w:val="20"/>
        </w:rPr>
      </w:pPr>
      <w:r w:rsidRPr="00090355">
        <w:rPr>
          <w:rFonts w:ascii="Arial" w:hAnsi="Arial" w:cs="Arial"/>
          <w:szCs w:val="20"/>
        </w:rPr>
        <w:t>I / We warrant that:</w:t>
      </w:r>
    </w:p>
    <w:p w14:paraId="051429AD" w14:textId="77777777" w:rsidR="00D82165" w:rsidRPr="00090355" w:rsidRDefault="00D82165" w:rsidP="00D82165">
      <w:pPr>
        <w:jc w:val="both"/>
        <w:rPr>
          <w:rFonts w:ascii="Arial" w:hAnsi="Arial" w:cs="Arial"/>
          <w:szCs w:val="20"/>
        </w:rPr>
      </w:pPr>
    </w:p>
    <w:p w14:paraId="718F74C3" w14:textId="77777777" w:rsidR="00D82165" w:rsidRPr="00090355" w:rsidRDefault="00D82165" w:rsidP="00D82165">
      <w:pPr>
        <w:pStyle w:val="ListParagraph"/>
        <w:numPr>
          <w:ilvl w:val="3"/>
          <w:numId w:val="69"/>
        </w:numPr>
        <w:spacing w:after="0"/>
        <w:ind w:left="567" w:hanging="567"/>
        <w:jc w:val="both"/>
        <w:rPr>
          <w:rFonts w:ascii="Arial" w:hAnsi="Arial" w:cs="Arial"/>
          <w:szCs w:val="20"/>
        </w:rPr>
      </w:pPr>
      <w:r w:rsidRPr="00090355">
        <w:rPr>
          <w:rFonts w:ascii="Arial" w:hAnsi="Arial" w:cs="Arial"/>
          <w:szCs w:val="20"/>
        </w:rPr>
        <w:t>There could be a possible conflict or perceived conflict of interest in relation to the personnel or type of work involved in this contract.</w:t>
      </w:r>
    </w:p>
    <w:p w14:paraId="277F4F68" w14:textId="77777777" w:rsidR="00D82165" w:rsidRPr="00090355" w:rsidRDefault="00D82165" w:rsidP="00D82165">
      <w:pPr>
        <w:ind w:left="567"/>
        <w:jc w:val="both"/>
        <w:rPr>
          <w:rFonts w:ascii="Arial" w:hAnsi="Arial" w:cs="Arial"/>
          <w:szCs w:val="20"/>
        </w:rPr>
      </w:pPr>
    </w:p>
    <w:p w14:paraId="5A161847" w14:textId="77777777" w:rsidR="00D82165" w:rsidRPr="00090355" w:rsidRDefault="00D82165" w:rsidP="00D82165">
      <w:pPr>
        <w:jc w:val="both"/>
        <w:rPr>
          <w:rFonts w:ascii="Arial" w:hAnsi="Arial" w:cs="Arial"/>
          <w:szCs w:val="20"/>
        </w:rPr>
      </w:pPr>
      <w:r w:rsidRPr="00090355">
        <w:rPr>
          <w:rFonts w:ascii="Arial" w:hAnsi="Arial" w:cs="Arial"/>
          <w:szCs w:val="20"/>
        </w:rPr>
        <w:t>Please explain what the possible conflict or perceived conflict of interest may be and who it relates to and how it could have an adverse effect on this contract.</w:t>
      </w:r>
    </w:p>
    <w:p w14:paraId="1CAE5148" w14:textId="77777777" w:rsidR="00D82165" w:rsidRPr="00090355" w:rsidRDefault="00D82165" w:rsidP="00D82165">
      <w:pPr>
        <w:jc w:val="both"/>
        <w:rPr>
          <w:rFonts w:ascii="Arial" w:hAnsi="Arial"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82165" w:rsidRPr="00090355" w14:paraId="6B5FD251" w14:textId="77777777" w:rsidTr="003F209B">
        <w:tc>
          <w:tcPr>
            <w:tcW w:w="9287" w:type="dxa"/>
          </w:tcPr>
          <w:p w14:paraId="667109CD" w14:textId="77777777" w:rsidR="00D82165" w:rsidRPr="00090355" w:rsidRDefault="00D82165" w:rsidP="003F209B">
            <w:pPr>
              <w:jc w:val="both"/>
              <w:rPr>
                <w:rFonts w:ascii="Arial" w:hAnsi="Arial" w:cs="Arial"/>
                <w:szCs w:val="20"/>
              </w:rPr>
            </w:pPr>
          </w:p>
          <w:p w14:paraId="1991E4BA" w14:textId="77777777" w:rsidR="00D82165" w:rsidRPr="00090355" w:rsidRDefault="00D82165" w:rsidP="003F209B">
            <w:pPr>
              <w:jc w:val="both"/>
              <w:rPr>
                <w:rFonts w:ascii="Arial" w:hAnsi="Arial" w:cs="Arial"/>
                <w:szCs w:val="20"/>
              </w:rPr>
            </w:pPr>
          </w:p>
          <w:p w14:paraId="0D007297" w14:textId="77777777" w:rsidR="00D82165" w:rsidRPr="00090355" w:rsidRDefault="00D82165" w:rsidP="003F209B">
            <w:pPr>
              <w:jc w:val="both"/>
              <w:rPr>
                <w:rFonts w:ascii="Arial" w:hAnsi="Arial" w:cs="Arial"/>
                <w:szCs w:val="20"/>
              </w:rPr>
            </w:pPr>
          </w:p>
          <w:p w14:paraId="6538B51D" w14:textId="77777777" w:rsidR="00D82165" w:rsidRPr="00090355" w:rsidRDefault="00D82165" w:rsidP="003F209B">
            <w:pPr>
              <w:jc w:val="both"/>
              <w:rPr>
                <w:rFonts w:ascii="Arial" w:hAnsi="Arial" w:cs="Arial"/>
                <w:szCs w:val="20"/>
              </w:rPr>
            </w:pPr>
          </w:p>
          <w:p w14:paraId="4B890475" w14:textId="77777777" w:rsidR="00D82165" w:rsidRPr="00090355" w:rsidRDefault="00D82165" w:rsidP="003F209B">
            <w:pPr>
              <w:jc w:val="both"/>
              <w:rPr>
                <w:rFonts w:ascii="Arial" w:hAnsi="Arial" w:cs="Arial"/>
                <w:szCs w:val="20"/>
              </w:rPr>
            </w:pPr>
          </w:p>
          <w:p w14:paraId="627CDE0F" w14:textId="77777777" w:rsidR="00D82165" w:rsidRPr="00090355" w:rsidRDefault="00D82165" w:rsidP="003F209B">
            <w:pPr>
              <w:jc w:val="both"/>
              <w:rPr>
                <w:rFonts w:ascii="Arial" w:hAnsi="Arial" w:cs="Arial"/>
                <w:szCs w:val="20"/>
              </w:rPr>
            </w:pPr>
          </w:p>
        </w:tc>
      </w:tr>
    </w:tbl>
    <w:p w14:paraId="56146AB4" w14:textId="77777777" w:rsidR="00D82165" w:rsidRPr="00090355" w:rsidRDefault="00D82165" w:rsidP="00D82165">
      <w:pPr>
        <w:jc w:val="both"/>
        <w:rPr>
          <w:rFonts w:ascii="Arial" w:hAnsi="Arial" w:cs="Arial"/>
          <w:szCs w:val="20"/>
        </w:rPr>
      </w:pPr>
    </w:p>
    <w:p w14:paraId="684E7034" w14:textId="77777777" w:rsidR="00D82165" w:rsidRPr="00090355" w:rsidRDefault="00D82165" w:rsidP="00D82165">
      <w:pPr>
        <w:jc w:val="both"/>
        <w:rPr>
          <w:rFonts w:ascii="Arial" w:hAnsi="Arial" w:cs="Arial"/>
          <w:szCs w:val="20"/>
        </w:rPr>
      </w:pPr>
    </w:p>
    <w:p w14:paraId="24335B8D" w14:textId="77777777" w:rsidR="00D82165" w:rsidRPr="00090355" w:rsidRDefault="00D82165" w:rsidP="00D82165">
      <w:pPr>
        <w:jc w:val="both"/>
        <w:rPr>
          <w:rFonts w:ascii="Arial" w:hAnsi="Arial" w:cs="Arial"/>
          <w:szCs w:val="20"/>
          <w:u w:val="single"/>
        </w:rPr>
      </w:pPr>
      <w:r w:rsidRPr="00090355">
        <w:rPr>
          <w:rFonts w:ascii="Arial" w:hAnsi="Arial" w:cs="Arial"/>
          <w:szCs w:val="20"/>
        </w:rPr>
        <w:t>Signed:</w:t>
      </w:r>
      <w:r w:rsidRPr="00090355">
        <w:rPr>
          <w:rFonts w:ascii="Arial" w:hAnsi="Arial" w:cs="Arial"/>
          <w:szCs w:val="20"/>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p>
    <w:p w14:paraId="614BEFD6" w14:textId="77777777" w:rsidR="00D82165" w:rsidRPr="00090355" w:rsidRDefault="00D82165" w:rsidP="00D82165">
      <w:pPr>
        <w:jc w:val="both"/>
        <w:rPr>
          <w:rFonts w:ascii="Arial" w:hAnsi="Arial" w:cs="Arial"/>
          <w:szCs w:val="20"/>
        </w:rPr>
      </w:pPr>
    </w:p>
    <w:p w14:paraId="393CC6C0" w14:textId="77777777" w:rsidR="00D82165" w:rsidRPr="00090355" w:rsidRDefault="00D82165" w:rsidP="00D82165">
      <w:pPr>
        <w:jc w:val="both"/>
        <w:rPr>
          <w:rFonts w:ascii="Arial" w:hAnsi="Arial" w:cs="Arial"/>
          <w:szCs w:val="20"/>
          <w:u w:val="single"/>
        </w:rPr>
      </w:pPr>
      <w:r w:rsidRPr="00090355">
        <w:rPr>
          <w:rFonts w:ascii="Arial" w:hAnsi="Arial" w:cs="Arial"/>
          <w:szCs w:val="20"/>
        </w:rPr>
        <w:t>Position/Status:</w:t>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p>
    <w:p w14:paraId="6BA17DB4" w14:textId="77777777" w:rsidR="00D82165" w:rsidRPr="00090355" w:rsidRDefault="00D82165" w:rsidP="00D82165">
      <w:pPr>
        <w:jc w:val="both"/>
        <w:rPr>
          <w:rFonts w:ascii="Arial" w:hAnsi="Arial" w:cs="Arial"/>
          <w:szCs w:val="20"/>
        </w:rPr>
      </w:pPr>
    </w:p>
    <w:p w14:paraId="2D6046F2" w14:textId="77777777" w:rsidR="00D82165" w:rsidRPr="00090355" w:rsidRDefault="00D82165" w:rsidP="00D82165">
      <w:pPr>
        <w:jc w:val="both"/>
        <w:rPr>
          <w:rFonts w:ascii="Arial" w:hAnsi="Arial" w:cs="Arial"/>
          <w:szCs w:val="20"/>
          <w:u w:val="single"/>
        </w:rPr>
      </w:pPr>
      <w:r w:rsidRPr="00090355">
        <w:rPr>
          <w:rFonts w:ascii="Arial" w:hAnsi="Arial" w:cs="Arial"/>
          <w:szCs w:val="20"/>
        </w:rPr>
        <w:t>Company Name:</w:t>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p>
    <w:p w14:paraId="618E82C3" w14:textId="77777777" w:rsidR="00D82165" w:rsidRPr="00090355" w:rsidRDefault="00D82165" w:rsidP="00D82165">
      <w:pPr>
        <w:jc w:val="both"/>
        <w:rPr>
          <w:rFonts w:ascii="Arial" w:hAnsi="Arial" w:cs="Arial"/>
          <w:szCs w:val="20"/>
        </w:rPr>
      </w:pPr>
    </w:p>
    <w:p w14:paraId="333B4C4E" w14:textId="77777777" w:rsidR="00D82165" w:rsidRPr="00090355" w:rsidRDefault="00D82165" w:rsidP="00D82165">
      <w:pPr>
        <w:jc w:val="both"/>
        <w:rPr>
          <w:rFonts w:ascii="Arial" w:hAnsi="Arial" w:cs="Arial"/>
          <w:szCs w:val="20"/>
          <w:u w:val="single"/>
        </w:rPr>
      </w:pPr>
      <w:r w:rsidRPr="00090355">
        <w:rPr>
          <w:rFonts w:ascii="Arial" w:hAnsi="Arial" w:cs="Arial"/>
          <w:szCs w:val="20"/>
        </w:rPr>
        <w:t>Address:</w:t>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p>
    <w:p w14:paraId="04EB2189" w14:textId="77777777" w:rsidR="00D82165" w:rsidRPr="00090355" w:rsidRDefault="00D82165" w:rsidP="00D82165">
      <w:pPr>
        <w:jc w:val="both"/>
        <w:rPr>
          <w:rFonts w:ascii="Arial" w:hAnsi="Arial" w:cs="Arial"/>
          <w:szCs w:val="20"/>
        </w:rPr>
      </w:pPr>
    </w:p>
    <w:p w14:paraId="4B72260A" w14:textId="77777777" w:rsidR="00D82165" w:rsidRPr="00090355" w:rsidRDefault="00D82165" w:rsidP="00D82165">
      <w:pPr>
        <w:jc w:val="both"/>
        <w:rPr>
          <w:rFonts w:ascii="Arial" w:hAnsi="Arial" w:cs="Arial"/>
          <w:szCs w:val="20"/>
          <w:u w:val="single"/>
        </w:rPr>
      </w:pPr>
      <w:r w:rsidRPr="00090355">
        <w:rPr>
          <w:rFonts w:ascii="Arial" w:hAnsi="Arial" w:cs="Arial"/>
          <w:szCs w:val="20"/>
        </w:rPr>
        <w:t>Date Signed:</w:t>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r w:rsidRPr="00090355">
        <w:rPr>
          <w:rFonts w:ascii="Arial" w:hAnsi="Arial" w:cs="Arial"/>
          <w:szCs w:val="20"/>
          <w:u w:val="single"/>
        </w:rPr>
        <w:tab/>
      </w:r>
    </w:p>
    <w:p w14:paraId="4FD5BB56" w14:textId="77777777" w:rsidR="005F62CC" w:rsidRDefault="005F62CC" w:rsidP="00090355">
      <w:pPr>
        <w:pStyle w:val="Schedule"/>
        <w:numPr>
          <w:ilvl w:val="0"/>
          <w:numId w:val="0"/>
        </w:numPr>
        <w:rPr>
          <w:rFonts w:ascii="Arial" w:hAnsi="Arial" w:cs="Arial"/>
          <w:color w:val="000000"/>
        </w:rPr>
        <w:sectPr w:rsidR="005F62CC">
          <w:pgSz w:w="12240" w:h="15840"/>
          <w:pgMar w:top="1440" w:right="1440" w:bottom="1440" w:left="1440" w:header="720" w:footer="720" w:gutter="0"/>
          <w:cols w:space="720"/>
        </w:sectPr>
      </w:pPr>
    </w:p>
    <w:p w14:paraId="046C0893" w14:textId="77777777" w:rsidR="00F660D7" w:rsidRDefault="00F660D7" w:rsidP="00F660D7">
      <w:pPr>
        <w:pStyle w:val="Schedule"/>
        <w:numPr>
          <w:ilvl w:val="0"/>
          <w:numId w:val="22"/>
        </w:numPr>
        <w:rPr>
          <w:rFonts w:ascii="Arial" w:hAnsi="Arial" w:cs="Arial"/>
          <w:color w:val="000000"/>
        </w:rPr>
      </w:pPr>
      <w:r>
        <w:rPr>
          <w:rFonts w:ascii="Arial" w:hAnsi="Arial" w:cs="Arial"/>
          <w:color w:val="000000"/>
        </w:rPr>
        <w:lastRenderedPageBreak/>
        <w:t>Construction Specific Requirements</w:t>
      </w:r>
    </w:p>
    <w:p w14:paraId="527E33C3" w14:textId="1FEC4CE6" w:rsidR="00F660D7" w:rsidRPr="00DD26CD" w:rsidRDefault="00F660D7" w:rsidP="00A036F6">
      <w:pPr>
        <w:pStyle w:val="ScheduleUntitledClause"/>
      </w:pPr>
      <w:r w:rsidRPr="00DD26CD">
        <w:t xml:space="preserve">The </w:t>
      </w:r>
      <w:r w:rsidR="00876BE7">
        <w:t>Project Manager</w:t>
      </w:r>
      <w:r w:rsidRPr="00DD26CD">
        <w:t xml:space="preserve"> shall have the right to inspect, copy or take extract of any Contractor’s site documentation if the operations or health and safety of the campus and its users is threatened or infringed.  </w:t>
      </w:r>
    </w:p>
    <w:p w14:paraId="4E94994E" w14:textId="00E7E112" w:rsidR="00F660D7" w:rsidRPr="00D8057A" w:rsidRDefault="00F660D7" w:rsidP="00A036F6">
      <w:pPr>
        <w:pStyle w:val="ScheduleUntitledClause"/>
      </w:pPr>
      <w:r w:rsidRPr="009F08AF">
        <w:t xml:space="preserve">The </w:t>
      </w:r>
      <w:r w:rsidR="00876BE7" w:rsidRPr="009F08AF">
        <w:t>Project Manager</w:t>
      </w:r>
      <w:r w:rsidRPr="009F08AF">
        <w:t xml:space="preserve"> may call a meeting with the Contractor’s Site Manager and their line management jointly or severally at any reasonable time or at any time in an emergency likely to affect the operational capability of the sites.</w:t>
      </w:r>
      <w:r w:rsidRPr="00D8057A">
        <w:t xml:space="preserve">  </w:t>
      </w:r>
    </w:p>
    <w:p w14:paraId="35CA1A88" w14:textId="62286A90" w:rsidR="00F660D7" w:rsidRPr="00F146DE" w:rsidRDefault="00F660D7" w:rsidP="00A036F6">
      <w:pPr>
        <w:pStyle w:val="ScheduleUntitledClause"/>
      </w:pPr>
      <w:r w:rsidRPr="00F146DE">
        <w:t xml:space="preserve">Only the </w:t>
      </w:r>
      <w:r w:rsidR="00DB336E">
        <w:t xml:space="preserve">Project Manager specified in the Contract </w:t>
      </w:r>
      <w:r w:rsidRPr="00F146DE">
        <w:t xml:space="preserve">shall have the authority to instruct the Contractor to undertake, cease or vary any activity within or appertaining to the </w:t>
      </w:r>
      <w:r w:rsidR="00726AAB">
        <w:t>W</w:t>
      </w:r>
      <w:r w:rsidRPr="00F146DE">
        <w:t xml:space="preserve">orks.  Any such instruction which gives rise or may give rise to an additional charge outside the terms of the contract shall be notified immediately verbally and confirmed in writing to the </w:t>
      </w:r>
      <w:r w:rsidR="00726AAB">
        <w:t xml:space="preserve">Project Manager </w:t>
      </w:r>
      <w:r w:rsidRPr="00F146DE">
        <w:t xml:space="preserve">within 48 hours. </w:t>
      </w:r>
    </w:p>
    <w:p w14:paraId="39109AFC" w14:textId="20D11A97" w:rsidR="00F660D7" w:rsidRPr="00F146DE" w:rsidRDefault="00671516" w:rsidP="00A036F6">
      <w:pPr>
        <w:pStyle w:val="ScheduleUntitledClause"/>
      </w:pPr>
      <w:r>
        <w:t xml:space="preserve">The Contractor shall </w:t>
      </w:r>
      <w:r w:rsidR="004B1F1A">
        <w:t>ensure that</w:t>
      </w:r>
      <w:r w:rsidR="00F660D7" w:rsidRPr="00F146DE">
        <w:t xml:space="preserve"> the management of all health and safety matters </w:t>
      </w:r>
      <w:r w:rsidR="004B1F1A">
        <w:t xml:space="preserve">is in accordance with </w:t>
      </w:r>
      <w:r w:rsidR="00C355D7">
        <w:t xml:space="preserve">the </w:t>
      </w:r>
      <w:r w:rsidR="00587B7D">
        <w:t>NEC EC</w:t>
      </w:r>
      <w:r w:rsidR="00A04E15">
        <w:t>C</w:t>
      </w:r>
      <w:r w:rsidR="00F660D7" w:rsidRPr="00F146DE">
        <w:t xml:space="preserve"> and in accordance with the College’s Health and Safety Policy as set out in Schedule 4</w:t>
      </w:r>
    </w:p>
    <w:p w14:paraId="17966F43" w14:textId="59F1F0F1" w:rsidR="00A974CD" w:rsidRPr="009F08AF" w:rsidRDefault="00A974CD" w:rsidP="00A036F6">
      <w:pPr>
        <w:pStyle w:val="ScheduleUntitledClause"/>
      </w:pPr>
      <w:r>
        <w:t>The Contractor shall e</w:t>
      </w:r>
      <w:r w:rsidR="00F660D7" w:rsidRPr="00F660D7">
        <w:t xml:space="preserve">ngage as appropriate with the </w:t>
      </w:r>
      <w:r>
        <w:t>Project Manager</w:t>
      </w:r>
      <w:r w:rsidR="00F660D7" w:rsidRPr="00F660D7">
        <w:t xml:space="preserve"> to always accommodate and respect the College’s operational activities </w:t>
      </w:r>
      <w:proofErr w:type="gramStart"/>
      <w:r w:rsidR="00F660D7" w:rsidRPr="00F660D7">
        <w:t>during the course of</w:t>
      </w:r>
      <w:proofErr w:type="gramEnd"/>
      <w:r w:rsidR="00F660D7" w:rsidRPr="00F660D7">
        <w:t xml:space="preserve"> the </w:t>
      </w:r>
      <w:r w:rsidR="00301415">
        <w:t>W</w:t>
      </w:r>
      <w:r w:rsidR="00F660D7" w:rsidRPr="00F660D7">
        <w:t>orks</w:t>
      </w:r>
    </w:p>
    <w:p w14:paraId="6681EE88" w14:textId="508EFE3D" w:rsidR="00F660D7" w:rsidRDefault="00D27B70" w:rsidP="00D27B70">
      <w:pPr>
        <w:pStyle w:val="ScheduleUntitledsubclause4"/>
        <w:ind w:left="720" w:hanging="720"/>
      </w:pPr>
      <w:r>
        <w:t>6.</w:t>
      </w:r>
      <w:r>
        <w:tab/>
      </w:r>
      <w:r w:rsidR="0049111E" w:rsidRPr="0049111E">
        <w:t xml:space="preserve">The Contractor always needs to maintain an environment conducive to teaching and learning where the work interfaces with normal activity of the College operation.  There should be minimum disruption caused by the Contractor’s staff, noise or other physical activities during these times where practically possible.  </w:t>
      </w:r>
    </w:p>
    <w:p w14:paraId="6D73D10A" w14:textId="0A10EBAC" w:rsidR="008445AB" w:rsidRDefault="00D27B70" w:rsidP="00D27B70">
      <w:pPr>
        <w:pStyle w:val="ScheduleUntitledsubclause4"/>
        <w:ind w:left="720" w:hanging="720"/>
      </w:pPr>
      <w:r>
        <w:t>7.</w:t>
      </w:r>
      <w:r>
        <w:tab/>
      </w:r>
      <w:r w:rsidR="00621D4B" w:rsidRPr="00621D4B">
        <w:t xml:space="preserve">The Contractor shall be responsible for ensuring that </w:t>
      </w:r>
      <w:r w:rsidR="00CB4F0F">
        <w:t>W</w:t>
      </w:r>
      <w:r w:rsidR="00621D4B" w:rsidRPr="00621D4B">
        <w:t xml:space="preserve">orks have the minimum impact to the College’s operations in areas outside of the contracted work area/s and to fully liaise with the </w:t>
      </w:r>
      <w:r w:rsidR="00CB4F0F">
        <w:t xml:space="preserve">Project Manager </w:t>
      </w:r>
      <w:r w:rsidR="00621D4B" w:rsidRPr="00621D4B">
        <w:t xml:space="preserve">ahead of all </w:t>
      </w:r>
      <w:r w:rsidR="00CB4F0F">
        <w:t>W</w:t>
      </w:r>
      <w:r w:rsidR="00621D4B" w:rsidRPr="00621D4B">
        <w:t xml:space="preserve">orks to enable any agreed limitations to services to be fully communicated to the College, </w:t>
      </w:r>
      <w:r w:rsidR="003C3430">
        <w:t xml:space="preserve">it’s Principalship, </w:t>
      </w:r>
      <w:r w:rsidR="00621D4B" w:rsidRPr="00621D4B">
        <w:t xml:space="preserve">staff and students as necessary a minimum of 48 hours in advance.  </w:t>
      </w:r>
    </w:p>
    <w:p w14:paraId="1A535E7C" w14:textId="42E29AE6" w:rsidR="00621D4B" w:rsidRDefault="00D27B70" w:rsidP="00D27B70">
      <w:pPr>
        <w:pStyle w:val="ScheduleUntitledsubclause4"/>
        <w:ind w:left="720" w:hanging="720"/>
      </w:pPr>
      <w:r>
        <w:t>8.</w:t>
      </w:r>
      <w:r>
        <w:tab/>
      </w:r>
      <w:r w:rsidR="00A35138" w:rsidRPr="00A35138">
        <w:t xml:space="preserve">The Contractor shall be responsible for co-ordinating the provision of any temporary plant, equipment systems or operational support to maintain uninterrupted environmental conditions.  </w:t>
      </w:r>
    </w:p>
    <w:p w14:paraId="037D9674" w14:textId="6902DA5D" w:rsidR="00A35138" w:rsidRPr="00AE562D" w:rsidRDefault="00D27B70" w:rsidP="00D27B70">
      <w:pPr>
        <w:pStyle w:val="ScheduleUntitledsubclause4"/>
        <w:ind w:left="720" w:hanging="720"/>
      </w:pPr>
      <w:r>
        <w:t>9.</w:t>
      </w:r>
      <w:r>
        <w:tab/>
      </w:r>
      <w:r w:rsidR="0011468D">
        <w:t xml:space="preserve">The Contractor shall inform the Project Manager </w:t>
      </w:r>
      <w:r w:rsidR="00922A30" w:rsidRPr="00922A30">
        <w:t xml:space="preserve">of any requirement to work outside of the operating hours of the College.  This will require agreement and appropriate arrangements to be implemented for access etc.  </w:t>
      </w:r>
    </w:p>
    <w:p w14:paraId="40DC047B" w14:textId="4A91D736" w:rsidR="00E7714B" w:rsidRDefault="00E7714B" w:rsidP="00E7714B">
      <w:pPr>
        <w:pStyle w:val="Schedule"/>
        <w:numPr>
          <w:ilvl w:val="0"/>
          <w:numId w:val="22"/>
        </w:numPr>
        <w:rPr>
          <w:rFonts w:ascii="Arial" w:hAnsi="Arial" w:cs="Arial"/>
          <w:color w:val="000000"/>
        </w:rPr>
      </w:pPr>
      <w:r>
        <w:rPr>
          <w:rFonts w:ascii="Arial" w:hAnsi="Arial" w:cs="Arial"/>
          <w:color w:val="000000"/>
        </w:rPr>
        <w:lastRenderedPageBreak/>
        <w:t xml:space="preserve">Contract Data Parts 1 and 2 for the Contractor to Complete </w:t>
      </w:r>
    </w:p>
    <w:p w14:paraId="755D6BF7" w14:textId="77777777" w:rsidR="00D02487" w:rsidRDefault="00D02487" w:rsidP="00D02487">
      <w:pPr>
        <w:pStyle w:val="Part"/>
        <w:numPr>
          <w:ilvl w:val="0"/>
          <w:numId w:val="0"/>
        </w:numPr>
      </w:pPr>
    </w:p>
    <w:p w14:paraId="695DAB29" w14:textId="1A75DB3B" w:rsidR="00D02487" w:rsidRPr="00D02487" w:rsidRDefault="00D02487" w:rsidP="00D02487">
      <w:pPr>
        <w:pStyle w:val="BodyText"/>
        <w:rPr>
          <w:rFonts w:ascii="Arial" w:hAnsi="Arial" w:cs="Arial"/>
        </w:rPr>
      </w:pPr>
      <w:r w:rsidRPr="00D02487">
        <w:rPr>
          <w:rFonts w:ascii="Arial" w:hAnsi="Arial" w:cs="Arial"/>
        </w:rPr>
        <w:t>Will be issued to Contractor’s week commencing 5</w:t>
      </w:r>
      <w:r w:rsidRPr="00D02487">
        <w:rPr>
          <w:rFonts w:ascii="Arial" w:hAnsi="Arial" w:cs="Arial"/>
          <w:vertAlign w:val="superscript"/>
        </w:rPr>
        <w:t>th</w:t>
      </w:r>
      <w:r w:rsidRPr="00D02487">
        <w:rPr>
          <w:rFonts w:ascii="Arial" w:hAnsi="Arial" w:cs="Arial"/>
        </w:rPr>
        <w:t xml:space="preserve"> January 2026</w:t>
      </w:r>
    </w:p>
    <w:p w14:paraId="27CE4E18" w14:textId="353511FD" w:rsidR="007905D4" w:rsidRPr="007905D4" w:rsidRDefault="007905D4" w:rsidP="00E7714B">
      <w:pPr>
        <w:pStyle w:val="Schedule"/>
        <w:numPr>
          <w:ilvl w:val="0"/>
          <w:numId w:val="0"/>
        </w:numPr>
      </w:pPr>
    </w:p>
    <w:sectPr w:rsidR="007905D4" w:rsidRPr="007905D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A003F" w14:textId="77777777" w:rsidR="00F92EF9" w:rsidRDefault="00F92EF9">
      <w:r>
        <w:separator/>
      </w:r>
    </w:p>
  </w:endnote>
  <w:endnote w:type="continuationSeparator" w:id="0">
    <w:p w14:paraId="082B1B01" w14:textId="77777777" w:rsidR="00F92EF9" w:rsidRDefault="00F92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enlo Regular">
    <w:altName w:val="Arial"/>
    <w:charset w:val="00"/>
    <w:family w:val="auto"/>
    <w:pitch w:val="variable"/>
    <w:sig w:usb0="00000000" w:usb1="D200F9FB" w:usb2="02000028"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C9023" w14:textId="70D6F686" w:rsidR="00C516B0" w:rsidRDefault="00C516B0" w:rsidP="00C516B0">
    <w:pPr>
      <w:pStyle w:val="Footer"/>
      <w:jc w:val="right"/>
    </w:pPr>
    <w:r>
      <w:t xml:space="preserve">Coleg y </w:t>
    </w:r>
    <w:proofErr w:type="spellStart"/>
    <w:r>
      <w:t>Cymoedd</w:t>
    </w:r>
    <w:proofErr w:type="spellEnd"/>
    <w:r>
      <w:t xml:space="preserve">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EED4B" w14:textId="77777777" w:rsidR="00492069" w:rsidRDefault="00A01C2C">
    <w:pPr>
      <w:jc w:val="center"/>
    </w:pPr>
    <w:r>
      <w:fldChar w:fldCharType="begin"/>
    </w:r>
    <w:r>
      <w:instrText>PAGE</w:instrText>
    </w:r>
    <w:r>
      <w:fldChar w:fldCharType="separate"/>
    </w:r>
    <w:r>
      <w:t>35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409A8" w14:textId="77777777" w:rsidR="00F92EF9" w:rsidRDefault="00F92EF9">
      <w:r>
        <w:separator/>
      </w:r>
    </w:p>
  </w:footnote>
  <w:footnote w:type="continuationSeparator" w:id="0">
    <w:p w14:paraId="08F69AC8" w14:textId="77777777" w:rsidR="00F92EF9" w:rsidRDefault="00F92E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EE4C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341F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307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6B884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DBC3A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5C45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6C03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457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B0CD8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BC83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1EF9E"/>
    <w:multiLevelType w:val="multilevel"/>
    <w:tmpl w:val="C09CC1CC"/>
    <w:lvl w:ilvl="0">
      <w:start w:val="1"/>
      <w:numFmt w:val="none"/>
      <w:pStyle w:val="DefinitionDescription"/>
      <w:lvlText w:val="%1"/>
      <w:lvlJc w:val="left"/>
      <w:pPr>
        <w:tabs>
          <w:tab w:val="num" w:pos="567"/>
        </w:tabs>
        <w:ind w:left="567" w:hanging="567"/>
      </w:pPr>
      <w:rPr>
        <w:rFonts w:cs="Times New Roman" w:hint="default"/>
      </w:rPr>
    </w:lvl>
    <w:lvl w:ilvl="1">
      <w:start w:val="1"/>
      <w:numFmt w:val="lowerLetter"/>
      <w:pStyle w:val="Definition1"/>
      <w:lvlText w:val="(%2)"/>
      <w:lvlJc w:val="left"/>
      <w:pPr>
        <w:tabs>
          <w:tab w:val="num" w:pos="1247"/>
        </w:tabs>
        <w:ind w:left="1247" w:hanging="680"/>
      </w:pPr>
      <w:rPr>
        <w:rFonts w:ascii="Georgia" w:hAnsi="Georgia" w:cs="Times New Roman" w:hint="default"/>
        <w:b w:val="0"/>
        <w:bCs w:val="0"/>
        <w:i w:val="0"/>
        <w:iCs w:val="0"/>
        <w:caps w:val="0"/>
        <w:smallCaps w:val="0"/>
        <w:strike w:val="0"/>
        <w:dstrike w:val="0"/>
        <w:noProof w:val="0"/>
        <w:vanish w:val="0"/>
        <w:color w:val="000000"/>
        <w:spacing w:val="0"/>
        <w:kern w:val="0"/>
        <w:position w:val="0"/>
        <w:sz w:val="18"/>
        <w:u w:val="none"/>
        <w:effect w:val="none"/>
        <w:vertAlign w:val="baseline"/>
        <w:specVanish w:val="0"/>
      </w:rPr>
    </w:lvl>
    <w:lvl w:ilvl="2">
      <w:start w:val="1"/>
      <w:numFmt w:val="lowerRoman"/>
      <w:pStyle w:val="Definition2"/>
      <w:lvlText w:val="(%3)"/>
      <w:lvlJc w:val="left"/>
      <w:pPr>
        <w:tabs>
          <w:tab w:val="num" w:pos="1673"/>
        </w:tabs>
        <w:ind w:left="1673" w:hanging="426"/>
      </w:pPr>
      <w:rPr>
        <w:rFonts w:ascii="Georgia" w:hAnsi="Georgia" w:hint="default"/>
        <w:b w:val="0"/>
        <w:bCs w:val="0"/>
        <w:i w:val="0"/>
        <w:iCs w:val="0"/>
        <w:caps w:val="0"/>
        <w:smallCaps w:val="0"/>
        <w:strike w:val="0"/>
        <w:dstrike w:val="0"/>
        <w:noProof w:val="0"/>
        <w:vanish w:val="0"/>
        <w:color w:val="000000"/>
        <w:spacing w:val="0"/>
        <w:kern w:val="0"/>
        <w:position w:val="0"/>
        <w:sz w:val="18"/>
        <w:u w:val="none"/>
        <w:effect w:val="none"/>
        <w:vertAlign w:val="baseline"/>
        <w:specVanish w:val="0"/>
      </w:rPr>
    </w:lvl>
    <w:lvl w:ilvl="3">
      <w:start w:val="1"/>
      <w:numFmt w:val="upperLetter"/>
      <w:pStyle w:val="Definition3"/>
      <w:lvlText w:val="(%4)"/>
      <w:lvlJc w:val="left"/>
      <w:pPr>
        <w:tabs>
          <w:tab w:val="num" w:pos="2098"/>
        </w:tabs>
        <w:ind w:left="2098" w:hanging="425"/>
      </w:pPr>
      <w:rPr>
        <w:rFonts w:ascii="Century Gothic" w:hAnsi="Century Gothic" w:cs="Times New Roman" w:hint="default"/>
        <w:b w:val="0"/>
        <w:bCs w:val="0"/>
        <w:i w:val="0"/>
        <w:iCs w:val="0"/>
        <w:caps w:val="0"/>
        <w:smallCaps w:val="0"/>
        <w:strike w:val="0"/>
        <w:dstrike w:val="0"/>
        <w:noProof w:val="0"/>
        <w:vanish w:val="0"/>
        <w:color w:val="000000"/>
        <w:spacing w:val="0"/>
        <w:kern w:val="0"/>
        <w:position w:val="0"/>
        <w:sz w:val="18"/>
        <w:u w:val="none"/>
        <w:effect w:val="none"/>
        <w:vertAlign w:val="baseline"/>
        <w:specVanish w:val="0"/>
      </w:rPr>
    </w:lvl>
    <w:lvl w:ilvl="4">
      <w:start w:val="1"/>
      <w:numFmt w:val="upperRoman"/>
      <w:lvlText w:val="(%5)"/>
      <w:lvlJc w:val="left"/>
      <w:pPr>
        <w:tabs>
          <w:tab w:val="num" w:pos="1247"/>
        </w:tabs>
        <w:ind w:left="1673" w:hanging="426"/>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1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color w:val="000000"/>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7253412"/>
    <w:multiLevelType w:val="hybridMultilevel"/>
    <w:tmpl w:val="960CC850"/>
    <w:lvl w:ilvl="0" w:tplc="E2BCFDA0">
      <w:start w:val="1"/>
      <w:numFmt w:val="bullet"/>
      <w:pStyle w:val="DefinedTermBullet"/>
      <w:lvlText w:val=""/>
      <w:lvlJc w:val="left"/>
      <w:pPr>
        <w:ind w:left="1440" w:hanging="360"/>
      </w:pPr>
      <w:rPr>
        <w:rFonts w:ascii="Symbol" w:hAnsi="Symbol" w:hint="default"/>
        <w:color w:val="000000"/>
      </w:rPr>
    </w:lvl>
    <w:lvl w:ilvl="1" w:tplc="964A16A0" w:tentative="1">
      <w:start w:val="1"/>
      <w:numFmt w:val="bullet"/>
      <w:lvlText w:val="o"/>
      <w:lvlJc w:val="left"/>
      <w:pPr>
        <w:ind w:left="2160" w:hanging="360"/>
      </w:pPr>
      <w:rPr>
        <w:rFonts w:ascii="Courier New" w:hAnsi="Courier New" w:cs="Courier New" w:hint="default"/>
      </w:rPr>
    </w:lvl>
    <w:lvl w:ilvl="2" w:tplc="3BEC39EC" w:tentative="1">
      <w:start w:val="1"/>
      <w:numFmt w:val="bullet"/>
      <w:lvlText w:val=""/>
      <w:lvlJc w:val="left"/>
      <w:pPr>
        <w:ind w:left="2880" w:hanging="360"/>
      </w:pPr>
      <w:rPr>
        <w:rFonts w:ascii="Wingdings" w:hAnsi="Wingdings" w:hint="default"/>
      </w:rPr>
    </w:lvl>
    <w:lvl w:ilvl="3" w:tplc="886AEF0A" w:tentative="1">
      <w:start w:val="1"/>
      <w:numFmt w:val="bullet"/>
      <w:lvlText w:val=""/>
      <w:lvlJc w:val="left"/>
      <w:pPr>
        <w:ind w:left="3600" w:hanging="360"/>
      </w:pPr>
      <w:rPr>
        <w:rFonts w:ascii="Symbol" w:hAnsi="Symbol" w:hint="default"/>
      </w:rPr>
    </w:lvl>
    <w:lvl w:ilvl="4" w:tplc="16F29C10" w:tentative="1">
      <w:start w:val="1"/>
      <w:numFmt w:val="bullet"/>
      <w:lvlText w:val="o"/>
      <w:lvlJc w:val="left"/>
      <w:pPr>
        <w:ind w:left="4320" w:hanging="360"/>
      </w:pPr>
      <w:rPr>
        <w:rFonts w:ascii="Courier New" w:hAnsi="Courier New" w:cs="Courier New" w:hint="default"/>
      </w:rPr>
    </w:lvl>
    <w:lvl w:ilvl="5" w:tplc="9EF6E5CE" w:tentative="1">
      <w:start w:val="1"/>
      <w:numFmt w:val="bullet"/>
      <w:lvlText w:val=""/>
      <w:lvlJc w:val="left"/>
      <w:pPr>
        <w:ind w:left="5040" w:hanging="360"/>
      </w:pPr>
      <w:rPr>
        <w:rFonts w:ascii="Wingdings" w:hAnsi="Wingdings" w:hint="default"/>
      </w:rPr>
    </w:lvl>
    <w:lvl w:ilvl="6" w:tplc="A6AA6258" w:tentative="1">
      <w:start w:val="1"/>
      <w:numFmt w:val="bullet"/>
      <w:lvlText w:val=""/>
      <w:lvlJc w:val="left"/>
      <w:pPr>
        <w:ind w:left="5760" w:hanging="360"/>
      </w:pPr>
      <w:rPr>
        <w:rFonts w:ascii="Symbol" w:hAnsi="Symbol" w:hint="default"/>
      </w:rPr>
    </w:lvl>
    <w:lvl w:ilvl="7" w:tplc="3430805E" w:tentative="1">
      <w:start w:val="1"/>
      <w:numFmt w:val="bullet"/>
      <w:lvlText w:val="o"/>
      <w:lvlJc w:val="left"/>
      <w:pPr>
        <w:ind w:left="6480" w:hanging="360"/>
      </w:pPr>
      <w:rPr>
        <w:rFonts w:ascii="Courier New" w:hAnsi="Courier New" w:cs="Courier New" w:hint="default"/>
      </w:rPr>
    </w:lvl>
    <w:lvl w:ilvl="8" w:tplc="13F4D96C" w:tentative="1">
      <w:start w:val="1"/>
      <w:numFmt w:val="bullet"/>
      <w:lvlText w:val=""/>
      <w:lvlJc w:val="left"/>
      <w:pPr>
        <w:ind w:left="7200" w:hanging="360"/>
      </w:pPr>
      <w:rPr>
        <w:rFonts w:ascii="Wingdings" w:hAnsi="Wingdings" w:hint="default"/>
      </w:rPr>
    </w:lvl>
  </w:abstractNum>
  <w:abstractNum w:abstractNumId="13" w15:restartNumberingAfterBreak="0">
    <w:nsid w:val="072E6AA6"/>
    <w:multiLevelType w:val="hybridMultilevel"/>
    <w:tmpl w:val="8BCC9C08"/>
    <w:lvl w:ilvl="0" w:tplc="66DA11E0">
      <w:start w:val="1"/>
      <w:numFmt w:val="bullet"/>
      <w:pStyle w:val="BulletList3"/>
      <w:lvlText w:val=""/>
      <w:lvlJc w:val="left"/>
      <w:pPr>
        <w:tabs>
          <w:tab w:val="num" w:pos="1945"/>
        </w:tabs>
        <w:ind w:left="1945" w:hanging="357"/>
      </w:pPr>
      <w:rPr>
        <w:rFonts w:ascii="Symbol" w:hAnsi="Symbol" w:hint="default"/>
      </w:rPr>
    </w:lvl>
    <w:lvl w:ilvl="1" w:tplc="239A11BA" w:tentative="1">
      <w:start w:val="1"/>
      <w:numFmt w:val="bullet"/>
      <w:lvlText w:val="o"/>
      <w:lvlJc w:val="left"/>
      <w:pPr>
        <w:tabs>
          <w:tab w:val="num" w:pos="1440"/>
        </w:tabs>
        <w:ind w:left="1440" w:hanging="360"/>
      </w:pPr>
      <w:rPr>
        <w:rFonts w:ascii="Courier New" w:hAnsi="Courier New" w:cs="Courier New" w:hint="default"/>
      </w:rPr>
    </w:lvl>
    <w:lvl w:ilvl="2" w:tplc="5D3E7F86" w:tentative="1">
      <w:start w:val="1"/>
      <w:numFmt w:val="bullet"/>
      <w:lvlText w:val=""/>
      <w:lvlJc w:val="left"/>
      <w:pPr>
        <w:tabs>
          <w:tab w:val="num" w:pos="2160"/>
        </w:tabs>
        <w:ind w:left="2160" w:hanging="360"/>
      </w:pPr>
      <w:rPr>
        <w:rFonts w:ascii="Wingdings" w:hAnsi="Wingdings" w:hint="default"/>
      </w:rPr>
    </w:lvl>
    <w:lvl w:ilvl="3" w:tplc="AF32B582" w:tentative="1">
      <w:start w:val="1"/>
      <w:numFmt w:val="bullet"/>
      <w:lvlText w:val=""/>
      <w:lvlJc w:val="left"/>
      <w:pPr>
        <w:tabs>
          <w:tab w:val="num" w:pos="2880"/>
        </w:tabs>
        <w:ind w:left="2880" w:hanging="360"/>
      </w:pPr>
      <w:rPr>
        <w:rFonts w:ascii="Symbol" w:hAnsi="Symbol" w:hint="default"/>
      </w:rPr>
    </w:lvl>
    <w:lvl w:ilvl="4" w:tplc="CD5CF8A4" w:tentative="1">
      <w:start w:val="1"/>
      <w:numFmt w:val="bullet"/>
      <w:lvlText w:val="o"/>
      <w:lvlJc w:val="left"/>
      <w:pPr>
        <w:tabs>
          <w:tab w:val="num" w:pos="3600"/>
        </w:tabs>
        <w:ind w:left="3600" w:hanging="360"/>
      </w:pPr>
      <w:rPr>
        <w:rFonts w:ascii="Courier New" w:hAnsi="Courier New" w:cs="Courier New" w:hint="default"/>
      </w:rPr>
    </w:lvl>
    <w:lvl w:ilvl="5" w:tplc="3C76CBB2" w:tentative="1">
      <w:start w:val="1"/>
      <w:numFmt w:val="bullet"/>
      <w:lvlText w:val=""/>
      <w:lvlJc w:val="left"/>
      <w:pPr>
        <w:tabs>
          <w:tab w:val="num" w:pos="4320"/>
        </w:tabs>
        <w:ind w:left="4320" w:hanging="360"/>
      </w:pPr>
      <w:rPr>
        <w:rFonts w:ascii="Wingdings" w:hAnsi="Wingdings" w:hint="default"/>
      </w:rPr>
    </w:lvl>
    <w:lvl w:ilvl="6" w:tplc="10B8BE4C" w:tentative="1">
      <w:start w:val="1"/>
      <w:numFmt w:val="bullet"/>
      <w:lvlText w:val=""/>
      <w:lvlJc w:val="left"/>
      <w:pPr>
        <w:tabs>
          <w:tab w:val="num" w:pos="5040"/>
        </w:tabs>
        <w:ind w:left="5040" w:hanging="360"/>
      </w:pPr>
      <w:rPr>
        <w:rFonts w:ascii="Symbol" w:hAnsi="Symbol" w:hint="default"/>
      </w:rPr>
    </w:lvl>
    <w:lvl w:ilvl="7" w:tplc="DE0273D6" w:tentative="1">
      <w:start w:val="1"/>
      <w:numFmt w:val="bullet"/>
      <w:lvlText w:val="o"/>
      <w:lvlJc w:val="left"/>
      <w:pPr>
        <w:tabs>
          <w:tab w:val="num" w:pos="5760"/>
        </w:tabs>
        <w:ind w:left="5760" w:hanging="360"/>
      </w:pPr>
      <w:rPr>
        <w:rFonts w:ascii="Courier New" w:hAnsi="Courier New" w:cs="Courier New" w:hint="default"/>
      </w:rPr>
    </w:lvl>
    <w:lvl w:ilvl="8" w:tplc="6BF62B0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5735BF"/>
    <w:multiLevelType w:val="hybridMultilevel"/>
    <w:tmpl w:val="530696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ACD133A"/>
    <w:multiLevelType w:val="hybridMultilevel"/>
    <w:tmpl w:val="7D44263A"/>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16" w15:restartNumberingAfterBreak="0">
    <w:nsid w:val="0ACE2B71"/>
    <w:multiLevelType w:val="hybridMultilevel"/>
    <w:tmpl w:val="9A5AEDC8"/>
    <w:lvl w:ilvl="0" w:tplc="BCF46B0A">
      <w:start w:val="9"/>
      <w:numFmt w:val="lowerLetter"/>
      <w:lvlText w:val="%1)"/>
      <w:lvlJc w:val="left"/>
      <w:pPr>
        <w:tabs>
          <w:tab w:val="num" w:pos="1230"/>
        </w:tabs>
        <w:ind w:left="1230" w:hanging="8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40D746"/>
    <w:multiLevelType w:val="multilevel"/>
    <w:tmpl w:val="BC0A43D8"/>
    <w:styleLink w:val="Style2"/>
    <w:lvl w:ilvl="0">
      <w:start w:val="1"/>
      <w:numFmt w:val="none"/>
      <w:lvlText w:val="%1"/>
      <w:lvlJc w:val="left"/>
      <w:pPr>
        <w:tabs>
          <w:tab w:val="num" w:pos="567"/>
        </w:tabs>
        <w:ind w:left="567" w:hanging="567"/>
      </w:pPr>
      <w:rPr>
        <w:rFonts w:ascii="Georgia" w:hAnsi="Georgia" w:cs="Times New Roman"/>
        <w:sz w:val="18"/>
      </w:rPr>
    </w:lvl>
    <w:lvl w:ilvl="1">
      <w:start w:val="1"/>
      <w:numFmt w:val="lowerLetter"/>
      <w:lvlText w:val="(%2)"/>
      <w:lvlJc w:val="left"/>
      <w:pPr>
        <w:tabs>
          <w:tab w:val="num" w:pos="1247"/>
        </w:tabs>
        <w:ind w:left="1247" w:hanging="680"/>
      </w:pPr>
      <w:rPr>
        <w:rFonts w:ascii="Georgia" w:hAnsi="Georgia" w:cs="Times New Roman" w:hint="default"/>
        <w:b w:val="0"/>
        <w:bCs w:val="0"/>
        <w:i w:val="0"/>
        <w:iCs w:val="0"/>
        <w:caps w:val="0"/>
        <w:smallCaps w:val="0"/>
        <w:strike w:val="0"/>
        <w:dstrike w:val="0"/>
        <w:noProof w:val="0"/>
        <w:vanish w:val="0"/>
        <w:color w:val="000000"/>
        <w:spacing w:val="0"/>
        <w:kern w:val="0"/>
        <w:position w:val="0"/>
        <w:sz w:val="18"/>
        <w:u w:val="none"/>
        <w:effect w:val="none"/>
        <w:vertAlign w:val="baseline"/>
        <w:specVanish w:val="0"/>
      </w:rPr>
    </w:lvl>
    <w:lvl w:ilvl="2">
      <w:start w:val="1"/>
      <w:numFmt w:val="lowerRoman"/>
      <w:lvlText w:val="(%3)"/>
      <w:lvlJc w:val="left"/>
      <w:pPr>
        <w:tabs>
          <w:tab w:val="num" w:pos="1673"/>
        </w:tabs>
        <w:ind w:left="1673" w:hanging="29"/>
      </w:pPr>
      <w:rPr>
        <w:rFonts w:ascii="Georgia" w:hAnsi="Georgia" w:hint="default"/>
        <w:b w:val="0"/>
        <w:bCs w:val="0"/>
        <w:i w:val="0"/>
        <w:iCs w:val="0"/>
        <w:caps w:val="0"/>
        <w:smallCaps w:val="0"/>
        <w:strike w:val="0"/>
        <w:dstrike w:val="0"/>
        <w:noProof w:val="0"/>
        <w:vanish w:val="0"/>
        <w:color w:val="000000"/>
        <w:spacing w:val="0"/>
        <w:kern w:val="0"/>
        <w:position w:val="0"/>
        <w:sz w:val="18"/>
        <w:u w:val="none"/>
        <w:effect w:val="none"/>
        <w:vertAlign w:val="baseline"/>
        <w:specVanish w:val="0"/>
      </w:rPr>
    </w:lvl>
    <w:lvl w:ilvl="3">
      <w:start w:val="1"/>
      <w:numFmt w:val="upperLetter"/>
      <w:lvlText w:val="(%4)"/>
      <w:lvlJc w:val="left"/>
      <w:pPr>
        <w:tabs>
          <w:tab w:val="num" w:pos="1247"/>
        </w:tabs>
        <w:ind w:left="1673" w:hanging="426"/>
      </w:pPr>
      <w:rPr>
        <w:rFonts w:ascii="Century Gothic" w:hAnsi="Century Gothic" w:cs="Times New Roman" w:hint="default"/>
        <w:b w:val="0"/>
        <w:bCs w:val="0"/>
        <w:i w:val="0"/>
        <w:iCs w:val="0"/>
        <w:caps w:val="0"/>
        <w:smallCaps w:val="0"/>
        <w:strike w:val="0"/>
        <w:dstrike w:val="0"/>
        <w:noProof w:val="0"/>
        <w:vanish w:val="0"/>
        <w:color w:val="000000"/>
        <w:spacing w:val="0"/>
        <w:kern w:val="0"/>
        <w:position w:val="0"/>
        <w:sz w:val="18"/>
        <w:u w:val="none"/>
        <w:effect w:val="none"/>
        <w:vertAlign w:val="baseline"/>
        <w:specVanish w:val="0"/>
      </w:rPr>
    </w:lvl>
    <w:lvl w:ilvl="4">
      <w:start w:val="1"/>
      <w:numFmt w:val="upperRoman"/>
      <w:lvlText w:val="(%5)"/>
      <w:lvlJc w:val="left"/>
      <w:pPr>
        <w:tabs>
          <w:tab w:val="num" w:pos="1247"/>
        </w:tabs>
        <w:ind w:left="1673" w:hanging="426"/>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18" w15:restartNumberingAfterBreak="0">
    <w:nsid w:val="11825EA9"/>
    <w:multiLevelType w:val="multilevel"/>
    <w:tmpl w:val="B5EA651E"/>
    <w:lvl w:ilvl="0">
      <w:start w:val="1"/>
      <w:numFmt w:val="decimal"/>
      <w:lvlText w:val="Schedule %1"/>
      <w:lvlJc w:val="left"/>
      <w:pPr>
        <w:ind w:left="360" w:hanging="360"/>
      </w:pPr>
      <w:rPr>
        <w:rFonts w:hint="default"/>
        <w:color w:val="000000"/>
      </w:rPr>
    </w:lvl>
    <w:lvl w:ilvl="1">
      <w:start w:val="1"/>
      <w:numFmt w:val="decimal"/>
      <w:lvlText w:val="Part %2"/>
      <w:lvlJc w:val="left"/>
      <w:pPr>
        <w:ind w:left="357" w:hanging="357"/>
      </w:pPr>
      <w:rPr>
        <w:rFonts w:hint="default"/>
      </w:rPr>
    </w:lvl>
    <w:lvl w:ilvl="2">
      <w:start w:val="1"/>
      <w:numFmt w:val="decimal"/>
      <w:pStyle w:val="ScheduleTitleClause"/>
      <w:lvlText w:val="%3."/>
      <w:lvlJc w:val="left"/>
      <w:pPr>
        <w:tabs>
          <w:tab w:val="num" w:pos="720"/>
        </w:tabs>
        <w:ind w:left="720" w:hanging="720"/>
      </w:pPr>
      <w:rPr>
        <w:rFonts w:hint="default"/>
      </w:rPr>
    </w:lvl>
    <w:lvl w:ilvl="3">
      <w:start w:val="1"/>
      <w:numFmt w:val="decimal"/>
      <w:pStyle w:val="ScheduleUntitledsubclause1"/>
      <w:lvlText w:val="%3.%4"/>
      <w:lvlJc w:val="left"/>
      <w:pPr>
        <w:tabs>
          <w:tab w:val="num" w:pos="720"/>
        </w:tabs>
        <w:ind w:left="720" w:hanging="720"/>
      </w:pPr>
      <w:rPr>
        <w:rFonts w:hint="default"/>
      </w:rPr>
    </w:lvl>
    <w:lvl w:ilvl="4">
      <w:start w:val="1"/>
      <w:numFmt w:val="lowerLetter"/>
      <w:pStyle w:val="ScheduleUntitledsubclause2"/>
      <w:lvlText w:val="(%5)"/>
      <w:lvlJc w:val="left"/>
      <w:pPr>
        <w:tabs>
          <w:tab w:val="num" w:pos="1555"/>
        </w:tabs>
        <w:ind w:left="1555" w:hanging="561"/>
      </w:pPr>
      <w:rPr>
        <w:rFonts w:hint="default"/>
      </w:rPr>
    </w:lvl>
    <w:lvl w:ilvl="5">
      <w:start w:val="1"/>
      <w:numFmt w:val="lowerRoman"/>
      <w:pStyle w:val="ScheduleUntitledsubclause3"/>
      <w:lvlText w:val="(%6)"/>
      <w:lvlJc w:val="left"/>
      <w:pPr>
        <w:tabs>
          <w:tab w:val="num" w:pos="2419"/>
        </w:tabs>
        <w:ind w:left="2275" w:hanging="576"/>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2DD56CF"/>
    <w:multiLevelType w:val="hybridMultilevel"/>
    <w:tmpl w:val="0890F9D2"/>
    <w:lvl w:ilvl="0" w:tplc="3B5A3462">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13E42BD8"/>
    <w:multiLevelType w:val="multilevel"/>
    <w:tmpl w:val="8AEC0E34"/>
    <w:lvl w:ilvl="0">
      <w:start w:val="1"/>
      <w:numFmt w:val="upperLetter"/>
      <w:pStyle w:val="Background"/>
      <w:lvlText w:val="(%1)"/>
      <w:lvlJc w:val="left"/>
      <w:pPr>
        <w:tabs>
          <w:tab w:val="num" w:pos="567"/>
        </w:tabs>
        <w:ind w:left="567" w:hanging="567"/>
      </w:pPr>
      <w:rPr>
        <w:rFonts w:ascii="Georgia" w:hAnsi="Georgia" w:hint="default"/>
        <w:b w:val="0"/>
        <w:i w:val="0"/>
        <w:caps w:val="0"/>
        <w:sz w:val="18"/>
      </w:rPr>
    </w:lvl>
    <w:lvl w:ilvl="1">
      <w:start w:val="1"/>
      <w:numFmt w:val="lowerLetter"/>
      <w:pStyle w:val="Background2"/>
      <w:lvlText w:val="(%2)"/>
      <w:lvlJc w:val="left"/>
      <w:pPr>
        <w:tabs>
          <w:tab w:val="num" w:pos="1247"/>
        </w:tabs>
        <w:ind w:left="1247" w:hanging="680"/>
      </w:pPr>
      <w:rPr>
        <w:rFonts w:ascii="Georgia" w:hAnsi="Georgia" w:hint="default"/>
        <w:b w:val="0"/>
        <w:i w:val="0"/>
        <w:caps w:val="0"/>
        <w:sz w:val="18"/>
      </w:rPr>
    </w:lvl>
    <w:lvl w:ilvl="2">
      <w:start w:val="1"/>
      <w:numFmt w:val="lowerRoman"/>
      <w:pStyle w:val="Background3"/>
      <w:lvlText w:val="(%3)"/>
      <w:lvlJc w:val="left"/>
      <w:pPr>
        <w:tabs>
          <w:tab w:val="num" w:pos="1673"/>
        </w:tabs>
        <w:ind w:left="1673" w:hanging="426"/>
      </w:pPr>
      <w:rPr>
        <w:rFonts w:ascii="Century Gothic" w:hAnsi="Century Gothic" w:hint="default"/>
        <w:b w:val="0"/>
        <w:i w:val="0"/>
        <w:sz w:val="20"/>
      </w:rPr>
    </w:lvl>
    <w:lvl w:ilvl="3">
      <w:start w:val="1"/>
      <w:numFmt w:val="upperLetter"/>
      <w:lvlText w:val="(%4)"/>
      <w:lvlJc w:val="left"/>
      <w:pPr>
        <w:tabs>
          <w:tab w:val="num" w:pos="3062"/>
        </w:tabs>
        <w:ind w:left="3062" w:hanging="681"/>
      </w:pPr>
      <w:rPr>
        <w:rFonts w:ascii="Century Gothic" w:hAnsi="Century Gothic" w:hint="default"/>
        <w:b w:val="0"/>
        <w:i w:val="0"/>
        <w:sz w:val="20"/>
      </w:rPr>
    </w:lvl>
    <w:lvl w:ilvl="4">
      <w:start w:val="1"/>
      <w:numFmt w:val="upperLetter"/>
      <w:lvlText w:val="(%5)"/>
      <w:lvlJc w:val="left"/>
      <w:pPr>
        <w:tabs>
          <w:tab w:val="num" w:pos="3600"/>
        </w:tabs>
        <w:ind w:left="3600" w:hanging="720"/>
      </w:pPr>
      <w:rPr>
        <w:rFonts w:ascii="Times New Roman" w:hAnsi="Times New Roman" w:hint="default"/>
        <w:b w:val="0"/>
        <w:i w:val="0"/>
        <w:sz w:val="22"/>
      </w:rPr>
    </w:lvl>
    <w:lvl w:ilvl="5">
      <w:start w:val="1"/>
      <w:numFmt w:val="decimal"/>
      <w:lvlText w:val="%6."/>
      <w:lvlJc w:val="left"/>
      <w:pPr>
        <w:tabs>
          <w:tab w:val="num" w:pos="4320"/>
        </w:tabs>
        <w:ind w:left="4320" w:hanging="720"/>
      </w:pPr>
      <w:rPr>
        <w:rFonts w:ascii="Times New Roman" w:hAnsi="Times New Roman" w:hint="default"/>
        <w:b w:val="0"/>
        <w:i w:val="0"/>
        <w:sz w:val="22"/>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ascii="Times New Roman" w:hAnsi="Times New Roman" w:hint="default"/>
        <w:b w:val="0"/>
        <w:i w:val="0"/>
        <w:sz w:val="22"/>
      </w:rPr>
    </w:lvl>
    <w:lvl w:ilvl="8">
      <w:start w:val="1"/>
      <w:numFmt w:val="decimal"/>
      <w:lvlText w:val="%9."/>
      <w:lvlJc w:val="left"/>
      <w:pPr>
        <w:tabs>
          <w:tab w:val="num" w:pos="6480"/>
        </w:tabs>
        <w:ind w:left="6480" w:hanging="720"/>
      </w:pPr>
      <w:rPr>
        <w:rFonts w:ascii="Times New Roman" w:hAnsi="Times New Roman" w:hint="default"/>
        <w:b w:val="0"/>
        <w:i w:val="0"/>
        <w:sz w:val="22"/>
      </w:rPr>
    </w:lvl>
  </w:abstractNum>
  <w:abstractNum w:abstractNumId="21" w15:restartNumberingAfterBreak="0">
    <w:nsid w:val="148FD393"/>
    <w:multiLevelType w:val="multilevel"/>
    <w:tmpl w:val="C31C96C0"/>
    <w:lvl w:ilvl="0">
      <w:start w:val="1"/>
      <w:numFmt w:val="bullet"/>
      <w:pStyle w:val="BulletList1"/>
      <w:lvlText w:val=""/>
      <w:lvlJc w:val="left"/>
      <w:pPr>
        <w:tabs>
          <w:tab w:val="num" w:pos="567"/>
        </w:tabs>
        <w:ind w:left="567" w:hanging="567"/>
      </w:pPr>
      <w:rPr>
        <w:rFonts w:ascii="Symbol" w:hAnsi="Symbol" w:hint="default"/>
      </w:rPr>
    </w:lvl>
    <w:lvl w:ilvl="1">
      <w:start w:val="1"/>
      <w:numFmt w:val="bullet"/>
      <w:pStyle w:val="BulletList2"/>
      <w:lvlText w:val=""/>
      <w:lvlJc w:val="left"/>
      <w:pPr>
        <w:tabs>
          <w:tab w:val="num" w:pos="1247"/>
        </w:tabs>
        <w:ind w:left="1247" w:hanging="68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67B2194"/>
    <w:multiLevelType w:val="hybridMultilevel"/>
    <w:tmpl w:val="BDEED3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1AEC6711"/>
    <w:multiLevelType w:val="multilevel"/>
    <w:tmpl w:val="AB52FA32"/>
    <w:lvl w:ilvl="0">
      <w:start w:val="1"/>
      <w:numFmt w:val="decimal"/>
      <w:pStyle w:val="Parties"/>
      <w:lvlText w:val="(%1)"/>
      <w:lvlJc w:val="left"/>
      <w:pPr>
        <w:tabs>
          <w:tab w:val="num" w:pos="567"/>
        </w:tabs>
        <w:ind w:left="567" w:hanging="567"/>
      </w:pPr>
      <w:rPr>
        <w:rFonts w:hint="default"/>
        <w:b/>
        <w:i w:val="0"/>
      </w:rPr>
    </w:lvl>
    <w:lvl w:ilvl="1">
      <w:start w:val="1"/>
      <w:numFmt w:val="lowerLetter"/>
      <w:pStyle w:val="Parties2"/>
      <w:lvlText w:val="(%2)"/>
      <w:lvlJc w:val="left"/>
      <w:pPr>
        <w:tabs>
          <w:tab w:val="num" w:pos="1247"/>
        </w:tabs>
        <w:ind w:left="1247" w:hanging="680"/>
      </w:pPr>
      <w:rPr>
        <w:rFonts w:ascii="Georgia" w:hAnsi="Georgia" w:hint="default"/>
        <w:b/>
        <w:i w:val="0"/>
        <w:sz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1B8E9187"/>
    <w:multiLevelType w:val="multilevel"/>
    <w:tmpl w:val="4002F95C"/>
    <w:styleLink w:val="StyleOutlinenumberedLeft0cmHanging1cm"/>
    <w:lvl w:ilvl="0">
      <w:start w:val="1"/>
      <w:numFmt w:val="decimal"/>
      <w:lvlText w:val="%1—"/>
      <w:lvlJc w:val="left"/>
      <w:pPr>
        <w:tabs>
          <w:tab w:val="num" w:pos="567"/>
        </w:tabs>
        <w:ind w:left="567" w:hanging="567"/>
      </w:pPr>
      <w:rPr>
        <w:sz w:val="18"/>
      </w:rPr>
    </w:lvl>
    <w:lvl w:ilvl="1">
      <w:start w:val="1"/>
      <w:numFmt w:val="decimal"/>
      <w:lvlText w:val="%1.%2—"/>
      <w:lvlJc w:val="left"/>
      <w:pPr>
        <w:tabs>
          <w:tab w:val="num" w:pos="567"/>
        </w:tabs>
        <w:ind w:left="567" w:hanging="567"/>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3.%1.%2—"/>
      <w:lvlJc w:val="left"/>
      <w:pPr>
        <w:tabs>
          <w:tab w:val="num" w:pos="1247"/>
        </w:tabs>
        <w:ind w:left="1247" w:hanging="68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specVanish w:val="0"/>
      </w:rPr>
    </w:lvl>
    <w:lvl w:ilvl="3">
      <w:start w:val="1"/>
      <w:numFmt w:val="lowerLetter"/>
      <w:lvlText w:val="(%4)"/>
      <w:lvlJc w:val="left"/>
      <w:pPr>
        <w:tabs>
          <w:tab w:val="num" w:pos="1673"/>
        </w:tabs>
        <w:ind w:left="1673" w:hanging="426"/>
      </w:pPr>
      <w:rPr>
        <w:rFonts w:ascii="Georgia" w:hAnsi="Georgia" w:cs="Times New Roman" w:hint="default"/>
        <w:b w:val="0"/>
        <w:bCs w:val="0"/>
        <w:i w:val="0"/>
        <w:iCs w:val="0"/>
        <w:caps w:val="0"/>
        <w:smallCaps w:val="0"/>
        <w:strike w:val="0"/>
        <w:dstrike w:val="0"/>
        <w:vanish w:val="0"/>
        <w:color w:val="000000"/>
        <w:spacing w:val="0"/>
        <w:kern w:val="0"/>
        <w:position w:val="0"/>
        <w:sz w:val="18"/>
        <w:u w:val="none"/>
        <w:effect w:val="none"/>
        <w:vertAlign w:val="baseline"/>
      </w:rPr>
    </w:lvl>
    <w:lvl w:ilvl="4">
      <w:start w:val="1"/>
      <w:numFmt w:val="lowerRoman"/>
      <w:lvlText w:val="(%5)"/>
      <w:lvlJc w:val="left"/>
      <w:pPr>
        <w:tabs>
          <w:tab w:val="num" w:pos="1673"/>
        </w:tabs>
        <w:ind w:left="1673" w:hanging="426"/>
      </w:pPr>
      <w:rPr>
        <w:rFonts w:hint="default"/>
        <w:b w:val="0"/>
        <w:i w:val="0"/>
        <w:sz w:val="18"/>
      </w:rPr>
    </w:lvl>
    <w:lvl w:ilvl="5">
      <w:start w:val="1"/>
      <w:numFmt w:val="lowerLetter"/>
      <w:lvlText w:val="(%6)"/>
      <w:lvlJc w:val="left"/>
      <w:pPr>
        <w:tabs>
          <w:tab w:val="num" w:pos="2523"/>
        </w:tabs>
        <w:ind w:left="2523" w:hanging="425"/>
      </w:pPr>
      <w:rPr>
        <w:rFonts w:hint="default"/>
        <w:b w:val="0"/>
        <w:i w:val="0"/>
        <w:sz w:val="18"/>
        <w:szCs w:val="20"/>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b w:val="0"/>
        <w:i w:val="0"/>
        <w:sz w:val="22"/>
      </w:rPr>
    </w:lvl>
    <w:lvl w:ilvl="8">
      <w:start w:val="1"/>
      <w:numFmt w:val="lowerRoman"/>
      <w:lvlText w:val="(%9)"/>
      <w:lvlJc w:val="left"/>
      <w:pPr>
        <w:ind w:left="5760" w:firstLine="0"/>
      </w:pPr>
      <w:rPr>
        <w:rFonts w:hint="default"/>
        <w:b w:val="0"/>
        <w:i w:val="0"/>
        <w:sz w:val="18"/>
      </w:rPr>
    </w:lvl>
  </w:abstractNum>
  <w:abstractNum w:abstractNumId="25" w15:restartNumberingAfterBreak="0">
    <w:nsid w:val="1FD30FD3"/>
    <w:multiLevelType w:val="multilevel"/>
    <w:tmpl w:val="B0C0252C"/>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0E82F3A"/>
    <w:multiLevelType w:val="hybridMultilevel"/>
    <w:tmpl w:val="1DF80854"/>
    <w:lvl w:ilvl="0" w:tplc="5F8E3F0E">
      <w:start w:val="1"/>
      <w:numFmt w:val="decimal"/>
      <w:pStyle w:val="ScheduleHeading-Single"/>
      <w:lvlText w:val="Schedule"/>
      <w:lvlJc w:val="left"/>
      <w:pPr>
        <w:tabs>
          <w:tab w:val="num" w:pos="720"/>
        </w:tabs>
        <w:ind w:left="720" w:hanging="720"/>
      </w:pPr>
      <w:rPr>
        <w:color w:val="000000"/>
      </w:rPr>
    </w:lvl>
    <w:lvl w:ilvl="1" w:tplc="6A4E96D6" w:tentative="1">
      <w:start w:val="1"/>
      <w:numFmt w:val="lowerLetter"/>
      <w:lvlText w:val="%2."/>
      <w:lvlJc w:val="left"/>
      <w:pPr>
        <w:tabs>
          <w:tab w:val="num" w:pos="1440"/>
        </w:tabs>
        <w:ind w:left="1440" w:hanging="360"/>
      </w:pPr>
    </w:lvl>
    <w:lvl w:ilvl="2" w:tplc="FEF8075C" w:tentative="1">
      <w:start w:val="1"/>
      <w:numFmt w:val="lowerRoman"/>
      <w:lvlText w:val="%3."/>
      <w:lvlJc w:val="right"/>
      <w:pPr>
        <w:tabs>
          <w:tab w:val="num" w:pos="2160"/>
        </w:tabs>
        <w:ind w:left="2160" w:hanging="180"/>
      </w:pPr>
    </w:lvl>
    <w:lvl w:ilvl="3" w:tplc="C02ABA5C" w:tentative="1">
      <w:start w:val="1"/>
      <w:numFmt w:val="decimal"/>
      <w:lvlText w:val="%4."/>
      <w:lvlJc w:val="left"/>
      <w:pPr>
        <w:tabs>
          <w:tab w:val="num" w:pos="2880"/>
        </w:tabs>
        <w:ind w:left="2880" w:hanging="360"/>
      </w:pPr>
    </w:lvl>
    <w:lvl w:ilvl="4" w:tplc="147AEEA4" w:tentative="1">
      <w:start w:val="1"/>
      <w:numFmt w:val="lowerLetter"/>
      <w:lvlText w:val="%5."/>
      <w:lvlJc w:val="left"/>
      <w:pPr>
        <w:tabs>
          <w:tab w:val="num" w:pos="3600"/>
        </w:tabs>
        <w:ind w:left="3600" w:hanging="360"/>
      </w:pPr>
    </w:lvl>
    <w:lvl w:ilvl="5" w:tplc="C4BE4B88" w:tentative="1">
      <w:start w:val="1"/>
      <w:numFmt w:val="lowerRoman"/>
      <w:lvlText w:val="%6."/>
      <w:lvlJc w:val="right"/>
      <w:pPr>
        <w:tabs>
          <w:tab w:val="num" w:pos="4320"/>
        </w:tabs>
        <w:ind w:left="4320" w:hanging="180"/>
      </w:pPr>
    </w:lvl>
    <w:lvl w:ilvl="6" w:tplc="2BD4E638" w:tentative="1">
      <w:start w:val="1"/>
      <w:numFmt w:val="decimal"/>
      <w:lvlText w:val="%7."/>
      <w:lvlJc w:val="left"/>
      <w:pPr>
        <w:tabs>
          <w:tab w:val="num" w:pos="5040"/>
        </w:tabs>
        <w:ind w:left="5040" w:hanging="360"/>
      </w:pPr>
    </w:lvl>
    <w:lvl w:ilvl="7" w:tplc="96388972" w:tentative="1">
      <w:start w:val="1"/>
      <w:numFmt w:val="lowerLetter"/>
      <w:lvlText w:val="%8."/>
      <w:lvlJc w:val="left"/>
      <w:pPr>
        <w:tabs>
          <w:tab w:val="num" w:pos="5760"/>
        </w:tabs>
        <w:ind w:left="5760" w:hanging="360"/>
      </w:pPr>
    </w:lvl>
    <w:lvl w:ilvl="8" w:tplc="5C20C350" w:tentative="1">
      <w:start w:val="1"/>
      <w:numFmt w:val="lowerRoman"/>
      <w:lvlText w:val="%9."/>
      <w:lvlJc w:val="right"/>
      <w:pPr>
        <w:tabs>
          <w:tab w:val="num" w:pos="6480"/>
        </w:tabs>
        <w:ind w:left="6480" w:hanging="180"/>
      </w:pPr>
    </w:lvl>
  </w:abstractNum>
  <w:abstractNum w:abstractNumId="27" w15:restartNumberingAfterBreak="0">
    <w:nsid w:val="21B017D5"/>
    <w:multiLevelType w:val="hybridMultilevel"/>
    <w:tmpl w:val="D5CC75C4"/>
    <w:lvl w:ilvl="0" w:tplc="0FD4737C">
      <w:start w:val="1"/>
      <w:numFmt w:val="bullet"/>
      <w:lvlText w:val=""/>
      <w:lvlJc w:val="left"/>
      <w:pPr>
        <w:ind w:left="1440" w:hanging="360"/>
      </w:pPr>
      <w:rPr>
        <w:rFonts w:ascii="Symbol" w:hAnsi="Symbol" w:hint="default"/>
        <w:color w:val="000000"/>
      </w:rPr>
    </w:lvl>
    <w:lvl w:ilvl="1" w:tplc="CC20949E" w:tentative="1">
      <w:start w:val="1"/>
      <w:numFmt w:val="bullet"/>
      <w:lvlText w:val="o"/>
      <w:lvlJc w:val="left"/>
      <w:pPr>
        <w:ind w:left="2160" w:hanging="360"/>
      </w:pPr>
      <w:rPr>
        <w:rFonts w:ascii="Courier New" w:hAnsi="Courier New" w:cs="Courier New" w:hint="default"/>
      </w:rPr>
    </w:lvl>
    <w:lvl w:ilvl="2" w:tplc="F0883C5C" w:tentative="1">
      <w:start w:val="1"/>
      <w:numFmt w:val="bullet"/>
      <w:lvlText w:val=""/>
      <w:lvlJc w:val="left"/>
      <w:pPr>
        <w:ind w:left="2880" w:hanging="360"/>
      </w:pPr>
      <w:rPr>
        <w:rFonts w:ascii="Wingdings" w:hAnsi="Wingdings" w:hint="default"/>
      </w:rPr>
    </w:lvl>
    <w:lvl w:ilvl="3" w:tplc="0572240C" w:tentative="1">
      <w:start w:val="1"/>
      <w:numFmt w:val="bullet"/>
      <w:lvlText w:val=""/>
      <w:lvlJc w:val="left"/>
      <w:pPr>
        <w:ind w:left="3600" w:hanging="360"/>
      </w:pPr>
      <w:rPr>
        <w:rFonts w:ascii="Symbol" w:hAnsi="Symbol" w:hint="default"/>
      </w:rPr>
    </w:lvl>
    <w:lvl w:ilvl="4" w:tplc="5C965A08" w:tentative="1">
      <w:start w:val="1"/>
      <w:numFmt w:val="bullet"/>
      <w:lvlText w:val="o"/>
      <w:lvlJc w:val="left"/>
      <w:pPr>
        <w:ind w:left="4320" w:hanging="360"/>
      </w:pPr>
      <w:rPr>
        <w:rFonts w:ascii="Courier New" w:hAnsi="Courier New" w:cs="Courier New" w:hint="default"/>
      </w:rPr>
    </w:lvl>
    <w:lvl w:ilvl="5" w:tplc="442EF20E" w:tentative="1">
      <w:start w:val="1"/>
      <w:numFmt w:val="bullet"/>
      <w:lvlText w:val=""/>
      <w:lvlJc w:val="left"/>
      <w:pPr>
        <w:ind w:left="5040" w:hanging="360"/>
      </w:pPr>
      <w:rPr>
        <w:rFonts w:ascii="Wingdings" w:hAnsi="Wingdings" w:hint="default"/>
      </w:rPr>
    </w:lvl>
    <w:lvl w:ilvl="6" w:tplc="A866CBE8" w:tentative="1">
      <w:start w:val="1"/>
      <w:numFmt w:val="bullet"/>
      <w:lvlText w:val=""/>
      <w:lvlJc w:val="left"/>
      <w:pPr>
        <w:ind w:left="5760" w:hanging="360"/>
      </w:pPr>
      <w:rPr>
        <w:rFonts w:ascii="Symbol" w:hAnsi="Symbol" w:hint="default"/>
      </w:rPr>
    </w:lvl>
    <w:lvl w:ilvl="7" w:tplc="FE42EA84" w:tentative="1">
      <w:start w:val="1"/>
      <w:numFmt w:val="bullet"/>
      <w:lvlText w:val="o"/>
      <w:lvlJc w:val="left"/>
      <w:pPr>
        <w:ind w:left="6480" w:hanging="360"/>
      </w:pPr>
      <w:rPr>
        <w:rFonts w:ascii="Courier New" w:hAnsi="Courier New" w:cs="Courier New" w:hint="default"/>
      </w:rPr>
    </w:lvl>
    <w:lvl w:ilvl="8" w:tplc="5FDC032E" w:tentative="1">
      <w:start w:val="1"/>
      <w:numFmt w:val="bullet"/>
      <w:lvlText w:val=""/>
      <w:lvlJc w:val="left"/>
      <w:pPr>
        <w:ind w:left="7200" w:hanging="360"/>
      </w:pPr>
      <w:rPr>
        <w:rFonts w:ascii="Wingdings" w:hAnsi="Wingdings" w:hint="default"/>
      </w:rPr>
    </w:lvl>
  </w:abstractNum>
  <w:abstractNum w:abstractNumId="28" w15:restartNumberingAfterBreak="0">
    <w:nsid w:val="25B00E4C"/>
    <w:multiLevelType w:val="hybridMultilevel"/>
    <w:tmpl w:val="97C4AA26"/>
    <w:lvl w:ilvl="0" w:tplc="5B16F130">
      <w:start w:val="1"/>
      <w:numFmt w:val="upperLetter"/>
      <w:pStyle w:val="Annex"/>
      <w:lvlText w:val="ANNEX %1"/>
      <w:lvlJc w:val="left"/>
      <w:pPr>
        <w:ind w:left="720" w:hanging="360"/>
      </w:pPr>
      <w:rPr>
        <w:rFonts w:cs="Times New Roman" w:hint="default"/>
        <w:b/>
        <w:bCs w:val="0"/>
        <w:i w:val="0"/>
        <w:iCs w:val="0"/>
        <w: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w14:cntxtAlts w14:val="0"/>
      </w:rPr>
    </w:lvl>
    <w:lvl w:ilvl="1" w:tplc="5DD2B114" w:tentative="1">
      <w:start w:val="1"/>
      <w:numFmt w:val="lowerLetter"/>
      <w:lvlText w:val="%2."/>
      <w:lvlJc w:val="left"/>
      <w:pPr>
        <w:ind w:left="1440" w:hanging="360"/>
      </w:pPr>
    </w:lvl>
    <w:lvl w:ilvl="2" w:tplc="0308CA58" w:tentative="1">
      <w:start w:val="1"/>
      <w:numFmt w:val="lowerRoman"/>
      <w:lvlText w:val="%3."/>
      <w:lvlJc w:val="right"/>
      <w:pPr>
        <w:ind w:left="2160" w:hanging="180"/>
      </w:pPr>
    </w:lvl>
    <w:lvl w:ilvl="3" w:tplc="20327D4E" w:tentative="1">
      <w:start w:val="1"/>
      <w:numFmt w:val="decimal"/>
      <w:lvlText w:val="%4."/>
      <w:lvlJc w:val="left"/>
      <w:pPr>
        <w:ind w:left="2880" w:hanging="360"/>
      </w:pPr>
    </w:lvl>
    <w:lvl w:ilvl="4" w:tplc="931E5A4A" w:tentative="1">
      <w:start w:val="1"/>
      <w:numFmt w:val="lowerLetter"/>
      <w:lvlText w:val="%5."/>
      <w:lvlJc w:val="left"/>
      <w:pPr>
        <w:ind w:left="3600" w:hanging="360"/>
      </w:pPr>
    </w:lvl>
    <w:lvl w:ilvl="5" w:tplc="1EC26164" w:tentative="1">
      <w:start w:val="1"/>
      <w:numFmt w:val="lowerRoman"/>
      <w:lvlText w:val="%6."/>
      <w:lvlJc w:val="right"/>
      <w:pPr>
        <w:ind w:left="4320" w:hanging="180"/>
      </w:pPr>
    </w:lvl>
    <w:lvl w:ilvl="6" w:tplc="C390257E" w:tentative="1">
      <w:start w:val="1"/>
      <w:numFmt w:val="decimal"/>
      <w:lvlText w:val="%7."/>
      <w:lvlJc w:val="left"/>
      <w:pPr>
        <w:ind w:left="5040" w:hanging="360"/>
      </w:pPr>
    </w:lvl>
    <w:lvl w:ilvl="7" w:tplc="A76A06A8" w:tentative="1">
      <w:start w:val="1"/>
      <w:numFmt w:val="lowerLetter"/>
      <w:lvlText w:val="%8."/>
      <w:lvlJc w:val="left"/>
      <w:pPr>
        <w:ind w:left="5760" w:hanging="360"/>
      </w:pPr>
    </w:lvl>
    <w:lvl w:ilvl="8" w:tplc="D9284CD2" w:tentative="1">
      <w:start w:val="1"/>
      <w:numFmt w:val="lowerRoman"/>
      <w:lvlText w:val="%9."/>
      <w:lvlJc w:val="right"/>
      <w:pPr>
        <w:ind w:left="6480" w:hanging="180"/>
      </w:pPr>
    </w:lvl>
  </w:abstractNum>
  <w:abstractNum w:abstractNumId="29" w15:restartNumberingAfterBreak="0">
    <w:nsid w:val="2666D0E8"/>
    <w:multiLevelType w:val="hybridMultilevel"/>
    <w:tmpl w:val="055E3F86"/>
    <w:lvl w:ilvl="0" w:tplc="697EA05C">
      <w:start w:val="1"/>
      <w:numFmt w:val="bullet"/>
      <w:pStyle w:val="Bullet"/>
      <w:lvlText w:val=""/>
      <w:lvlJc w:val="left"/>
      <w:pPr>
        <w:tabs>
          <w:tab w:val="num" w:pos="357"/>
        </w:tabs>
        <w:ind w:left="357" w:hanging="357"/>
      </w:pPr>
      <w:rPr>
        <w:rFonts w:ascii="Symbol" w:hAnsi="Symbol" w:hint="default"/>
      </w:rPr>
    </w:lvl>
    <w:lvl w:ilvl="1" w:tplc="9C2002EC" w:tentative="1">
      <w:start w:val="1"/>
      <w:numFmt w:val="bullet"/>
      <w:lvlText w:val="o"/>
      <w:lvlJc w:val="left"/>
      <w:pPr>
        <w:tabs>
          <w:tab w:val="num" w:pos="1440"/>
        </w:tabs>
        <w:ind w:left="1440" w:hanging="360"/>
      </w:pPr>
      <w:rPr>
        <w:rFonts w:ascii="Courier New" w:hAnsi="Courier New" w:cs="Courier New" w:hint="default"/>
      </w:rPr>
    </w:lvl>
    <w:lvl w:ilvl="2" w:tplc="5172D952" w:tentative="1">
      <w:start w:val="1"/>
      <w:numFmt w:val="bullet"/>
      <w:lvlText w:val=""/>
      <w:lvlJc w:val="left"/>
      <w:pPr>
        <w:tabs>
          <w:tab w:val="num" w:pos="2160"/>
        </w:tabs>
        <w:ind w:left="2160" w:hanging="360"/>
      </w:pPr>
      <w:rPr>
        <w:rFonts w:ascii="Wingdings" w:hAnsi="Wingdings" w:hint="default"/>
      </w:rPr>
    </w:lvl>
    <w:lvl w:ilvl="3" w:tplc="C546A848" w:tentative="1">
      <w:start w:val="1"/>
      <w:numFmt w:val="bullet"/>
      <w:lvlText w:val=""/>
      <w:lvlJc w:val="left"/>
      <w:pPr>
        <w:tabs>
          <w:tab w:val="num" w:pos="2880"/>
        </w:tabs>
        <w:ind w:left="2880" w:hanging="360"/>
      </w:pPr>
      <w:rPr>
        <w:rFonts w:ascii="Symbol" w:hAnsi="Symbol" w:hint="default"/>
      </w:rPr>
    </w:lvl>
    <w:lvl w:ilvl="4" w:tplc="54247736" w:tentative="1">
      <w:start w:val="1"/>
      <w:numFmt w:val="bullet"/>
      <w:lvlText w:val="o"/>
      <w:lvlJc w:val="left"/>
      <w:pPr>
        <w:tabs>
          <w:tab w:val="num" w:pos="3600"/>
        </w:tabs>
        <w:ind w:left="3600" w:hanging="360"/>
      </w:pPr>
      <w:rPr>
        <w:rFonts w:ascii="Courier New" w:hAnsi="Courier New" w:cs="Courier New" w:hint="default"/>
      </w:rPr>
    </w:lvl>
    <w:lvl w:ilvl="5" w:tplc="F544C078" w:tentative="1">
      <w:start w:val="1"/>
      <w:numFmt w:val="bullet"/>
      <w:lvlText w:val=""/>
      <w:lvlJc w:val="left"/>
      <w:pPr>
        <w:tabs>
          <w:tab w:val="num" w:pos="4320"/>
        </w:tabs>
        <w:ind w:left="4320" w:hanging="360"/>
      </w:pPr>
      <w:rPr>
        <w:rFonts w:ascii="Wingdings" w:hAnsi="Wingdings" w:hint="default"/>
      </w:rPr>
    </w:lvl>
    <w:lvl w:ilvl="6" w:tplc="2C562676" w:tentative="1">
      <w:start w:val="1"/>
      <w:numFmt w:val="bullet"/>
      <w:lvlText w:val=""/>
      <w:lvlJc w:val="left"/>
      <w:pPr>
        <w:tabs>
          <w:tab w:val="num" w:pos="5040"/>
        </w:tabs>
        <w:ind w:left="5040" w:hanging="360"/>
      </w:pPr>
      <w:rPr>
        <w:rFonts w:ascii="Symbol" w:hAnsi="Symbol" w:hint="default"/>
      </w:rPr>
    </w:lvl>
    <w:lvl w:ilvl="7" w:tplc="E55C8C76" w:tentative="1">
      <w:start w:val="1"/>
      <w:numFmt w:val="bullet"/>
      <w:lvlText w:val="o"/>
      <w:lvlJc w:val="left"/>
      <w:pPr>
        <w:tabs>
          <w:tab w:val="num" w:pos="5760"/>
        </w:tabs>
        <w:ind w:left="5760" w:hanging="360"/>
      </w:pPr>
      <w:rPr>
        <w:rFonts w:ascii="Courier New" w:hAnsi="Courier New" w:cs="Courier New" w:hint="default"/>
      </w:rPr>
    </w:lvl>
    <w:lvl w:ilvl="8" w:tplc="2A70823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9C94F29"/>
    <w:multiLevelType w:val="hybridMultilevel"/>
    <w:tmpl w:val="4CBC2A34"/>
    <w:lvl w:ilvl="0" w:tplc="ECF8732E">
      <w:start w:val="1"/>
      <w:numFmt w:val="decimal"/>
      <w:pStyle w:val="QuestionParagraph"/>
      <w:lvlText w:val="%1."/>
      <w:lvlJc w:val="left"/>
      <w:pPr>
        <w:ind w:left="720" w:hanging="360"/>
      </w:pPr>
      <w:rPr>
        <w:color w:val="000000"/>
      </w:rPr>
    </w:lvl>
    <w:lvl w:ilvl="1" w:tplc="21C61426" w:tentative="1">
      <w:start w:val="1"/>
      <w:numFmt w:val="lowerLetter"/>
      <w:lvlText w:val="%2."/>
      <w:lvlJc w:val="left"/>
      <w:pPr>
        <w:ind w:left="1440" w:hanging="360"/>
      </w:pPr>
    </w:lvl>
    <w:lvl w:ilvl="2" w:tplc="7458C8AC" w:tentative="1">
      <w:start w:val="1"/>
      <w:numFmt w:val="lowerRoman"/>
      <w:lvlText w:val="%3."/>
      <w:lvlJc w:val="right"/>
      <w:pPr>
        <w:ind w:left="2160" w:hanging="180"/>
      </w:pPr>
    </w:lvl>
    <w:lvl w:ilvl="3" w:tplc="2CD43262" w:tentative="1">
      <w:start w:val="1"/>
      <w:numFmt w:val="decimal"/>
      <w:lvlText w:val="%4."/>
      <w:lvlJc w:val="left"/>
      <w:pPr>
        <w:ind w:left="2880" w:hanging="360"/>
      </w:pPr>
    </w:lvl>
    <w:lvl w:ilvl="4" w:tplc="2E2E15FE" w:tentative="1">
      <w:start w:val="1"/>
      <w:numFmt w:val="lowerLetter"/>
      <w:lvlText w:val="%5."/>
      <w:lvlJc w:val="left"/>
      <w:pPr>
        <w:ind w:left="3600" w:hanging="360"/>
      </w:pPr>
    </w:lvl>
    <w:lvl w:ilvl="5" w:tplc="09D0BBBA" w:tentative="1">
      <w:start w:val="1"/>
      <w:numFmt w:val="lowerRoman"/>
      <w:lvlText w:val="%6."/>
      <w:lvlJc w:val="right"/>
      <w:pPr>
        <w:ind w:left="4320" w:hanging="180"/>
      </w:pPr>
    </w:lvl>
    <w:lvl w:ilvl="6" w:tplc="60DA180C" w:tentative="1">
      <w:start w:val="1"/>
      <w:numFmt w:val="decimal"/>
      <w:lvlText w:val="%7."/>
      <w:lvlJc w:val="left"/>
      <w:pPr>
        <w:ind w:left="5040" w:hanging="360"/>
      </w:pPr>
    </w:lvl>
    <w:lvl w:ilvl="7" w:tplc="EBC0DB80" w:tentative="1">
      <w:start w:val="1"/>
      <w:numFmt w:val="lowerLetter"/>
      <w:lvlText w:val="%8."/>
      <w:lvlJc w:val="left"/>
      <w:pPr>
        <w:ind w:left="5760" w:hanging="360"/>
      </w:pPr>
    </w:lvl>
    <w:lvl w:ilvl="8" w:tplc="4CEC7D98" w:tentative="1">
      <w:start w:val="1"/>
      <w:numFmt w:val="lowerRoman"/>
      <w:lvlText w:val="%9."/>
      <w:lvlJc w:val="right"/>
      <w:pPr>
        <w:ind w:left="6480" w:hanging="180"/>
      </w:pPr>
    </w:lvl>
  </w:abstractNum>
  <w:abstractNum w:abstractNumId="31" w15:restartNumberingAfterBreak="0">
    <w:nsid w:val="2E0DB030"/>
    <w:multiLevelType w:val="multilevel"/>
    <w:tmpl w:val="29249BA6"/>
    <w:lvl w:ilvl="0">
      <w:start w:val="1"/>
      <w:numFmt w:val="decimalZero"/>
      <w:pStyle w:val="CoverPartyName"/>
      <w:lvlText w:val="-%1"/>
      <w:lvlJc w:val="left"/>
      <w:pPr>
        <w:tabs>
          <w:tab w:val="num" w:pos="0"/>
        </w:tabs>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310416CA"/>
    <w:multiLevelType w:val="hybridMultilevel"/>
    <w:tmpl w:val="072EDEC8"/>
    <w:lvl w:ilvl="0" w:tplc="34FE5A6E">
      <w:start w:val="1"/>
      <w:numFmt w:val="bullet"/>
      <w:pStyle w:val="subclause2Bullet2"/>
      <w:lvlText w:val=""/>
      <w:lvlJc w:val="left"/>
      <w:pPr>
        <w:ind w:left="2279" w:hanging="360"/>
      </w:pPr>
      <w:rPr>
        <w:rFonts w:ascii="Symbol" w:hAnsi="Symbol" w:hint="default"/>
        <w:color w:val="000000"/>
      </w:rPr>
    </w:lvl>
    <w:lvl w:ilvl="1" w:tplc="913C40C0" w:tentative="1">
      <w:start w:val="1"/>
      <w:numFmt w:val="bullet"/>
      <w:lvlText w:val="o"/>
      <w:lvlJc w:val="left"/>
      <w:pPr>
        <w:ind w:left="2999" w:hanging="360"/>
      </w:pPr>
      <w:rPr>
        <w:rFonts w:ascii="Courier New" w:hAnsi="Courier New" w:cs="Courier New" w:hint="default"/>
      </w:rPr>
    </w:lvl>
    <w:lvl w:ilvl="2" w:tplc="6BECD62C" w:tentative="1">
      <w:start w:val="1"/>
      <w:numFmt w:val="bullet"/>
      <w:lvlText w:val=""/>
      <w:lvlJc w:val="left"/>
      <w:pPr>
        <w:ind w:left="3719" w:hanging="360"/>
      </w:pPr>
      <w:rPr>
        <w:rFonts w:ascii="Wingdings" w:hAnsi="Wingdings" w:hint="default"/>
      </w:rPr>
    </w:lvl>
    <w:lvl w:ilvl="3" w:tplc="D5444928" w:tentative="1">
      <w:start w:val="1"/>
      <w:numFmt w:val="bullet"/>
      <w:lvlText w:val=""/>
      <w:lvlJc w:val="left"/>
      <w:pPr>
        <w:ind w:left="4439" w:hanging="360"/>
      </w:pPr>
      <w:rPr>
        <w:rFonts w:ascii="Symbol" w:hAnsi="Symbol" w:hint="default"/>
      </w:rPr>
    </w:lvl>
    <w:lvl w:ilvl="4" w:tplc="EDC8C534" w:tentative="1">
      <w:start w:val="1"/>
      <w:numFmt w:val="bullet"/>
      <w:lvlText w:val="o"/>
      <w:lvlJc w:val="left"/>
      <w:pPr>
        <w:ind w:left="5159" w:hanging="360"/>
      </w:pPr>
      <w:rPr>
        <w:rFonts w:ascii="Courier New" w:hAnsi="Courier New" w:cs="Courier New" w:hint="default"/>
      </w:rPr>
    </w:lvl>
    <w:lvl w:ilvl="5" w:tplc="D6D06D00" w:tentative="1">
      <w:start w:val="1"/>
      <w:numFmt w:val="bullet"/>
      <w:lvlText w:val=""/>
      <w:lvlJc w:val="left"/>
      <w:pPr>
        <w:ind w:left="5879" w:hanging="360"/>
      </w:pPr>
      <w:rPr>
        <w:rFonts w:ascii="Wingdings" w:hAnsi="Wingdings" w:hint="default"/>
      </w:rPr>
    </w:lvl>
    <w:lvl w:ilvl="6" w:tplc="3528C748" w:tentative="1">
      <w:start w:val="1"/>
      <w:numFmt w:val="bullet"/>
      <w:lvlText w:val=""/>
      <w:lvlJc w:val="left"/>
      <w:pPr>
        <w:ind w:left="6599" w:hanging="360"/>
      </w:pPr>
      <w:rPr>
        <w:rFonts w:ascii="Symbol" w:hAnsi="Symbol" w:hint="default"/>
      </w:rPr>
    </w:lvl>
    <w:lvl w:ilvl="7" w:tplc="C5F0391C" w:tentative="1">
      <w:start w:val="1"/>
      <w:numFmt w:val="bullet"/>
      <w:lvlText w:val="o"/>
      <w:lvlJc w:val="left"/>
      <w:pPr>
        <w:ind w:left="7319" w:hanging="360"/>
      </w:pPr>
      <w:rPr>
        <w:rFonts w:ascii="Courier New" w:hAnsi="Courier New" w:cs="Courier New" w:hint="default"/>
      </w:rPr>
    </w:lvl>
    <w:lvl w:ilvl="8" w:tplc="5A4C84B0" w:tentative="1">
      <w:start w:val="1"/>
      <w:numFmt w:val="bullet"/>
      <w:lvlText w:val=""/>
      <w:lvlJc w:val="left"/>
      <w:pPr>
        <w:ind w:left="8039" w:hanging="360"/>
      </w:pPr>
      <w:rPr>
        <w:rFonts w:ascii="Wingdings" w:hAnsi="Wingdings" w:hint="default"/>
      </w:rPr>
    </w:lvl>
  </w:abstractNum>
  <w:abstractNum w:abstractNumId="33" w15:restartNumberingAfterBreak="0">
    <w:nsid w:val="31D14D40"/>
    <w:multiLevelType w:val="hybridMultilevel"/>
    <w:tmpl w:val="AC4C92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333702B8"/>
    <w:multiLevelType w:val="hybridMultilevel"/>
    <w:tmpl w:val="481CDF7E"/>
    <w:lvl w:ilvl="0" w:tplc="6D98D464">
      <w:start w:val="1"/>
      <w:numFmt w:val="lowerLetter"/>
      <w:lvlText w:val="%1)"/>
      <w:lvlJc w:val="left"/>
      <w:pPr>
        <w:tabs>
          <w:tab w:val="num" w:pos="1440"/>
        </w:tabs>
        <w:ind w:left="1440" w:hanging="87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347414F7"/>
    <w:multiLevelType w:val="hybridMultilevel"/>
    <w:tmpl w:val="755009AC"/>
    <w:lvl w:ilvl="0" w:tplc="B8FAD44E">
      <w:start w:val="1"/>
      <w:numFmt w:val="bullet"/>
      <w:pStyle w:val="Bulletedlist"/>
      <w:lvlText w:val="—"/>
      <w:lvlJc w:val="left"/>
      <w:pPr>
        <w:ind w:left="851" w:hanging="284"/>
      </w:pPr>
      <w:rPr>
        <w:rFonts w:ascii="Georgia" w:hAnsi="Georgia" w:hint="default"/>
      </w:rPr>
    </w:lvl>
    <w:lvl w:ilvl="1" w:tplc="434E8280" w:tentative="1">
      <w:start w:val="1"/>
      <w:numFmt w:val="bullet"/>
      <w:lvlText w:val="o"/>
      <w:lvlJc w:val="left"/>
      <w:pPr>
        <w:ind w:left="1440" w:hanging="360"/>
      </w:pPr>
      <w:rPr>
        <w:rFonts w:ascii="Courier New" w:hAnsi="Courier New" w:cs="Courier New" w:hint="default"/>
      </w:rPr>
    </w:lvl>
    <w:lvl w:ilvl="2" w:tplc="F3F0FC08" w:tentative="1">
      <w:start w:val="1"/>
      <w:numFmt w:val="bullet"/>
      <w:lvlText w:val=""/>
      <w:lvlJc w:val="left"/>
      <w:pPr>
        <w:ind w:left="2160" w:hanging="360"/>
      </w:pPr>
      <w:rPr>
        <w:rFonts w:ascii="Wingdings" w:hAnsi="Wingdings" w:hint="default"/>
      </w:rPr>
    </w:lvl>
    <w:lvl w:ilvl="3" w:tplc="6908B146" w:tentative="1">
      <w:start w:val="1"/>
      <w:numFmt w:val="bullet"/>
      <w:lvlText w:val=""/>
      <w:lvlJc w:val="left"/>
      <w:pPr>
        <w:ind w:left="2880" w:hanging="360"/>
      </w:pPr>
      <w:rPr>
        <w:rFonts w:ascii="Symbol" w:hAnsi="Symbol" w:hint="default"/>
      </w:rPr>
    </w:lvl>
    <w:lvl w:ilvl="4" w:tplc="7876B832" w:tentative="1">
      <w:start w:val="1"/>
      <w:numFmt w:val="bullet"/>
      <w:lvlText w:val="o"/>
      <w:lvlJc w:val="left"/>
      <w:pPr>
        <w:ind w:left="3600" w:hanging="360"/>
      </w:pPr>
      <w:rPr>
        <w:rFonts w:ascii="Courier New" w:hAnsi="Courier New" w:cs="Courier New" w:hint="default"/>
      </w:rPr>
    </w:lvl>
    <w:lvl w:ilvl="5" w:tplc="E496FFC0" w:tentative="1">
      <w:start w:val="1"/>
      <w:numFmt w:val="bullet"/>
      <w:lvlText w:val=""/>
      <w:lvlJc w:val="left"/>
      <w:pPr>
        <w:ind w:left="4320" w:hanging="360"/>
      </w:pPr>
      <w:rPr>
        <w:rFonts w:ascii="Wingdings" w:hAnsi="Wingdings" w:hint="default"/>
      </w:rPr>
    </w:lvl>
    <w:lvl w:ilvl="6" w:tplc="2C087FA2" w:tentative="1">
      <w:start w:val="1"/>
      <w:numFmt w:val="bullet"/>
      <w:lvlText w:val=""/>
      <w:lvlJc w:val="left"/>
      <w:pPr>
        <w:ind w:left="5040" w:hanging="360"/>
      </w:pPr>
      <w:rPr>
        <w:rFonts w:ascii="Symbol" w:hAnsi="Symbol" w:hint="default"/>
      </w:rPr>
    </w:lvl>
    <w:lvl w:ilvl="7" w:tplc="CA5CABB0" w:tentative="1">
      <w:start w:val="1"/>
      <w:numFmt w:val="bullet"/>
      <w:lvlText w:val="o"/>
      <w:lvlJc w:val="left"/>
      <w:pPr>
        <w:ind w:left="5760" w:hanging="360"/>
      </w:pPr>
      <w:rPr>
        <w:rFonts w:ascii="Courier New" w:hAnsi="Courier New" w:cs="Courier New" w:hint="default"/>
      </w:rPr>
    </w:lvl>
    <w:lvl w:ilvl="8" w:tplc="1DE66704" w:tentative="1">
      <w:start w:val="1"/>
      <w:numFmt w:val="bullet"/>
      <w:lvlText w:val=""/>
      <w:lvlJc w:val="left"/>
      <w:pPr>
        <w:ind w:left="6480" w:hanging="360"/>
      </w:pPr>
      <w:rPr>
        <w:rFonts w:ascii="Wingdings" w:hAnsi="Wingdings" w:hint="default"/>
      </w:rPr>
    </w:lvl>
  </w:abstractNum>
  <w:abstractNum w:abstractNumId="36" w15:restartNumberingAfterBreak="0">
    <w:nsid w:val="36E3743B"/>
    <w:multiLevelType w:val="singleLevel"/>
    <w:tmpl w:val="FE302F92"/>
    <w:lvl w:ilvl="0">
      <w:start w:val="1"/>
      <w:numFmt w:val="decimal"/>
      <w:pStyle w:val="ScheduleHeading"/>
      <w:lvlText w:val="Schedule %1"/>
      <w:lvlJc w:val="left"/>
      <w:pPr>
        <w:tabs>
          <w:tab w:val="num" w:pos="1080"/>
        </w:tabs>
        <w:ind w:left="360" w:hanging="360"/>
      </w:pPr>
      <w:rPr>
        <w:rFonts w:hint="default"/>
        <w:color w:val="000000"/>
      </w:rPr>
    </w:lvl>
  </w:abstractNum>
  <w:abstractNum w:abstractNumId="37" w15:restartNumberingAfterBreak="0">
    <w:nsid w:val="37E451CF"/>
    <w:multiLevelType w:val="multilevel"/>
    <w:tmpl w:val="51F49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8130038"/>
    <w:multiLevelType w:val="hybridMultilevel"/>
    <w:tmpl w:val="FF8A0FAE"/>
    <w:lvl w:ilvl="0" w:tplc="53426A28">
      <w:start w:val="1"/>
      <w:numFmt w:val="bullet"/>
      <w:pStyle w:val="ClauseBullet2"/>
      <w:lvlText w:val=""/>
      <w:lvlJc w:val="left"/>
      <w:pPr>
        <w:ind w:left="1440" w:hanging="360"/>
      </w:pPr>
      <w:rPr>
        <w:rFonts w:ascii="Symbol" w:hAnsi="Symbol" w:hint="default"/>
        <w:color w:val="000000"/>
      </w:rPr>
    </w:lvl>
    <w:lvl w:ilvl="1" w:tplc="02E45D36" w:tentative="1">
      <w:start w:val="1"/>
      <w:numFmt w:val="bullet"/>
      <w:lvlText w:val="o"/>
      <w:lvlJc w:val="left"/>
      <w:pPr>
        <w:ind w:left="2160" w:hanging="360"/>
      </w:pPr>
      <w:rPr>
        <w:rFonts w:ascii="Courier New" w:hAnsi="Courier New" w:cs="Courier New" w:hint="default"/>
      </w:rPr>
    </w:lvl>
    <w:lvl w:ilvl="2" w:tplc="416ACD3E" w:tentative="1">
      <w:start w:val="1"/>
      <w:numFmt w:val="bullet"/>
      <w:lvlText w:val=""/>
      <w:lvlJc w:val="left"/>
      <w:pPr>
        <w:ind w:left="2880" w:hanging="360"/>
      </w:pPr>
      <w:rPr>
        <w:rFonts w:ascii="Wingdings" w:hAnsi="Wingdings" w:hint="default"/>
      </w:rPr>
    </w:lvl>
    <w:lvl w:ilvl="3" w:tplc="54AA5990" w:tentative="1">
      <w:start w:val="1"/>
      <w:numFmt w:val="bullet"/>
      <w:lvlText w:val=""/>
      <w:lvlJc w:val="left"/>
      <w:pPr>
        <w:ind w:left="3600" w:hanging="360"/>
      </w:pPr>
      <w:rPr>
        <w:rFonts w:ascii="Symbol" w:hAnsi="Symbol" w:hint="default"/>
      </w:rPr>
    </w:lvl>
    <w:lvl w:ilvl="4" w:tplc="79D42D88" w:tentative="1">
      <w:start w:val="1"/>
      <w:numFmt w:val="bullet"/>
      <w:lvlText w:val="o"/>
      <w:lvlJc w:val="left"/>
      <w:pPr>
        <w:ind w:left="4320" w:hanging="360"/>
      </w:pPr>
      <w:rPr>
        <w:rFonts w:ascii="Courier New" w:hAnsi="Courier New" w:cs="Courier New" w:hint="default"/>
      </w:rPr>
    </w:lvl>
    <w:lvl w:ilvl="5" w:tplc="06902D8A" w:tentative="1">
      <w:start w:val="1"/>
      <w:numFmt w:val="bullet"/>
      <w:lvlText w:val=""/>
      <w:lvlJc w:val="left"/>
      <w:pPr>
        <w:ind w:left="5040" w:hanging="360"/>
      </w:pPr>
      <w:rPr>
        <w:rFonts w:ascii="Wingdings" w:hAnsi="Wingdings" w:hint="default"/>
      </w:rPr>
    </w:lvl>
    <w:lvl w:ilvl="6" w:tplc="71A08D18" w:tentative="1">
      <w:start w:val="1"/>
      <w:numFmt w:val="bullet"/>
      <w:lvlText w:val=""/>
      <w:lvlJc w:val="left"/>
      <w:pPr>
        <w:ind w:left="5760" w:hanging="360"/>
      </w:pPr>
      <w:rPr>
        <w:rFonts w:ascii="Symbol" w:hAnsi="Symbol" w:hint="default"/>
      </w:rPr>
    </w:lvl>
    <w:lvl w:ilvl="7" w:tplc="4B7089DC" w:tentative="1">
      <w:start w:val="1"/>
      <w:numFmt w:val="bullet"/>
      <w:lvlText w:val="o"/>
      <w:lvlJc w:val="left"/>
      <w:pPr>
        <w:ind w:left="6480" w:hanging="360"/>
      </w:pPr>
      <w:rPr>
        <w:rFonts w:ascii="Courier New" w:hAnsi="Courier New" w:cs="Courier New" w:hint="default"/>
      </w:rPr>
    </w:lvl>
    <w:lvl w:ilvl="8" w:tplc="2F681782" w:tentative="1">
      <w:start w:val="1"/>
      <w:numFmt w:val="bullet"/>
      <w:lvlText w:val=""/>
      <w:lvlJc w:val="left"/>
      <w:pPr>
        <w:ind w:left="7200" w:hanging="360"/>
      </w:pPr>
      <w:rPr>
        <w:rFonts w:ascii="Wingdings" w:hAnsi="Wingdings" w:hint="default"/>
      </w:rPr>
    </w:lvl>
  </w:abstractNum>
  <w:abstractNum w:abstractNumId="39" w15:restartNumberingAfterBreak="0">
    <w:nsid w:val="38668D42"/>
    <w:multiLevelType w:val="multilevel"/>
    <w:tmpl w:val="F35CBDC8"/>
    <w:lvl w:ilvl="0">
      <w:start w:val="1"/>
      <w:numFmt w:val="decimal"/>
      <w:pStyle w:val="Heading1"/>
      <w:lvlText w:val="%1—"/>
      <w:lvlJc w:val="left"/>
      <w:pPr>
        <w:tabs>
          <w:tab w:val="num" w:pos="567"/>
        </w:tabs>
        <w:ind w:left="567" w:hanging="567"/>
      </w:pPr>
      <w:rPr>
        <w:rFonts w:ascii="Georgia" w:hAnsi="Georgia" w:cs="Times New Roman" w:hint="default"/>
        <w:b w:val="0"/>
        <w:bCs w:val="0"/>
        <w:i w:val="0"/>
        <w:iCs w:val="0"/>
        <w:caps w:val="0"/>
        <w:smallCaps w:val="0"/>
        <w:strike w:val="0"/>
        <w:dstrike w:val="0"/>
        <w:noProof w:val="0"/>
        <w:vanish w:val="0"/>
        <w:color w:val="000000"/>
        <w:spacing w:val="0"/>
        <w:kern w:val="0"/>
        <w:position w:val="0"/>
        <w:sz w:val="18"/>
        <w:u w:val="none"/>
        <w:effect w:val="none"/>
        <w:vertAlign w:val="baseline"/>
        <w:specVanish w:val="0"/>
      </w:rPr>
    </w:lvl>
    <w:lvl w:ilvl="1">
      <w:start w:val="1"/>
      <w:numFmt w:val="decimal"/>
      <w:pStyle w:val="Heading2"/>
      <w:lvlText w:val="%1.%2—"/>
      <w:lvlJc w:val="left"/>
      <w:pPr>
        <w:tabs>
          <w:tab w:val="num" w:pos="567"/>
        </w:tabs>
        <w:ind w:left="567" w:hanging="567"/>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specVanish w:val="0"/>
      </w:rPr>
    </w:lvl>
    <w:lvl w:ilvl="2">
      <w:start w:val="1"/>
      <w:numFmt w:val="decimal"/>
      <w:pStyle w:val="Heading3"/>
      <w:lvlText w:val="%3.%1.%2—"/>
      <w:lvlJc w:val="left"/>
      <w:pPr>
        <w:tabs>
          <w:tab w:val="num" w:pos="1247"/>
        </w:tabs>
        <w:ind w:left="1247" w:hanging="68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3">
      <w:start w:val="1"/>
      <w:numFmt w:val="lowerLetter"/>
      <w:pStyle w:val="Heading4"/>
      <w:lvlText w:val="(%4)"/>
      <w:lvlJc w:val="left"/>
      <w:pPr>
        <w:tabs>
          <w:tab w:val="num" w:pos="1673"/>
        </w:tabs>
        <w:ind w:left="1673" w:hanging="426"/>
      </w:pPr>
      <w:rPr>
        <w:rFonts w:ascii="Georgia" w:hAnsi="Georgia" w:cs="Times New Roman" w:hint="default"/>
        <w:b w:val="0"/>
        <w:bCs w:val="0"/>
        <w:i w:val="0"/>
        <w:iCs w:val="0"/>
        <w:caps w:val="0"/>
        <w:smallCaps w:val="0"/>
        <w:strike w:val="0"/>
        <w:dstrike w:val="0"/>
        <w:noProof w:val="0"/>
        <w:vanish w:val="0"/>
        <w:color w:val="000000"/>
        <w:spacing w:val="0"/>
        <w:kern w:val="0"/>
        <w:position w:val="0"/>
        <w:sz w:val="18"/>
        <w:u w:val="none"/>
        <w:effect w:val="none"/>
        <w:vertAlign w:val="baseline"/>
        <w:specVanish w:val="0"/>
      </w:rPr>
    </w:lvl>
    <w:lvl w:ilvl="4">
      <w:start w:val="1"/>
      <w:numFmt w:val="lowerRoman"/>
      <w:pStyle w:val="Heading5"/>
      <w:lvlText w:val="(%5)"/>
      <w:lvlJc w:val="left"/>
      <w:pPr>
        <w:tabs>
          <w:tab w:val="num" w:pos="1673"/>
        </w:tabs>
        <w:ind w:left="1673" w:hanging="426"/>
      </w:pPr>
      <w:rPr>
        <w:rFonts w:hint="default"/>
        <w:b w:val="0"/>
        <w:i w:val="0"/>
        <w:sz w:val="18"/>
      </w:rPr>
    </w:lvl>
    <w:lvl w:ilvl="5">
      <w:start w:val="1"/>
      <w:numFmt w:val="lowerLetter"/>
      <w:pStyle w:val="Heading6"/>
      <w:lvlText w:val="(%6)"/>
      <w:lvlJc w:val="left"/>
      <w:pPr>
        <w:tabs>
          <w:tab w:val="num" w:pos="2523"/>
        </w:tabs>
        <w:ind w:left="2523" w:hanging="425"/>
      </w:pPr>
      <w:rPr>
        <w:rFonts w:hint="default"/>
        <w:b w:val="0"/>
        <w:i w:val="0"/>
        <w:sz w:val="18"/>
        <w:szCs w:val="20"/>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b w:val="0"/>
        <w:i w:val="0"/>
        <w:sz w:val="22"/>
      </w:rPr>
    </w:lvl>
    <w:lvl w:ilvl="8">
      <w:start w:val="1"/>
      <w:numFmt w:val="lowerRoman"/>
      <w:pStyle w:val="Heading9"/>
      <w:lvlText w:val="(%9)"/>
      <w:lvlJc w:val="left"/>
      <w:pPr>
        <w:ind w:left="5760" w:firstLine="0"/>
      </w:pPr>
      <w:rPr>
        <w:rFonts w:hint="default"/>
        <w:b w:val="0"/>
        <w:i w:val="0"/>
        <w:sz w:val="18"/>
      </w:rPr>
    </w:lvl>
  </w:abstractNum>
  <w:abstractNum w:abstractNumId="40" w15:restartNumberingAfterBreak="0">
    <w:nsid w:val="3E812C64"/>
    <w:multiLevelType w:val="hybridMultilevel"/>
    <w:tmpl w:val="CA361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4D67987"/>
    <w:multiLevelType w:val="hybridMultilevel"/>
    <w:tmpl w:val="EBD6FB80"/>
    <w:lvl w:ilvl="0" w:tplc="C35ACC2C">
      <w:start w:val="1"/>
      <w:numFmt w:val="bullet"/>
      <w:pStyle w:val="subclause1Bullet2"/>
      <w:lvlText w:val=""/>
      <w:lvlJc w:val="left"/>
      <w:pPr>
        <w:ind w:left="1440" w:hanging="360"/>
      </w:pPr>
      <w:rPr>
        <w:rFonts w:ascii="Symbol" w:hAnsi="Symbol" w:hint="default"/>
        <w:color w:val="000000"/>
      </w:rPr>
    </w:lvl>
    <w:lvl w:ilvl="1" w:tplc="66D45F74" w:tentative="1">
      <w:start w:val="1"/>
      <w:numFmt w:val="bullet"/>
      <w:lvlText w:val="o"/>
      <w:lvlJc w:val="left"/>
      <w:pPr>
        <w:ind w:left="2160" w:hanging="360"/>
      </w:pPr>
      <w:rPr>
        <w:rFonts w:ascii="Courier New" w:hAnsi="Courier New" w:cs="Courier New" w:hint="default"/>
      </w:rPr>
    </w:lvl>
    <w:lvl w:ilvl="2" w:tplc="77903A1A" w:tentative="1">
      <w:start w:val="1"/>
      <w:numFmt w:val="bullet"/>
      <w:lvlText w:val=""/>
      <w:lvlJc w:val="left"/>
      <w:pPr>
        <w:ind w:left="2880" w:hanging="360"/>
      </w:pPr>
      <w:rPr>
        <w:rFonts w:ascii="Wingdings" w:hAnsi="Wingdings" w:hint="default"/>
      </w:rPr>
    </w:lvl>
    <w:lvl w:ilvl="3" w:tplc="5AE2E17A" w:tentative="1">
      <w:start w:val="1"/>
      <w:numFmt w:val="bullet"/>
      <w:lvlText w:val=""/>
      <w:lvlJc w:val="left"/>
      <w:pPr>
        <w:ind w:left="3600" w:hanging="360"/>
      </w:pPr>
      <w:rPr>
        <w:rFonts w:ascii="Symbol" w:hAnsi="Symbol" w:hint="default"/>
      </w:rPr>
    </w:lvl>
    <w:lvl w:ilvl="4" w:tplc="8BDAAB62" w:tentative="1">
      <w:start w:val="1"/>
      <w:numFmt w:val="bullet"/>
      <w:lvlText w:val="o"/>
      <w:lvlJc w:val="left"/>
      <w:pPr>
        <w:ind w:left="4320" w:hanging="360"/>
      </w:pPr>
      <w:rPr>
        <w:rFonts w:ascii="Courier New" w:hAnsi="Courier New" w:cs="Courier New" w:hint="default"/>
      </w:rPr>
    </w:lvl>
    <w:lvl w:ilvl="5" w:tplc="7BC80F18" w:tentative="1">
      <w:start w:val="1"/>
      <w:numFmt w:val="bullet"/>
      <w:lvlText w:val=""/>
      <w:lvlJc w:val="left"/>
      <w:pPr>
        <w:ind w:left="5040" w:hanging="360"/>
      </w:pPr>
      <w:rPr>
        <w:rFonts w:ascii="Wingdings" w:hAnsi="Wingdings" w:hint="default"/>
      </w:rPr>
    </w:lvl>
    <w:lvl w:ilvl="6" w:tplc="7BEC7458" w:tentative="1">
      <w:start w:val="1"/>
      <w:numFmt w:val="bullet"/>
      <w:lvlText w:val=""/>
      <w:lvlJc w:val="left"/>
      <w:pPr>
        <w:ind w:left="5760" w:hanging="360"/>
      </w:pPr>
      <w:rPr>
        <w:rFonts w:ascii="Symbol" w:hAnsi="Symbol" w:hint="default"/>
      </w:rPr>
    </w:lvl>
    <w:lvl w:ilvl="7" w:tplc="CEE0F834" w:tentative="1">
      <w:start w:val="1"/>
      <w:numFmt w:val="bullet"/>
      <w:lvlText w:val="o"/>
      <w:lvlJc w:val="left"/>
      <w:pPr>
        <w:ind w:left="6480" w:hanging="360"/>
      </w:pPr>
      <w:rPr>
        <w:rFonts w:ascii="Courier New" w:hAnsi="Courier New" w:cs="Courier New" w:hint="default"/>
      </w:rPr>
    </w:lvl>
    <w:lvl w:ilvl="8" w:tplc="6DD88B32" w:tentative="1">
      <w:start w:val="1"/>
      <w:numFmt w:val="bullet"/>
      <w:lvlText w:val=""/>
      <w:lvlJc w:val="left"/>
      <w:pPr>
        <w:ind w:left="7200" w:hanging="360"/>
      </w:pPr>
      <w:rPr>
        <w:rFonts w:ascii="Wingdings" w:hAnsi="Wingdings" w:hint="default"/>
      </w:rPr>
    </w:lvl>
  </w:abstractNum>
  <w:abstractNum w:abstractNumId="42" w15:restartNumberingAfterBreak="0">
    <w:nsid w:val="44E96665"/>
    <w:multiLevelType w:val="hybridMultilevel"/>
    <w:tmpl w:val="EF1E142A"/>
    <w:lvl w:ilvl="0" w:tplc="9E40A21C">
      <w:start w:val="1"/>
      <w:numFmt w:val="bullet"/>
      <w:pStyle w:val="subclause3Bullet1"/>
      <w:lvlText w:val=""/>
      <w:lvlJc w:val="left"/>
      <w:pPr>
        <w:ind w:left="2988" w:hanging="360"/>
      </w:pPr>
      <w:rPr>
        <w:rFonts w:ascii="Symbol" w:hAnsi="Symbol" w:hint="default"/>
        <w:color w:val="000000"/>
      </w:rPr>
    </w:lvl>
    <w:lvl w:ilvl="1" w:tplc="A8E2720A" w:tentative="1">
      <w:start w:val="1"/>
      <w:numFmt w:val="bullet"/>
      <w:lvlText w:val="o"/>
      <w:lvlJc w:val="left"/>
      <w:pPr>
        <w:ind w:left="3708" w:hanging="360"/>
      </w:pPr>
      <w:rPr>
        <w:rFonts w:ascii="Courier New" w:hAnsi="Courier New" w:cs="Courier New" w:hint="default"/>
      </w:rPr>
    </w:lvl>
    <w:lvl w:ilvl="2" w:tplc="861A06E2" w:tentative="1">
      <w:start w:val="1"/>
      <w:numFmt w:val="bullet"/>
      <w:lvlText w:val=""/>
      <w:lvlJc w:val="left"/>
      <w:pPr>
        <w:ind w:left="4428" w:hanging="360"/>
      </w:pPr>
      <w:rPr>
        <w:rFonts w:ascii="Wingdings" w:hAnsi="Wingdings" w:hint="default"/>
      </w:rPr>
    </w:lvl>
    <w:lvl w:ilvl="3" w:tplc="4D0E6176" w:tentative="1">
      <w:start w:val="1"/>
      <w:numFmt w:val="bullet"/>
      <w:lvlText w:val=""/>
      <w:lvlJc w:val="left"/>
      <w:pPr>
        <w:ind w:left="5148" w:hanging="360"/>
      </w:pPr>
      <w:rPr>
        <w:rFonts w:ascii="Symbol" w:hAnsi="Symbol" w:hint="default"/>
      </w:rPr>
    </w:lvl>
    <w:lvl w:ilvl="4" w:tplc="6F963ED0" w:tentative="1">
      <w:start w:val="1"/>
      <w:numFmt w:val="bullet"/>
      <w:lvlText w:val="o"/>
      <w:lvlJc w:val="left"/>
      <w:pPr>
        <w:ind w:left="5868" w:hanging="360"/>
      </w:pPr>
      <w:rPr>
        <w:rFonts w:ascii="Courier New" w:hAnsi="Courier New" w:cs="Courier New" w:hint="default"/>
      </w:rPr>
    </w:lvl>
    <w:lvl w:ilvl="5" w:tplc="18EECF08" w:tentative="1">
      <w:start w:val="1"/>
      <w:numFmt w:val="bullet"/>
      <w:lvlText w:val=""/>
      <w:lvlJc w:val="left"/>
      <w:pPr>
        <w:ind w:left="6588" w:hanging="360"/>
      </w:pPr>
      <w:rPr>
        <w:rFonts w:ascii="Wingdings" w:hAnsi="Wingdings" w:hint="default"/>
      </w:rPr>
    </w:lvl>
    <w:lvl w:ilvl="6" w:tplc="F328C958" w:tentative="1">
      <w:start w:val="1"/>
      <w:numFmt w:val="bullet"/>
      <w:lvlText w:val=""/>
      <w:lvlJc w:val="left"/>
      <w:pPr>
        <w:ind w:left="7308" w:hanging="360"/>
      </w:pPr>
      <w:rPr>
        <w:rFonts w:ascii="Symbol" w:hAnsi="Symbol" w:hint="default"/>
      </w:rPr>
    </w:lvl>
    <w:lvl w:ilvl="7" w:tplc="B8B21256" w:tentative="1">
      <w:start w:val="1"/>
      <w:numFmt w:val="bullet"/>
      <w:lvlText w:val="o"/>
      <w:lvlJc w:val="left"/>
      <w:pPr>
        <w:ind w:left="8028" w:hanging="360"/>
      </w:pPr>
      <w:rPr>
        <w:rFonts w:ascii="Courier New" w:hAnsi="Courier New" w:cs="Courier New" w:hint="default"/>
      </w:rPr>
    </w:lvl>
    <w:lvl w:ilvl="8" w:tplc="C24A1C26" w:tentative="1">
      <w:start w:val="1"/>
      <w:numFmt w:val="bullet"/>
      <w:lvlText w:val=""/>
      <w:lvlJc w:val="left"/>
      <w:pPr>
        <w:ind w:left="8748" w:hanging="360"/>
      </w:pPr>
      <w:rPr>
        <w:rFonts w:ascii="Wingdings" w:hAnsi="Wingdings" w:hint="default"/>
      </w:rPr>
    </w:lvl>
  </w:abstractNum>
  <w:abstractNum w:abstractNumId="43" w15:restartNumberingAfterBreak="0">
    <w:nsid w:val="45CA7D36"/>
    <w:multiLevelType w:val="multilevel"/>
    <w:tmpl w:val="92C8777A"/>
    <w:lvl w:ilvl="0">
      <w:start w:val="1"/>
      <w:numFmt w:val="decimal"/>
      <w:pStyle w:val="LV1"/>
      <w:lvlText w:val="%1"/>
      <w:lvlJc w:val="left"/>
      <w:pPr>
        <w:tabs>
          <w:tab w:val="num" w:pos="567"/>
        </w:tabs>
        <w:ind w:left="567" w:hanging="567"/>
      </w:pPr>
      <w:rPr>
        <w:rFonts w:ascii="Georgia" w:hAnsi="Georgia"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rPr>
    </w:lvl>
    <w:lvl w:ilvl="1">
      <w:start w:val="1"/>
      <w:numFmt w:val="decimal"/>
      <w:pStyle w:val="LV2"/>
      <w:lvlText w:val="%1.%2"/>
      <w:lvlJc w:val="left"/>
      <w:pPr>
        <w:tabs>
          <w:tab w:val="num" w:pos="567"/>
        </w:tabs>
        <w:ind w:left="567" w:hanging="567"/>
      </w:pPr>
      <w:rPr>
        <w:rFonts w:ascii="Georgia" w:hAnsi="Georgia"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specVanish w:val="0"/>
      </w:rPr>
    </w:lvl>
    <w:lvl w:ilvl="2">
      <w:start w:val="1"/>
      <w:numFmt w:val="decimal"/>
      <w:pStyle w:val="LV3"/>
      <w:lvlText w:val="%1.%2.%3"/>
      <w:lvlJc w:val="left"/>
      <w:pPr>
        <w:tabs>
          <w:tab w:val="num" w:pos="1247"/>
        </w:tabs>
        <w:ind w:left="1247" w:hanging="680"/>
      </w:pPr>
      <w:rPr>
        <w:rFonts w:ascii="Georgia" w:hAnsi="Georgia"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sz w:val="20"/>
        <w:u w:val="none"/>
        <w:effect w:val="none"/>
        <w:vertAlign w:val="baseline"/>
        <w:specVanish w:val="0"/>
      </w:rPr>
    </w:lvl>
    <w:lvl w:ilvl="3">
      <w:start w:val="1"/>
      <w:numFmt w:val="lowerLetter"/>
      <w:pStyle w:val="LV4"/>
      <w:lvlText w:val="(%4)"/>
      <w:lvlJc w:val="left"/>
      <w:pPr>
        <w:tabs>
          <w:tab w:val="num" w:pos="1673"/>
        </w:tabs>
        <w:ind w:left="1673" w:hanging="426"/>
      </w:pPr>
      <w:rPr>
        <w:rFonts w:ascii="Georgia" w:hAnsi="Georgia" w:cs="Times New Roman" w:hint="default"/>
        <w:b w:val="0"/>
        <w:bCs w:val="0"/>
        <w:i w:val="0"/>
        <w:iCs w:val="0"/>
        <w:caps w:val="0"/>
        <w:smallCaps w:val="0"/>
        <w:strike w:val="0"/>
        <w:dstrike w:val="0"/>
        <w:vanish w:val="0"/>
        <w:color w:val="000000"/>
        <w:spacing w:val="0"/>
        <w:kern w:val="0"/>
        <w:position w:val="0"/>
        <w:sz w:val="20"/>
        <w:u w:val="none"/>
        <w:effect w:val="none"/>
        <w:vertAlign w:val="baseline"/>
      </w:rPr>
    </w:lvl>
    <w:lvl w:ilvl="4">
      <w:start w:val="1"/>
      <w:numFmt w:val="lowerRoman"/>
      <w:pStyle w:val="LV5"/>
      <w:lvlText w:val="(%5)"/>
      <w:lvlJc w:val="left"/>
      <w:pPr>
        <w:tabs>
          <w:tab w:val="num" w:pos="1673"/>
        </w:tabs>
        <w:ind w:left="1673" w:hanging="426"/>
      </w:pPr>
      <w:rPr>
        <w:rFonts w:ascii="Georgia" w:hAnsi="Georgia" w:hint="default"/>
        <w:b w:val="0"/>
        <w:i w:val="0"/>
        <w:sz w:val="20"/>
      </w:rPr>
    </w:lvl>
    <w:lvl w:ilvl="5">
      <w:start w:val="1"/>
      <w:numFmt w:val="lowerLetter"/>
      <w:lvlText w:val="(%6)"/>
      <w:lvlJc w:val="left"/>
      <w:pPr>
        <w:tabs>
          <w:tab w:val="num" w:pos="2523"/>
        </w:tabs>
        <w:ind w:left="2523" w:hanging="425"/>
      </w:pPr>
      <w:rPr>
        <w:rFonts w:hint="default"/>
        <w:b w:val="0"/>
        <w:i w:val="0"/>
        <w:sz w:val="18"/>
        <w:szCs w:val="20"/>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b w:val="0"/>
        <w:i w:val="0"/>
        <w:sz w:val="22"/>
      </w:rPr>
    </w:lvl>
    <w:lvl w:ilvl="8">
      <w:start w:val="1"/>
      <w:numFmt w:val="lowerRoman"/>
      <w:lvlText w:val="(%9)"/>
      <w:lvlJc w:val="left"/>
      <w:pPr>
        <w:ind w:left="5760" w:firstLine="0"/>
      </w:pPr>
      <w:rPr>
        <w:rFonts w:hint="default"/>
        <w:b w:val="0"/>
        <w:i w:val="0"/>
        <w:sz w:val="18"/>
      </w:rPr>
    </w:lvl>
  </w:abstractNum>
  <w:abstractNum w:abstractNumId="44" w15:restartNumberingAfterBreak="0">
    <w:nsid w:val="46AC04C6"/>
    <w:multiLevelType w:val="hybridMultilevel"/>
    <w:tmpl w:val="E6C47700"/>
    <w:lvl w:ilvl="0" w:tplc="62F003EC">
      <w:start w:val="1"/>
      <w:numFmt w:val="bullet"/>
      <w:pStyle w:val="subclause2Bullet1"/>
      <w:lvlText w:val=""/>
      <w:lvlJc w:val="left"/>
      <w:pPr>
        <w:ind w:left="2279" w:hanging="360"/>
      </w:pPr>
      <w:rPr>
        <w:rFonts w:ascii="Symbol" w:hAnsi="Symbol" w:hint="default"/>
        <w:color w:val="000000"/>
      </w:rPr>
    </w:lvl>
    <w:lvl w:ilvl="1" w:tplc="F650EE64" w:tentative="1">
      <w:start w:val="1"/>
      <w:numFmt w:val="bullet"/>
      <w:lvlText w:val="o"/>
      <w:lvlJc w:val="left"/>
      <w:pPr>
        <w:ind w:left="2999" w:hanging="360"/>
      </w:pPr>
      <w:rPr>
        <w:rFonts w:ascii="Courier New" w:hAnsi="Courier New" w:cs="Courier New" w:hint="default"/>
      </w:rPr>
    </w:lvl>
    <w:lvl w:ilvl="2" w:tplc="F8F8CBB8" w:tentative="1">
      <w:start w:val="1"/>
      <w:numFmt w:val="bullet"/>
      <w:lvlText w:val=""/>
      <w:lvlJc w:val="left"/>
      <w:pPr>
        <w:ind w:left="3719" w:hanging="360"/>
      </w:pPr>
      <w:rPr>
        <w:rFonts w:ascii="Wingdings" w:hAnsi="Wingdings" w:hint="default"/>
      </w:rPr>
    </w:lvl>
    <w:lvl w:ilvl="3" w:tplc="E3E2E5A4" w:tentative="1">
      <w:start w:val="1"/>
      <w:numFmt w:val="bullet"/>
      <w:lvlText w:val=""/>
      <w:lvlJc w:val="left"/>
      <w:pPr>
        <w:ind w:left="4439" w:hanging="360"/>
      </w:pPr>
      <w:rPr>
        <w:rFonts w:ascii="Symbol" w:hAnsi="Symbol" w:hint="default"/>
      </w:rPr>
    </w:lvl>
    <w:lvl w:ilvl="4" w:tplc="85F44FFA" w:tentative="1">
      <w:start w:val="1"/>
      <w:numFmt w:val="bullet"/>
      <w:lvlText w:val="o"/>
      <w:lvlJc w:val="left"/>
      <w:pPr>
        <w:ind w:left="5159" w:hanging="360"/>
      </w:pPr>
      <w:rPr>
        <w:rFonts w:ascii="Courier New" w:hAnsi="Courier New" w:cs="Courier New" w:hint="default"/>
      </w:rPr>
    </w:lvl>
    <w:lvl w:ilvl="5" w:tplc="888CE47E" w:tentative="1">
      <w:start w:val="1"/>
      <w:numFmt w:val="bullet"/>
      <w:lvlText w:val=""/>
      <w:lvlJc w:val="left"/>
      <w:pPr>
        <w:ind w:left="5879" w:hanging="360"/>
      </w:pPr>
      <w:rPr>
        <w:rFonts w:ascii="Wingdings" w:hAnsi="Wingdings" w:hint="default"/>
      </w:rPr>
    </w:lvl>
    <w:lvl w:ilvl="6" w:tplc="5470D63E" w:tentative="1">
      <w:start w:val="1"/>
      <w:numFmt w:val="bullet"/>
      <w:lvlText w:val=""/>
      <w:lvlJc w:val="left"/>
      <w:pPr>
        <w:ind w:left="6599" w:hanging="360"/>
      </w:pPr>
      <w:rPr>
        <w:rFonts w:ascii="Symbol" w:hAnsi="Symbol" w:hint="default"/>
      </w:rPr>
    </w:lvl>
    <w:lvl w:ilvl="7" w:tplc="A93049DE" w:tentative="1">
      <w:start w:val="1"/>
      <w:numFmt w:val="bullet"/>
      <w:lvlText w:val="o"/>
      <w:lvlJc w:val="left"/>
      <w:pPr>
        <w:ind w:left="7319" w:hanging="360"/>
      </w:pPr>
      <w:rPr>
        <w:rFonts w:ascii="Courier New" w:hAnsi="Courier New" w:cs="Courier New" w:hint="default"/>
      </w:rPr>
    </w:lvl>
    <w:lvl w:ilvl="8" w:tplc="1A103C40" w:tentative="1">
      <w:start w:val="1"/>
      <w:numFmt w:val="bullet"/>
      <w:lvlText w:val=""/>
      <w:lvlJc w:val="left"/>
      <w:pPr>
        <w:ind w:left="8039" w:hanging="360"/>
      </w:pPr>
      <w:rPr>
        <w:rFonts w:ascii="Wingdings" w:hAnsi="Wingdings" w:hint="default"/>
      </w:rPr>
    </w:lvl>
  </w:abstractNum>
  <w:abstractNum w:abstractNumId="45" w15:restartNumberingAfterBreak="0">
    <w:nsid w:val="47F42723"/>
    <w:multiLevelType w:val="hybridMultilevel"/>
    <w:tmpl w:val="C5A02EE6"/>
    <w:lvl w:ilvl="0" w:tplc="8D126E72">
      <w:start w:val="1"/>
      <w:numFmt w:val="bullet"/>
      <w:pStyle w:val="subclause1Bullet1"/>
      <w:lvlText w:val=""/>
      <w:lvlJc w:val="left"/>
      <w:pPr>
        <w:ind w:left="1440" w:hanging="360"/>
      </w:pPr>
      <w:rPr>
        <w:rFonts w:ascii="Symbol" w:hAnsi="Symbol" w:hint="default"/>
        <w:color w:val="000000"/>
      </w:rPr>
    </w:lvl>
    <w:lvl w:ilvl="1" w:tplc="AE98950E" w:tentative="1">
      <w:start w:val="1"/>
      <w:numFmt w:val="bullet"/>
      <w:lvlText w:val="o"/>
      <w:lvlJc w:val="left"/>
      <w:pPr>
        <w:ind w:left="2160" w:hanging="360"/>
      </w:pPr>
      <w:rPr>
        <w:rFonts w:ascii="Courier New" w:hAnsi="Courier New" w:cs="Courier New" w:hint="default"/>
      </w:rPr>
    </w:lvl>
    <w:lvl w:ilvl="2" w:tplc="E870D346" w:tentative="1">
      <w:start w:val="1"/>
      <w:numFmt w:val="bullet"/>
      <w:lvlText w:val=""/>
      <w:lvlJc w:val="left"/>
      <w:pPr>
        <w:ind w:left="2880" w:hanging="360"/>
      </w:pPr>
      <w:rPr>
        <w:rFonts w:ascii="Wingdings" w:hAnsi="Wingdings" w:hint="default"/>
      </w:rPr>
    </w:lvl>
    <w:lvl w:ilvl="3" w:tplc="B540090A" w:tentative="1">
      <w:start w:val="1"/>
      <w:numFmt w:val="bullet"/>
      <w:lvlText w:val=""/>
      <w:lvlJc w:val="left"/>
      <w:pPr>
        <w:ind w:left="3600" w:hanging="360"/>
      </w:pPr>
      <w:rPr>
        <w:rFonts w:ascii="Symbol" w:hAnsi="Symbol" w:hint="default"/>
      </w:rPr>
    </w:lvl>
    <w:lvl w:ilvl="4" w:tplc="286861B0" w:tentative="1">
      <w:start w:val="1"/>
      <w:numFmt w:val="bullet"/>
      <w:lvlText w:val="o"/>
      <w:lvlJc w:val="left"/>
      <w:pPr>
        <w:ind w:left="4320" w:hanging="360"/>
      </w:pPr>
      <w:rPr>
        <w:rFonts w:ascii="Courier New" w:hAnsi="Courier New" w:cs="Courier New" w:hint="default"/>
      </w:rPr>
    </w:lvl>
    <w:lvl w:ilvl="5" w:tplc="16D42962" w:tentative="1">
      <w:start w:val="1"/>
      <w:numFmt w:val="bullet"/>
      <w:lvlText w:val=""/>
      <w:lvlJc w:val="left"/>
      <w:pPr>
        <w:ind w:left="5040" w:hanging="360"/>
      </w:pPr>
      <w:rPr>
        <w:rFonts w:ascii="Wingdings" w:hAnsi="Wingdings" w:hint="default"/>
      </w:rPr>
    </w:lvl>
    <w:lvl w:ilvl="6" w:tplc="F618A4B2" w:tentative="1">
      <w:start w:val="1"/>
      <w:numFmt w:val="bullet"/>
      <w:lvlText w:val=""/>
      <w:lvlJc w:val="left"/>
      <w:pPr>
        <w:ind w:left="5760" w:hanging="360"/>
      </w:pPr>
      <w:rPr>
        <w:rFonts w:ascii="Symbol" w:hAnsi="Symbol" w:hint="default"/>
      </w:rPr>
    </w:lvl>
    <w:lvl w:ilvl="7" w:tplc="C292E652" w:tentative="1">
      <w:start w:val="1"/>
      <w:numFmt w:val="bullet"/>
      <w:lvlText w:val="o"/>
      <w:lvlJc w:val="left"/>
      <w:pPr>
        <w:ind w:left="6480" w:hanging="360"/>
      </w:pPr>
      <w:rPr>
        <w:rFonts w:ascii="Courier New" w:hAnsi="Courier New" w:cs="Courier New" w:hint="default"/>
      </w:rPr>
    </w:lvl>
    <w:lvl w:ilvl="8" w:tplc="7688DD9A" w:tentative="1">
      <w:start w:val="1"/>
      <w:numFmt w:val="bullet"/>
      <w:lvlText w:val=""/>
      <w:lvlJc w:val="left"/>
      <w:pPr>
        <w:ind w:left="7200" w:hanging="360"/>
      </w:pPr>
      <w:rPr>
        <w:rFonts w:ascii="Wingdings" w:hAnsi="Wingdings" w:hint="default"/>
      </w:rPr>
    </w:lvl>
  </w:abstractNum>
  <w:abstractNum w:abstractNumId="46" w15:restartNumberingAfterBreak="0">
    <w:nsid w:val="4FBE7327"/>
    <w:multiLevelType w:val="hybridMultilevel"/>
    <w:tmpl w:val="B23AF3C6"/>
    <w:lvl w:ilvl="0" w:tplc="9A6CB928">
      <w:start w:val="1"/>
      <w:numFmt w:val="decimal"/>
      <w:lvlText w:val="%1."/>
      <w:lvlJc w:val="left"/>
      <w:pPr>
        <w:ind w:left="720" w:hanging="360"/>
      </w:pPr>
      <w:rPr>
        <w:rFonts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5CB0AF0"/>
    <w:multiLevelType w:val="hybridMultilevel"/>
    <w:tmpl w:val="EB98B43A"/>
    <w:lvl w:ilvl="0" w:tplc="91B8EAFC">
      <w:start w:val="1"/>
      <w:numFmt w:val="decimal"/>
      <w:pStyle w:val="LongQuestionPara"/>
      <w:lvlText w:val="%1."/>
      <w:lvlJc w:val="left"/>
      <w:pPr>
        <w:ind w:left="360" w:hanging="360"/>
      </w:pPr>
      <w:rPr>
        <w:rFonts w:hint="default"/>
        <w:b/>
        <w:i w:val="0"/>
        <w:color w:val="000000"/>
        <w:sz w:val="24"/>
      </w:rPr>
    </w:lvl>
    <w:lvl w:ilvl="1" w:tplc="8216185C" w:tentative="1">
      <w:start w:val="1"/>
      <w:numFmt w:val="lowerLetter"/>
      <w:lvlText w:val="%2."/>
      <w:lvlJc w:val="left"/>
      <w:pPr>
        <w:ind w:left="1440" w:hanging="360"/>
      </w:pPr>
    </w:lvl>
    <w:lvl w:ilvl="2" w:tplc="03146BB4" w:tentative="1">
      <w:start w:val="1"/>
      <w:numFmt w:val="lowerRoman"/>
      <w:lvlText w:val="%3."/>
      <w:lvlJc w:val="right"/>
      <w:pPr>
        <w:ind w:left="2160" w:hanging="180"/>
      </w:pPr>
    </w:lvl>
    <w:lvl w:ilvl="3" w:tplc="5600D6D4" w:tentative="1">
      <w:start w:val="1"/>
      <w:numFmt w:val="decimal"/>
      <w:lvlText w:val="%4."/>
      <w:lvlJc w:val="left"/>
      <w:pPr>
        <w:ind w:left="2880" w:hanging="360"/>
      </w:pPr>
    </w:lvl>
    <w:lvl w:ilvl="4" w:tplc="1B0C1520" w:tentative="1">
      <w:start w:val="1"/>
      <w:numFmt w:val="lowerLetter"/>
      <w:lvlText w:val="%5."/>
      <w:lvlJc w:val="left"/>
      <w:pPr>
        <w:ind w:left="3600" w:hanging="360"/>
      </w:pPr>
    </w:lvl>
    <w:lvl w:ilvl="5" w:tplc="DB780CB8" w:tentative="1">
      <w:start w:val="1"/>
      <w:numFmt w:val="lowerRoman"/>
      <w:lvlText w:val="%6."/>
      <w:lvlJc w:val="right"/>
      <w:pPr>
        <w:ind w:left="4320" w:hanging="180"/>
      </w:pPr>
    </w:lvl>
    <w:lvl w:ilvl="6" w:tplc="2E6EB3F4" w:tentative="1">
      <w:start w:val="1"/>
      <w:numFmt w:val="decimal"/>
      <w:lvlText w:val="%7."/>
      <w:lvlJc w:val="left"/>
      <w:pPr>
        <w:ind w:left="5040" w:hanging="360"/>
      </w:pPr>
    </w:lvl>
    <w:lvl w:ilvl="7" w:tplc="314454D4" w:tentative="1">
      <w:start w:val="1"/>
      <w:numFmt w:val="lowerLetter"/>
      <w:lvlText w:val="%8."/>
      <w:lvlJc w:val="left"/>
      <w:pPr>
        <w:ind w:left="5760" w:hanging="360"/>
      </w:pPr>
    </w:lvl>
    <w:lvl w:ilvl="8" w:tplc="C55AAD54" w:tentative="1">
      <w:start w:val="1"/>
      <w:numFmt w:val="lowerRoman"/>
      <w:lvlText w:val="%9."/>
      <w:lvlJc w:val="right"/>
      <w:pPr>
        <w:ind w:left="6480" w:hanging="180"/>
      </w:pPr>
    </w:lvl>
  </w:abstractNum>
  <w:abstractNum w:abstractNumId="48" w15:restartNumberingAfterBreak="0">
    <w:nsid w:val="5FBC6DB9"/>
    <w:multiLevelType w:val="hybridMultilevel"/>
    <w:tmpl w:val="594C4DAE"/>
    <w:lvl w:ilvl="0" w:tplc="80C2FE88">
      <w:start w:val="1"/>
      <w:numFmt w:val="bullet"/>
      <w:pStyle w:val="Bullet4"/>
      <w:lvlText w:val=""/>
      <w:lvlJc w:val="left"/>
      <w:pPr>
        <w:tabs>
          <w:tab w:val="num" w:pos="2676"/>
        </w:tabs>
        <w:ind w:left="2676" w:hanging="357"/>
      </w:pPr>
      <w:rPr>
        <w:rFonts w:ascii="Symbol" w:hAnsi="Symbol" w:hint="default"/>
      </w:rPr>
    </w:lvl>
    <w:lvl w:ilvl="1" w:tplc="2FF432B2" w:tentative="1">
      <w:start w:val="1"/>
      <w:numFmt w:val="bullet"/>
      <w:lvlText w:val="o"/>
      <w:lvlJc w:val="left"/>
      <w:pPr>
        <w:tabs>
          <w:tab w:val="num" w:pos="1440"/>
        </w:tabs>
        <w:ind w:left="1440" w:hanging="360"/>
      </w:pPr>
      <w:rPr>
        <w:rFonts w:ascii="Courier New" w:hAnsi="Courier New" w:cs="Courier New" w:hint="default"/>
      </w:rPr>
    </w:lvl>
    <w:lvl w:ilvl="2" w:tplc="2E06F36A" w:tentative="1">
      <w:start w:val="1"/>
      <w:numFmt w:val="bullet"/>
      <w:lvlText w:val=""/>
      <w:lvlJc w:val="left"/>
      <w:pPr>
        <w:tabs>
          <w:tab w:val="num" w:pos="2160"/>
        </w:tabs>
        <w:ind w:left="2160" w:hanging="360"/>
      </w:pPr>
      <w:rPr>
        <w:rFonts w:ascii="Wingdings" w:hAnsi="Wingdings" w:hint="default"/>
      </w:rPr>
    </w:lvl>
    <w:lvl w:ilvl="3" w:tplc="E084BF3C" w:tentative="1">
      <w:start w:val="1"/>
      <w:numFmt w:val="bullet"/>
      <w:lvlText w:val=""/>
      <w:lvlJc w:val="left"/>
      <w:pPr>
        <w:tabs>
          <w:tab w:val="num" w:pos="2880"/>
        </w:tabs>
        <w:ind w:left="2880" w:hanging="360"/>
      </w:pPr>
      <w:rPr>
        <w:rFonts w:ascii="Symbol" w:hAnsi="Symbol" w:hint="default"/>
      </w:rPr>
    </w:lvl>
    <w:lvl w:ilvl="4" w:tplc="13EA393E" w:tentative="1">
      <w:start w:val="1"/>
      <w:numFmt w:val="bullet"/>
      <w:lvlText w:val="o"/>
      <w:lvlJc w:val="left"/>
      <w:pPr>
        <w:tabs>
          <w:tab w:val="num" w:pos="3600"/>
        </w:tabs>
        <w:ind w:left="3600" w:hanging="360"/>
      </w:pPr>
      <w:rPr>
        <w:rFonts w:ascii="Courier New" w:hAnsi="Courier New" w:cs="Courier New" w:hint="default"/>
      </w:rPr>
    </w:lvl>
    <w:lvl w:ilvl="5" w:tplc="5ADCFB66" w:tentative="1">
      <w:start w:val="1"/>
      <w:numFmt w:val="bullet"/>
      <w:lvlText w:val=""/>
      <w:lvlJc w:val="left"/>
      <w:pPr>
        <w:tabs>
          <w:tab w:val="num" w:pos="4320"/>
        </w:tabs>
        <w:ind w:left="4320" w:hanging="360"/>
      </w:pPr>
      <w:rPr>
        <w:rFonts w:ascii="Wingdings" w:hAnsi="Wingdings" w:hint="default"/>
      </w:rPr>
    </w:lvl>
    <w:lvl w:ilvl="6" w:tplc="06A2D9BC" w:tentative="1">
      <w:start w:val="1"/>
      <w:numFmt w:val="bullet"/>
      <w:lvlText w:val=""/>
      <w:lvlJc w:val="left"/>
      <w:pPr>
        <w:tabs>
          <w:tab w:val="num" w:pos="5040"/>
        </w:tabs>
        <w:ind w:left="5040" w:hanging="360"/>
      </w:pPr>
      <w:rPr>
        <w:rFonts w:ascii="Symbol" w:hAnsi="Symbol" w:hint="default"/>
      </w:rPr>
    </w:lvl>
    <w:lvl w:ilvl="7" w:tplc="B7082F52" w:tentative="1">
      <w:start w:val="1"/>
      <w:numFmt w:val="bullet"/>
      <w:lvlText w:val="o"/>
      <w:lvlJc w:val="left"/>
      <w:pPr>
        <w:tabs>
          <w:tab w:val="num" w:pos="5760"/>
        </w:tabs>
        <w:ind w:left="5760" w:hanging="360"/>
      </w:pPr>
      <w:rPr>
        <w:rFonts w:ascii="Courier New" w:hAnsi="Courier New" w:cs="Courier New" w:hint="default"/>
      </w:rPr>
    </w:lvl>
    <w:lvl w:ilvl="8" w:tplc="BCF451C8"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1071422"/>
    <w:multiLevelType w:val="hybridMultilevel"/>
    <w:tmpl w:val="59B858D8"/>
    <w:lvl w:ilvl="0" w:tplc="FADC69A4">
      <w:start w:val="1"/>
      <w:numFmt w:val="bullet"/>
      <w:pStyle w:val="ClauseBullet1"/>
      <w:lvlText w:val=""/>
      <w:lvlJc w:val="left"/>
      <w:pPr>
        <w:ind w:left="1080" w:hanging="360"/>
      </w:pPr>
      <w:rPr>
        <w:rFonts w:ascii="Symbol" w:hAnsi="Symbol" w:hint="default"/>
        <w:color w:val="000000"/>
      </w:rPr>
    </w:lvl>
    <w:lvl w:ilvl="1" w:tplc="31D6315C" w:tentative="1">
      <w:start w:val="1"/>
      <w:numFmt w:val="bullet"/>
      <w:lvlText w:val="o"/>
      <w:lvlJc w:val="left"/>
      <w:pPr>
        <w:ind w:left="1800" w:hanging="360"/>
      </w:pPr>
      <w:rPr>
        <w:rFonts w:ascii="Courier New" w:hAnsi="Courier New" w:cs="Courier New" w:hint="default"/>
      </w:rPr>
    </w:lvl>
    <w:lvl w:ilvl="2" w:tplc="0B18F022" w:tentative="1">
      <w:start w:val="1"/>
      <w:numFmt w:val="bullet"/>
      <w:lvlText w:val=""/>
      <w:lvlJc w:val="left"/>
      <w:pPr>
        <w:ind w:left="2520" w:hanging="360"/>
      </w:pPr>
      <w:rPr>
        <w:rFonts w:ascii="Wingdings" w:hAnsi="Wingdings" w:hint="default"/>
      </w:rPr>
    </w:lvl>
    <w:lvl w:ilvl="3" w:tplc="F8C406AC" w:tentative="1">
      <w:start w:val="1"/>
      <w:numFmt w:val="bullet"/>
      <w:lvlText w:val=""/>
      <w:lvlJc w:val="left"/>
      <w:pPr>
        <w:ind w:left="3240" w:hanging="360"/>
      </w:pPr>
      <w:rPr>
        <w:rFonts w:ascii="Symbol" w:hAnsi="Symbol" w:hint="default"/>
      </w:rPr>
    </w:lvl>
    <w:lvl w:ilvl="4" w:tplc="4AD07B7E" w:tentative="1">
      <w:start w:val="1"/>
      <w:numFmt w:val="bullet"/>
      <w:lvlText w:val="o"/>
      <w:lvlJc w:val="left"/>
      <w:pPr>
        <w:ind w:left="3960" w:hanging="360"/>
      </w:pPr>
      <w:rPr>
        <w:rFonts w:ascii="Courier New" w:hAnsi="Courier New" w:cs="Courier New" w:hint="default"/>
      </w:rPr>
    </w:lvl>
    <w:lvl w:ilvl="5" w:tplc="F6EA00C2" w:tentative="1">
      <w:start w:val="1"/>
      <w:numFmt w:val="bullet"/>
      <w:lvlText w:val=""/>
      <w:lvlJc w:val="left"/>
      <w:pPr>
        <w:ind w:left="4680" w:hanging="360"/>
      </w:pPr>
      <w:rPr>
        <w:rFonts w:ascii="Wingdings" w:hAnsi="Wingdings" w:hint="default"/>
      </w:rPr>
    </w:lvl>
    <w:lvl w:ilvl="6" w:tplc="548ABA24" w:tentative="1">
      <w:start w:val="1"/>
      <w:numFmt w:val="bullet"/>
      <w:lvlText w:val=""/>
      <w:lvlJc w:val="left"/>
      <w:pPr>
        <w:ind w:left="5400" w:hanging="360"/>
      </w:pPr>
      <w:rPr>
        <w:rFonts w:ascii="Symbol" w:hAnsi="Symbol" w:hint="default"/>
      </w:rPr>
    </w:lvl>
    <w:lvl w:ilvl="7" w:tplc="685C1E0C" w:tentative="1">
      <w:start w:val="1"/>
      <w:numFmt w:val="bullet"/>
      <w:lvlText w:val="o"/>
      <w:lvlJc w:val="left"/>
      <w:pPr>
        <w:ind w:left="6120" w:hanging="360"/>
      </w:pPr>
      <w:rPr>
        <w:rFonts w:ascii="Courier New" w:hAnsi="Courier New" w:cs="Courier New" w:hint="default"/>
      </w:rPr>
    </w:lvl>
    <w:lvl w:ilvl="8" w:tplc="0EF88756" w:tentative="1">
      <w:start w:val="1"/>
      <w:numFmt w:val="bullet"/>
      <w:lvlText w:val=""/>
      <w:lvlJc w:val="left"/>
      <w:pPr>
        <w:ind w:left="6840" w:hanging="360"/>
      </w:pPr>
      <w:rPr>
        <w:rFonts w:ascii="Wingdings" w:hAnsi="Wingdings" w:hint="default"/>
      </w:rPr>
    </w:lvl>
  </w:abstractNum>
  <w:abstractNum w:abstractNumId="50" w15:restartNumberingAfterBreak="0">
    <w:nsid w:val="642371CD"/>
    <w:multiLevelType w:val="hybridMultilevel"/>
    <w:tmpl w:val="3B76A654"/>
    <w:lvl w:ilvl="0" w:tplc="12BABE20">
      <w:start w:val="1"/>
      <w:numFmt w:val="bullet"/>
      <w:pStyle w:val="subclause3Bullet2"/>
      <w:lvlText w:val=""/>
      <w:lvlJc w:val="left"/>
      <w:pPr>
        <w:ind w:left="3748" w:hanging="360"/>
      </w:pPr>
      <w:rPr>
        <w:rFonts w:ascii="Symbol" w:hAnsi="Symbol" w:hint="default"/>
        <w:color w:val="000000"/>
      </w:rPr>
    </w:lvl>
    <w:lvl w:ilvl="1" w:tplc="4CE0B062" w:tentative="1">
      <w:start w:val="1"/>
      <w:numFmt w:val="bullet"/>
      <w:lvlText w:val="o"/>
      <w:lvlJc w:val="left"/>
      <w:pPr>
        <w:ind w:left="4468" w:hanging="360"/>
      </w:pPr>
      <w:rPr>
        <w:rFonts w:ascii="Courier New" w:hAnsi="Courier New" w:cs="Courier New" w:hint="default"/>
      </w:rPr>
    </w:lvl>
    <w:lvl w:ilvl="2" w:tplc="29F4DD32" w:tentative="1">
      <w:start w:val="1"/>
      <w:numFmt w:val="bullet"/>
      <w:lvlText w:val=""/>
      <w:lvlJc w:val="left"/>
      <w:pPr>
        <w:ind w:left="5188" w:hanging="360"/>
      </w:pPr>
      <w:rPr>
        <w:rFonts w:ascii="Wingdings" w:hAnsi="Wingdings" w:hint="default"/>
      </w:rPr>
    </w:lvl>
    <w:lvl w:ilvl="3" w:tplc="52F26B24" w:tentative="1">
      <w:start w:val="1"/>
      <w:numFmt w:val="bullet"/>
      <w:lvlText w:val=""/>
      <w:lvlJc w:val="left"/>
      <w:pPr>
        <w:ind w:left="5908" w:hanging="360"/>
      </w:pPr>
      <w:rPr>
        <w:rFonts w:ascii="Symbol" w:hAnsi="Symbol" w:hint="default"/>
      </w:rPr>
    </w:lvl>
    <w:lvl w:ilvl="4" w:tplc="D97AD4A4" w:tentative="1">
      <w:start w:val="1"/>
      <w:numFmt w:val="bullet"/>
      <w:lvlText w:val="o"/>
      <w:lvlJc w:val="left"/>
      <w:pPr>
        <w:ind w:left="6628" w:hanging="360"/>
      </w:pPr>
      <w:rPr>
        <w:rFonts w:ascii="Courier New" w:hAnsi="Courier New" w:cs="Courier New" w:hint="default"/>
      </w:rPr>
    </w:lvl>
    <w:lvl w:ilvl="5" w:tplc="4B80CF56" w:tentative="1">
      <w:start w:val="1"/>
      <w:numFmt w:val="bullet"/>
      <w:lvlText w:val=""/>
      <w:lvlJc w:val="left"/>
      <w:pPr>
        <w:ind w:left="7348" w:hanging="360"/>
      </w:pPr>
      <w:rPr>
        <w:rFonts w:ascii="Wingdings" w:hAnsi="Wingdings" w:hint="default"/>
      </w:rPr>
    </w:lvl>
    <w:lvl w:ilvl="6" w:tplc="D0A02AE2" w:tentative="1">
      <w:start w:val="1"/>
      <w:numFmt w:val="bullet"/>
      <w:lvlText w:val=""/>
      <w:lvlJc w:val="left"/>
      <w:pPr>
        <w:ind w:left="8068" w:hanging="360"/>
      </w:pPr>
      <w:rPr>
        <w:rFonts w:ascii="Symbol" w:hAnsi="Symbol" w:hint="default"/>
      </w:rPr>
    </w:lvl>
    <w:lvl w:ilvl="7" w:tplc="88E653BE" w:tentative="1">
      <w:start w:val="1"/>
      <w:numFmt w:val="bullet"/>
      <w:lvlText w:val="o"/>
      <w:lvlJc w:val="left"/>
      <w:pPr>
        <w:ind w:left="8788" w:hanging="360"/>
      </w:pPr>
      <w:rPr>
        <w:rFonts w:ascii="Courier New" w:hAnsi="Courier New" w:cs="Courier New" w:hint="default"/>
      </w:rPr>
    </w:lvl>
    <w:lvl w:ilvl="8" w:tplc="21809F8A" w:tentative="1">
      <w:start w:val="1"/>
      <w:numFmt w:val="bullet"/>
      <w:lvlText w:val=""/>
      <w:lvlJc w:val="left"/>
      <w:pPr>
        <w:ind w:left="9508" w:hanging="360"/>
      </w:pPr>
      <w:rPr>
        <w:rFonts w:ascii="Wingdings" w:hAnsi="Wingdings" w:hint="default"/>
      </w:rPr>
    </w:lvl>
  </w:abstractNum>
  <w:abstractNum w:abstractNumId="51" w15:restartNumberingAfterBreak="0">
    <w:nsid w:val="650412C2"/>
    <w:multiLevelType w:val="multilevel"/>
    <w:tmpl w:val="8B221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67C16A4"/>
    <w:multiLevelType w:val="multilevel"/>
    <w:tmpl w:val="01CC27F2"/>
    <w:lvl w:ilvl="0">
      <w:start w:val="1"/>
      <w:numFmt w:val="decimal"/>
      <w:pStyle w:val="Schedule"/>
      <w:suff w:val="space"/>
      <w:lvlText w:val="Schedule %1"/>
      <w:lvlJc w:val="left"/>
      <w:pPr>
        <w:ind w:left="0" w:firstLine="0"/>
      </w:pPr>
      <w:rPr>
        <w:rFonts w:ascii="Georgia" w:hAnsi="Georgia" w:hint="default"/>
        <w:b/>
        <w:i w:val="0"/>
        <w:caps w:val="0"/>
        <w:sz w:val="20"/>
      </w:rPr>
    </w:lvl>
    <w:lvl w:ilvl="1">
      <w:start w:val="1"/>
      <w:numFmt w:val="decimal"/>
      <w:pStyle w:val="Part"/>
      <w:suff w:val="space"/>
      <w:lvlText w:val="Part %2 "/>
      <w:lvlJc w:val="left"/>
      <w:pPr>
        <w:ind w:left="0" w:firstLine="0"/>
      </w:pPr>
      <w:rPr>
        <w:rFonts w:ascii="Georgia" w:hAnsi="Georgia" w:hint="default"/>
        <w:b/>
        <w:i w:val="0"/>
        <w:caps w:val="0"/>
        <w:sz w:val="20"/>
      </w:rPr>
    </w:lvl>
    <w:lvl w:ilvl="2">
      <w:start w:val="1"/>
      <w:numFmt w:val="decimal"/>
      <w:pStyle w:val="Sch1Heading"/>
      <w:lvlText w:val="%3"/>
      <w:lvlJc w:val="left"/>
      <w:pPr>
        <w:tabs>
          <w:tab w:val="num" w:pos="567"/>
        </w:tabs>
        <w:ind w:left="567" w:hanging="567"/>
      </w:pPr>
      <w:rPr>
        <w:rFonts w:ascii="Georgia" w:hAnsi="Georgia"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specVanish w:val="0"/>
      </w:rPr>
    </w:lvl>
    <w:lvl w:ilvl="3">
      <w:start w:val="1"/>
      <w:numFmt w:val="decimal"/>
      <w:pStyle w:val="Sch2Number"/>
      <w:lvlText w:val="%3.%4"/>
      <w:lvlJc w:val="left"/>
      <w:pPr>
        <w:tabs>
          <w:tab w:val="num" w:pos="567"/>
        </w:tabs>
        <w:ind w:left="567" w:hanging="567"/>
      </w:pPr>
      <w:rPr>
        <w:rFonts w:ascii="Georgia" w:hAnsi="Georgia"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specVanish w:val="0"/>
      </w:rPr>
    </w:lvl>
    <w:lvl w:ilvl="4">
      <w:start w:val="1"/>
      <w:numFmt w:val="decimal"/>
      <w:pStyle w:val="Sch3Number"/>
      <w:lvlText w:val="%3.%4.%5"/>
      <w:lvlJc w:val="left"/>
      <w:pPr>
        <w:tabs>
          <w:tab w:val="num" w:pos="1247"/>
        </w:tabs>
        <w:ind w:left="1247" w:hanging="680"/>
      </w:pPr>
      <w:rPr>
        <w:rFonts w:ascii="Georgia" w:hAnsi="Georgia"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specVanish w:val="0"/>
      </w:rPr>
    </w:lvl>
    <w:lvl w:ilvl="5">
      <w:start w:val="1"/>
      <w:numFmt w:val="lowerLetter"/>
      <w:pStyle w:val="Sch4Number"/>
      <w:lvlText w:val="(%6)"/>
      <w:lvlJc w:val="left"/>
      <w:pPr>
        <w:tabs>
          <w:tab w:val="num" w:pos="1247"/>
        </w:tabs>
        <w:ind w:left="1673" w:hanging="42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rPr>
    </w:lvl>
    <w:lvl w:ilvl="6">
      <w:start w:val="1"/>
      <w:numFmt w:val="lowerRoman"/>
      <w:pStyle w:val="Sch5Number"/>
      <w:lvlText w:val="(%7)"/>
      <w:lvlJc w:val="left"/>
      <w:pPr>
        <w:tabs>
          <w:tab w:val="num" w:pos="1673"/>
        </w:tabs>
        <w:ind w:left="1673" w:hanging="42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7">
      <w:start w:val="1"/>
      <w:numFmt w:val="decimal"/>
      <w:lvlText w:val="%8"/>
      <w:lvlJc w:val="left"/>
      <w:pPr>
        <w:tabs>
          <w:tab w:val="num" w:pos="0"/>
        </w:tabs>
        <w:ind w:left="0" w:firstLine="0"/>
      </w:pPr>
      <w:rPr>
        <w:rFonts w:ascii="Times New Roman" w:hAnsi="Times New Roman" w:hint="default"/>
        <w:b w:val="0"/>
        <w:i w:val="0"/>
        <w:sz w:val="22"/>
      </w:rPr>
    </w:lvl>
    <w:lvl w:ilvl="8">
      <w:start w:val="1"/>
      <w:numFmt w:val="decimal"/>
      <w:lvlText w:val="%9"/>
      <w:lvlJc w:val="left"/>
      <w:pPr>
        <w:tabs>
          <w:tab w:val="num" w:pos="0"/>
        </w:tabs>
        <w:ind w:left="0" w:firstLine="0"/>
      </w:pPr>
      <w:rPr>
        <w:rFonts w:ascii="Times New Roman" w:hAnsi="Times New Roman" w:hint="default"/>
        <w:b w:val="0"/>
        <w:i w:val="0"/>
        <w:sz w:val="22"/>
      </w:rPr>
    </w:lvl>
  </w:abstractNum>
  <w:abstractNum w:abstractNumId="53" w15:restartNumberingAfterBreak="0">
    <w:nsid w:val="6ADF4683"/>
    <w:multiLevelType w:val="multilevel"/>
    <w:tmpl w:val="DD28FDF4"/>
    <w:lvl w:ilvl="0">
      <w:start w:val="1"/>
      <w:numFmt w:val="none"/>
      <w:pStyle w:val="DefinedTermPara"/>
      <w:lvlText w:val="%1"/>
      <w:lvlJc w:val="left"/>
      <w:pPr>
        <w:tabs>
          <w:tab w:val="num" w:pos="720"/>
        </w:tabs>
        <w:ind w:left="720" w:hanging="720"/>
      </w:pPr>
      <w:rPr>
        <w:rFonts w:hint="default"/>
        <w:color w:val="000000"/>
      </w:rPr>
    </w:lvl>
    <w:lvl w:ilvl="1">
      <w:start w:val="1"/>
      <w:numFmt w:val="lowerLetter"/>
      <w:pStyle w:val="DefinedTermNumber"/>
      <w:lvlText w:val="%1%2)"/>
      <w:lvlJc w:val="left"/>
      <w:pPr>
        <w:tabs>
          <w:tab w:val="num" w:pos="1554"/>
        </w:tabs>
        <w:ind w:left="1554" w:firstLine="0"/>
      </w:pPr>
      <w:rPr>
        <w:rFonts w:hint="default"/>
      </w:rPr>
    </w:lvl>
    <w:lvl w:ilvl="2">
      <w:start w:val="1"/>
      <w:numFmt w:val="none"/>
      <w:lvlText w:val=""/>
      <w:lvlJc w:val="left"/>
      <w:pPr>
        <w:tabs>
          <w:tab w:val="num" w:pos="1555"/>
        </w:tabs>
        <w:ind w:left="1555" w:hanging="561"/>
      </w:pPr>
      <w:rPr>
        <w:rFonts w:hint="default"/>
      </w:rPr>
    </w:lvl>
    <w:lvl w:ilvl="3">
      <w:start w:val="1"/>
      <w:numFmt w:val="lowerRoman"/>
      <w:lvlText w:val="(%4)"/>
      <w:lvlJc w:val="left"/>
      <w:pPr>
        <w:tabs>
          <w:tab w:val="num" w:pos="2419"/>
        </w:tabs>
        <w:ind w:left="2275" w:hanging="576"/>
      </w:pPr>
      <w:rPr>
        <w:rFonts w:hint="default"/>
        <w:sz w:val="20"/>
      </w:rPr>
    </w:lvl>
    <w:lvl w:ilvl="4">
      <w:start w:val="1"/>
      <w:numFmt w:val="upperLetter"/>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6B10A2D6"/>
    <w:multiLevelType w:val="multilevel"/>
    <w:tmpl w:val="AB2EB4A6"/>
    <w:lvl w:ilvl="0">
      <w:start w:val="1"/>
      <w:numFmt w:val="upperLetter"/>
      <w:pStyle w:val="Appendix"/>
      <w:suff w:val="space"/>
      <w:lvlText w:val="Appendix %1 —"/>
      <w:lvlJc w:val="left"/>
      <w:pPr>
        <w:ind w:left="0" w:firstLine="0"/>
      </w:pPr>
      <w:rPr>
        <w:rFonts w:ascii="Georgia" w:hAnsi="Georgia" w:hint="default"/>
        <w:b/>
        <w:i w:val="0"/>
        <w:sz w:val="20"/>
      </w:rPr>
    </w:lvl>
    <w:lvl w:ilvl="1">
      <w:start w:val="1"/>
      <w:numFmt w:val="decimal"/>
      <w:pStyle w:val="App1Number"/>
      <w:lvlText w:val="%2"/>
      <w:lvlJc w:val="left"/>
      <w:pPr>
        <w:tabs>
          <w:tab w:val="num" w:pos="567"/>
        </w:tabs>
        <w:ind w:left="567" w:hanging="567"/>
      </w:pPr>
      <w:rPr>
        <w:rFonts w:ascii="Georgia" w:hAnsi="Georgia" w:hint="default"/>
        <w:b w:val="0"/>
        <w:sz w:val="20"/>
      </w:rPr>
    </w:lvl>
    <w:lvl w:ilvl="2">
      <w:start w:val="1"/>
      <w:numFmt w:val="decimal"/>
      <w:pStyle w:val="App2Number"/>
      <w:lvlText w:val="%3.%2"/>
      <w:lvlJc w:val="left"/>
      <w:pPr>
        <w:tabs>
          <w:tab w:val="num" w:pos="567"/>
        </w:tabs>
        <w:ind w:left="567" w:hanging="567"/>
      </w:pPr>
      <w:rPr>
        <w:rFonts w:ascii="Georgia" w:hAnsi="Georgia" w:hint="default"/>
        <w:b w:val="0"/>
        <w:sz w:val="20"/>
      </w:rPr>
    </w:lvl>
    <w:lvl w:ilvl="3">
      <w:start w:val="1"/>
      <w:numFmt w:val="decimal"/>
      <w:pStyle w:val="App3Number"/>
      <w:lvlText w:val="%2.%3.%4"/>
      <w:lvlJc w:val="left"/>
      <w:pPr>
        <w:tabs>
          <w:tab w:val="num" w:pos="1247"/>
        </w:tabs>
        <w:ind w:left="1247" w:hanging="680"/>
      </w:pPr>
      <w:rPr>
        <w:rFonts w:ascii="Georgia" w:hAnsi="Georgia" w:hint="default"/>
        <w:b w:val="0"/>
        <w:sz w:val="20"/>
      </w:rPr>
    </w:lvl>
    <w:lvl w:ilvl="4">
      <w:start w:val="1"/>
      <w:numFmt w:val="lowerLetter"/>
      <w:pStyle w:val="App4Number"/>
      <w:lvlText w:val="(%5)"/>
      <w:lvlJc w:val="left"/>
      <w:pPr>
        <w:tabs>
          <w:tab w:val="num" w:pos="1673"/>
        </w:tabs>
        <w:ind w:left="1673" w:hanging="426"/>
      </w:pPr>
      <w:rPr>
        <w:rFonts w:ascii="Georgia" w:hAnsi="Georgia" w:hint="default"/>
        <w:b w:val="0"/>
        <w:sz w:val="18"/>
      </w:rPr>
    </w:lvl>
    <w:lvl w:ilvl="5">
      <w:start w:val="1"/>
      <w:numFmt w:val="lowerRoman"/>
      <w:pStyle w:val="App5Number"/>
      <w:lvlText w:val="(%6)"/>
      <w:lvlJc w:val="left"/>
      <w:pPr>
        <w:tabs>
          <w:tab w:val="num" w:pos="1673"/>
        </w:tabs>
        <w:ind w:left="1673" w:hanging="426"/>
      </w:pPr>
      <w:rPr>
        <w:rFonts w:ascii="Georgia" w:hAnsi="Georgia" w:hint="default"/>
        <w:b w:val="0"/>
        <w:sz w:val="18"/>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 w15:restartNumberingAfterBreak="0">
    <w:nsid w:val="752D5986"/>
    <w:multiLevelType w:val="hybridMultilevel"/>
    <w:tmpl w:val="0F164240"/>
    <w:lvl w:ilvl="0" w:tplc="910C22C4">
      <w:start w:val="1"/>
      <w:numFmt w:val="bullet"/>
      <w:pStyle w:val="Bullet5"/>
      <w:lvlText w:val=""/>
      <w:lvlJc w:val="left"/>
      <w:pPr>
        <w:tabs>
          <w:tab w:val="num" w:pos="3385"/>
        </w:tabs>
        <w:ind w:left="3385" w:hanging="357"/>
      </w:pPr>
      <w:rPr>
        <w:rFonts w:ascii="Symbol" w:hAnsi="Symbol" w:hint="default"/>
      </w:rPr>
    </w:lvl>
    <w:lvl w:ilvl="1" w:tplc="2A7418F2" w:tentative="1">
      <w:start w:val="1"/>
      <w:numFmt w:val="bullet"/>
      <w:lvlText w:val="o"/>
      <w:lvlJc w:val="left"/>
      <w:pPr>
        <w:tabs>
          <w:tab w:val="num" w:pos="1440"/>
        </w:tabs>
        <w:ind w:left="1440" w:hanging="360"/>
      </w:pPr>
      <w:rPr>
        <w:rFonts w:ascii="Courier New" w:hAnsi="Courier New" w:cs="Courier New" w:hint="default"/>
      </w:rPr>
    </w:lvl>
    <w:lvl w:ilvl="2" w:tplc="70ACDBC2" w:tentative="1">
      <w:start w:val="1"/>
      <w:numFmt w:val="bullet"/>
      <w:lvlText w:val=""/>
      <w:lvlJc w:val="left"/>
      <w:pPr>
        <w:tabs>
          <w:tab w:val="num" w:pos="2160"/>
        </w:tabs>
        <w:ind w:left="2160" w:hanging="360"/>
      </w:pPr>
      <w:rPr>
        <w:rFonts w:ascii="Wingdings" w:hAnsi="Wingdings" w:hint="default"/>
      </w:rPr>
    </w:lvl>
    <w:lvl w:ilvl="3" w:tplc="2004900C" w:tentative="1">
      <w:start w:val="1"/>
      <w:numFmt w:val="bullet"/>
      <w:lvlText w:val=""/>
      <w:lvlJc w:val="left"/>
      <w:pPr>
        <w:tabs>
          <w:tab w:val="num" w:pos="2880"/>
        </w:tabs>
        <w:ind w:left="2880" w:hanging="360"/>
      </w:pPr>
      <w:rPr>
        <w:rFonts w:ascii="Symbol" w:hAnsi="Symbol" w:hint="default"/>
      </w:rPr>
    </w:lvl>
    <w:lvl w:ilvl="4" w:tplc="A53A1858" w:tentative="1">
      <w:start w:val="1"/>
      <w:numFmt w:val="bullet"/>
      <w:lvlText w:val="o"/>
      <w:lvlJc w:val="left"/>
      <w:pPr>
        <w:tabs>
          <w:tab w:val="num" w:pos="3600"/>
        </w:tabs>
        <w:ind w:left="3600" w:hanging="360"/>
      </w:pPr>
      <w:rPr>
        <w:rFonts w:ascii="Courier New" w:hAnsi="Courier New" w:cs="Courier New" w:hint="default"/>
      </w:rPr>
    </w:lvl>
    <w:lvl w:ilvl="5" w:tplc="25BCEF62" w:tentative="1">
      <w:start w:val="1"/>
      <w:numFmt w:val="bullet"/>
      <w:lvlText w:val=""/>
      <w:lvlJc w:val="left"/>
      <w:pPr>
        <w:tabs>
          <w:tab w:val="num" w:pos="4320"/>
        </w:tabs>
        <w:ind w:left="4320" w:hanging="360"/>
      </w:pPr>
      <w:rPr>
        <w:rFonts w:ascii="Wingdings" w:hAnsi="Wingdings" w:hint="default"/>
      </w:rPr>
    </w:lvl>
    <w:lvl w:ilvl="6" w:tplc="37D06EF0" w:tentative="1">
      <w:start w:val="1"/>
      <w:numFmt w:val="bullet"/>
      <w:lvlText w:val=""/>
      <w:lvlJc w:val="left"/>
      <w:pPr>
        <w:tabs>
          <w:tab w:val="num" w:pos="5040"/>
        </w:tabs>
        <w:ind w:left="5040" w:hanging="360"/>
      </w:pPr>
      <w:rPr>
        <w:rFonts w:ascii="Symbol" w:hAnsi="Symbol" w:hint="default"/>
      </w:rPr>
    </w:lvl>
    <w:lvl w:ilvl="7" w:tplc="671278D8" w:tentative="1">
      <w:start w:val="1"/>
      <w:numFmt w:val="bullet"/>
      <w:lvlText w:val="o"/>
      <w:lvlJc w:val="left"/>
      <w:pPr>
        <w:tabs>
          <w:tab w:val="num" w:pos="5760"/>
        </w:tabs>
        <w:ind w:left="5760" w:hanging="360"/>
      </w:pPr>
      <w:rPr>
        <w:rFonts w:ascii="Courier New" w:hAnsi="Courier New" w:cs="Courier New" w:hint="default"/>
      </w:rPr>
    </w:lvl>
    <w:lvl w:ilvl="8" w:tplc="85FC7D68"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DB56451"/>
    <w:multiLevelType w:val="multilevel"/>
    <w:tmpl w:val="7DB56451"/>
    <w:styleLink w:val="ScheduleListStyle"/>
    <w:lvl w:ilvl="0">
      <w:start w:val="1"/>
      <w:numFmt w:val="decimal"/>
      <w:lvlText w:val="Schedule %1"/>
      <w:lvlJc w:val="left"/>
      <w:pPr>
        <w:tabs>
          <w:tab w:val="num" w:pos="0"/>
        </w:tabs>
        <w:ind w:left="360" w:hanging="360"/>
      </w:pPr>
      <w:rPr>
        <w:rFonts w:hint="default"/>
        <w:color w:val="000000"/>
      </w:rPr>
    </w:lvl>
    <w:lvl w:ilvl="1">
      <w:numFmt w:val="none"/>
      <w:lvlRestart w:val="0"/>
      <w:suff w:val="nothing"/>
      <w:lvlText w:val=""/>
      <w:lvlJc w:val="left"/>
      <w:pPr>
        <w:tabs>
          <w:tab w:val="num" w:pos="0"/>
        </w:tabs>
        <w:ind w:left="0" w:firstLine="0"/>
      </w:pPr>
    </w:lvl>
    <w:lvl w:ilvl="2">
      <w:numFmt w:val="none"/>
      <w:lvlRestart w:val="0"/>
      <w:suff w:val="nothing"/>
      <w:lvlText w:val=""/>
      <w:lvlJc w:val="left"/>
      <w:pPr>
        <w:tabs>
          <w:tab w:val="num" w:pos="0"/>
        </w:tabs>
        <w:ind w:left="0" w:firstLine="0"/>
      </w:pPr>
    </w:lvl>
    <w:lvl w:ilvl="3">
      <w:numFmt w:val="none"/>
      <w:lvlRestart w:val="0"/>
      <w:suff w:val="nothing"/>
      <w:lvlText w:val=""/>
      <w:lvlJc w:val="left"/>
      <w:pPr>
        <w:tabs>
          <w:tab w:val="num" w:pos="0"/>
        </w:tabs>
        <w:ind w:left="0" w:firstLine="0"/>
      </w:pPr>
    </w:lvl>
    <w:lvl w:ilvl="4">
      <w:numFmt w:val="none"/>
      <w:lvlRestart w:val="0"/>
      <w:suff w:val="nothing"/>
      <w:lvlText w:val=""/>
      <w:lvlJc w:val="left"/>
      <w:pPr>
        <w:tabs>
          <w:tab w:val="num" w:pos="0"/>
        </w:tabs>
        <w:ind w:left="0" w:firstLine="0"/>
      </w:pPr>
    </w:lvl>
    <w:lvl w:ilvl="5">
      <w:numFmt w:val="none"/>
      <w:lvlRestart w:val="0"/>
      <w:suff w:val="nothing"/>
      <w:lvlText w:val=""/>
      <w:lvlJc w:val="left"/>
      <w:pPr>
        <w:tabs>
          <w:tab w:val="num" w:pos="0"/>
        </w:tabs>
        <w:ind w:left="0" w:firstLine="0"/>
      </w:pPr>
    </w:lvl>
    <w:lvl w:ilvl="6">
      <w:numFmt w:val="none"/>
      <w:lvlRestart w:val="0"/>
      <w:suff w:val="nothing"/>
      <w:lvlText w:val=""/>
      <w:lvlJc w:val="left"/>
      <w:pPr>
        <w:tabs>
          <w:tab w:val="num" w:pos="0"/>
        </w:tabs>
        <w:ind w:left="0" w:firstLine="0"/>
      </w:pPr>
    </w:lvl>
    <w:lvl w:ilvl="7">
      <w:numFmt w:val="none"/>
      <w:lvlRestart w:val="0"/>
      <w:suff w:val="nothing"/>
      <w:lvlText w:val=""/>
      <w:lvlJc w:val="left"/>
      <w:pPr>
        <w:tabs>
          <w:tab w:val="num" w:pos="0"/>
        </w:tabs>
        <w:ind w:left="0" w:firstLine="0"/>
      </w:pPr>
    </w:lvl>
    <w:lvl w:ilvl="8">
      <w:numFmt w:val="none"/>
      <w:lvlRestart w:val="0"/>
      <w:suff w:val="nothing"/>
      <w:lvlText w:val=""/>
      <w:lvlJc w:val="left"/>
      <w:pPr>
        <w:tabs>
          <w:tab w:val="num" w:pos="0"/>
        </w:tabs>
        <w:ind w:left="0" w:firstLine="0"/>
      </w:pPr>
    </w:lvl>
  </w:abstractNum>
  <w:abstractNum w:abstractNumId="57" w15:restartNumberingAfterBreak="0">
    <w:nsid w:val="7DB56453"/>
    <w:multiLevelType w:val="multilevel"/>
    <w:tmpl w:val="7DB56451"/>
    <w:numStyleLink w:val="ScheduleListStyle"/>
  </w:abstractNum>
  <w:num w:numId="1" w16cid:durableId="1737628167">
    <w:abstractNumId w:val="26"/>
  </w:num>
  <w:num w:numId="2" w16cid:durableId="1723750652">
    <w:abstractNumId w:val="36"/>
  </w:num>
  <w:num w:numId="3" w16cid:durableId="994451450">
    <w:abstractNumId w:val="30"/>
  </w:num>
  <w:num w:numId="4" w16cid:durableId="2137526973">
    <w:abstractNumId w:val="28"/>
  </w:num>
  <w:num w:numId="5" w16cid:durableId="681051770">
    <w:abstractNumId w:val="47"/>
  </w:num>
  <w:num w:numId="6" w16cid:durableId="96757711">
    <w:abstractNumId w:val="49"/>
  </w:num>
  <w:num w:numId="7" w16cid:durableId="1930843293">
    <w:abstractNumId w:val="38"/>
  </w:num>
  <w:num w:numId="8" w16cid:durableId="255405807">
    <w:abstractNumId w:val="45"/>
  </w:num>
  <w:num w:numId="9" w16cid:durableId="1224482130">
    <w:abstractNumId w:val="42"/>
  </w:num>
  <w:num w:numId="10" w16cid:durableId="1063527963">
    <w:abstractNumId w:val="44"/>
  </w:num>
  <w:num w:numId="11" w16cid:durableId="2102528010">
    <w:abstractNumId w:val="41"/>
  </w:num>
  <w:num w:numId="12" w16cid:durableId="1496452181">
    <w:abstractNumId w:val="32"/>
  </w:num>
  <w:num w:numId="13" w16cid:durableId="2035112545">
    <w:abstractNumId w:val="50"/>
  </w:num>
  <w:num w:numId="14" w16cid:durableId="1917783148">
    <w:abstractNumId w:val="12"/>
  </w:num>
  <w:num w:numId="15" w16cid:durableId="1965116631">
    <w:abstractNumId w:val="18"/>
  </w:num>
  <w:num w:numId="16" w16cid:durableId="117918644">
    <w:abstractNumId w:val="11"/>
  </w:num>
  <w:num w:numId="17" w16cid:durableId="17420928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83820098">
    <w:abstractNumId w:val="53"/>
  </w:num>
  <w:num w:numId="19" w16cid:durableId="1472747644">
    <w:abstractNumId w:val="27"/>
  </w:num>
  <w:num w:numId="20" w16cid:durableId="2362821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51453776">
    <w:abstractNumId w:val="56"/>
  </w:num>
  <w:num w:numId="22" w16cid:durableId="1205556945">
    <w:abstractNumId w:val="57"/>
  </w:num>
  <w:num w:numId="23" w16cid:durableId="529029153">
    <w:abstractNumId w:val="54"/>
  </w:num>
  <w:num w:numId="24" w16cid:durableId="1792240513">
    <w:abstractNumId w:val="20"/>
  </w:num>
  <w:num w:numId="25" w16cid:durableId="1873574067">
    <w:abstractNumId w:val="29"/>
  </w:num>
  <w:num w:numId="26" w16cid:durableId="1371999086">
    <w:abstractNumId w:val="21"/>
  </w:num>
  <w:num w:numId="27" w16cid:durableId="264385979">
    <w:abstractNumId w:val="13"/>
  </w:num>
  <w:num w:numId="28" w16cid:durableId="955254501">
    <w:abstractNumId w:val="48"/>
  </w:num>
  <w:num w:numId="29" w16cid:durableId="1533034364">
    <w:abstractNumId w:val="55"/>
  </w:num>
  <w:num w:numId="30" w16cid:durableId="1628701587">
    <w:abstractNumId w:val="35"/>
  </w:num>
  <w:num w:numId="31" w16cid:durableId="1937404070">
    <w:abstractNumId w:val="31"/>
  </w:num>
  <w:num w:numId="32" w16cid:durableId="1622951353">
    <w:abstractNumId w:val="10"/>
  </w:num>
  <w:num w:numId="33" w16cid:durableId="312025713">
    <w:abstractNumId w:val="39"/>
  </w:num>
  <w:num w:numId="34" w16cid:durableId="758064046">
    <w:abstractNumId w:val="43"/>
  </w:num>
  <w:num w:numId="35" w16cid:durableId="2012904844">
    <w:abstractNumId w:val="23"/>
  </w:num>
  <w:num w:numId="36" w16cid:durableId="502208357">
    <w:abstractNumId w:val="52"/>
  </w:num>
  <w:num w:numId="37" w16cid:durableId="467286524">
    <w:abstractNumId w:val="24"/>
  </w:num>
  <w:num w:numId="38" w16cid:durableId="575748902">
    <w:abstractNumId w:val="17"/>
  </w:num>
  <w:num w:numId="39" w16cid:durableId="1891457573">
    <w:abstractNumId w:val="9"/>
  </w:num>
  <w:num w:numId="40" w16cid:durableId="1934165603">
    <w:abstractNumId w:val="7"/>
  </w:num>
  <w:num w:numId="41" w16cid:durableId="2031879164">
    <w:abstractNumId w:val="6"/>
  </w:num>
  <w:num w:numId="42" w16cid:durableId="1463502557">
    <w:abstractNumId w:val="5"/>
  </w:num>
  <w:num w:numId="43" w16cid:durableId="122621880">
    <w:abstractNumId w:val="4"/>
  </w:num>
  <w:num w:numId="44" w16cid:durableId="381100223">
    <w:abstractNumId w:val="8"/>
  </w:num>
  <w:num w:numId="45" w16cid:durableId="1019814652">
    <w:abstractNumId w:val="3"/>
  </w:num>
  <w:num w:numId="46" w16cid:durableId="909539805">
    <w:abstractNumId w:val="2"/>
  </w:num>
  <w:num w:numId="47" w16cid:durableId="709842268">
    <w:abstractNumId w:val="1"/>
  </w:num>
  <w:num w:numId="48" w16cid:durableId="1102534663">
    <w:abstractNumId w:val="0"/>
  </w:num>
  <w:num w:numId="49" w16cid:durableId="726340005">
    <w:abstractNumId w:val="14"/>
  </w:num>
  <w:num w:numId="50" w16cid:durableId="823162682">
    <w:abstractNumId w:val="33"/>
  </w:num>
  <w:num w:numId="51" w16cid:durableId="1145505805">
    <w:abstractNumId w:val="34"/>
  </w:num>
  <w:num w:numId="52" w16cid:durableId="1405951955">
    <w:abstractNumId w:val="22"/>
  </w:num>
  <w:num w:numId="53" w16cid:durableId="840853938">
    <w:abstractNumId w:val="19"/>
  </w:num>
  <w:num w:numId="54" w16cid:durableId="3453331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04109076">
    <w:abstractNumId w:val="45"/>
  </w:num>
  <w:num w:numId="56" w16cid:durableId="21445830">
    <w:abstractNumId w:val="45"/>
  </w:num>
  <w:num w:numId="57" w16cid:durableId="17102537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6699656">
    <w:abstractNumId w:val="52"/>
  </w:num>
  <w:num w:numId="59" w16cid:durableId="1107701820">
    <w:abstractNumId w:val="52"/>
  </w:num>
  <w:num w:numId="60" w16cid:durableId="433474934">
    <w:abstractNumId w:val="52"/>
  </w:num>
  <w:num w:numId="61" w16cid:durableId="1299922353">
    <w:abstractNumId w:val="18"/>
  </w:num>
  <w:num w:numId="62" w16cid:durableId="331490052">
    <w:abstractNumId w:val="18"/>
  </w:num>
  <w:num w:numId="63" w16cid:durableId="1865633711">
    <w:abstractNumId w:val="52"/>
    <w:lvlOverride w:ilvl="0">
      <w:startOverride w:val="1"/>
    </w:lvlOverride>
    <w:lvlOverride w:ilvl="1">
      <w:startOverride w:val="1"/>
    </w:lvlOverride>
    <w:lvlOverride w:ilvl="2">
      <w:startOverride w:val="2"/>
    </w:lvlOverride>
    <w:lvlOverride w:ilvl="3">
      <w:startOverride w:val="1"/>
    </w:lvlOverride>
  </w:num>
  <w:num w:numId="64" w16cid:durableId="1739595885">
    <w:abstractNumId w:val="52"/>
    <w:lvlOverride w:ilvl="0">
      <w:startOverride w:val="1"/>
    </w:lvlOverride>
    <w:lvlOverride w:ilvl="1">
      <w:startOverride w:val="1"/>
    </w:lvlOverride>
    <w:lvlOverride w:ilvl="2">
      <w:startOverride w:val="2"/>
    </w:lvlOverride>
    <w:lvlOverride w:ilvl="3">
      <w:startOverride w:val="1"/>
    </w:lvlOverride>
  </w:num>
  <w:num w:numId="65" w16cid:durableId="1054423312">
    <w:abstractNumId w:val="18"/>
  </w:num>
  <w:num w:numId="66" w16cid:durableId="659114349">
    <w:abstractNumId w:val="52"/>
    <w:lvlOverride w:ilvl="0">
      <w:startOverride w:val="1"/>
    </w:lvlOverride>
    <w:lvlOverride w:ilvl="1">
      <w:startOverride w:val="1"/>
    </w:lvlOverride>
    <w:lvlOverride w:ilvl="2">
      <w:startOverride w:val="2"/>
    </w:lvlOverride>
    <w:lvlOverride w:ilvl="3">
      <w:startOverride w:val="1"/>
    </w:lvlOverride>
  </w:num>
  <w:num w:numId="67" w16cid:durableId="10129965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9251882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140099365">
    <w:abstractNumId w:val="16"/>
  </w:num>
  <w:num w:numId="70" w16cid:durableId="192311835">
    <w:abstractNumId w:val="46"/>
  </w:num>
  <w:num w:numId="71" w16cid:durableId="1989241243">
    <w:abstractNumId w:val="51"/>
  </w:num>
  <w:num w:numId="72" w16cid:durableId="1403333997">
    <w:abstractNumId w:val="37"/>
  </w:num>
  <w:num w:numId="73" w16cid:durableId="1802071543">
    <w:abstractNumId w:val="25"/>
  </w:num>
  <w:num w:numId="74" w16cid:durableId="1044984162">
    <w:abstractNumId w:val="40"/>
  </w:num>
  <w:num w:numId="75" w16cid:durableId="1957981458">
    <w:abstractNumId w:val="1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PartsVariable" w:val="&lt;docParts&gt;_x000d__x000a_  &lt;Precedent&gt;agreement&lt;/Precedent&gt;_x000d__x000a_  &lt;Operative&gt;paragraph&lt;/Operative&gt;_x000d__x000a_  &lt;TemplateType&gt;null&lt;/TemplateType&gt;_x000d__x000a_  &lt;SignaturePageBreakType&gt;Yes without message&lt;/SignaturePageBreakType&gt;_x000d__x000a_&lt;/docParts&gt;"/>
    <w:docVar w:name="gentXMLPartID" w:val="{422B8BA5-8FF3-4185-A9CC-289CDF455EA9}"/>
  </w:docVars>
  <w:rsids>
    <w:rsidRoot w:val="00492069"/>
    <w:rsid w:val="000007D3"/>
    <w:rsid w:val="00003A38"/>
    <w:rsid w:val="00011729"/>
    <w:rsid w:val="0001201B"/>
    <w:rsid w:val="00032C09"/>
    <w:rsid w:val="00040FFD"/>
    <w:rsid w:val="000458D1"/>
    <w:rsid w:val="00045C26"/>
    <w:rsid w:val="000563BB"/>
    <w:rsid w:val="0006747C"/>
    <w:rsid w:val="0007165F"/>
    <w:rsid w:val="00072B43"/>
    <w:rsid w:val="00080248"/>
    <w:rsid w:val="00083EEC"/>
    <w:rsid w:val="00090355"/>
    <w:rsid w:val="000905A6"/>
    <w:rsid w:val="000929AB"/>
    <w:rsid w:val="000A0148"/>
    <w:rsid w:val="000B3176"/>
    <w:rsid w:val="000B3D60"/>
    <w:rsid w:val="000B5DB7"/>
    <w:rsid w:val="000B79B7"/>
    <w:rsid w:val="000C26CC"/>
    <w:rsid w:val="000C3451"/>
    <w:rsid w:val="000C636B"/>
    <w:rsid w:val="000C6557"/>
    <w:rsid w:val="000C6A12"/>
    <w:rsid w:val="000E1D05"/>
    <w:rsid w:val="000E60D4"/>
    <w:rsid w:val="000F40EF"/>
    <w:rsid w:val="00101144"/>
    <w:rsid w:val="00113515"/>
    <w:rsid w:val="0011468D"/>
    <w:rsid w:val="00123647"/>
    <w:rsid w:val="00123C7A"/>
    <w:rsid w:val="001279AC"/>
    <w:rsid w:val="00132935"/>
    <w:rsid w:val="00135128"/>
    <w:rsid w:val="001473C6"/>
    <w:rsid w:val="001525A0"/>
    <w:rsid w:val="00154B1C"/>
    <w:rsid w:val="00154D49"/>
    <w:rsid w:val="001574BD"/>
    <w:rsid w:val="00162053"/>
    <w:rsid w:val="00177157"/>
    <w:rsid w:val="001809A8"/>
    <w:rsid w:val="00180A39"/>
    <w:rsid w:val="00181FA5"/>
    <w:rsid w:val="00187463"/>
    <w:rsid w:val="001915A7"/>
    <w:rsid w:val="001B0C58"/>
    <w:rsid w:val="001B3F49"/>
    <w:rsid w:val="001B7056"/>
    <w:rsid w:val="001C0BD3"/>
    <w:rsid w:val="001C3061"/>
    <w:rsid w:val="001C6CF8"/>
    <w:rsid w:val="001D1A66"/>
    <w:rsid w:val="001E19DE"/>
    <w:rsid w:val="001E7026"/>
    <w:rsid w:val="001E79CC"/>
    <w:rsid w:val="001F097D"/>
    <w:rsid w:val="001F17A6"/>
    <w:rsid w:val="0020233D"/>
    <w:rsid w:val="002044F9"/>
    <w:rsid w:val="0022237C"/>
    <w:rsid w:val="00223628"/>
    <w:rsid w:val="00226AFC"/>
    <w:rsid w:val="0023150E"/>
    <w:rsid w:val="00236E7D"/>
    <w:rsid w:val="00236EFF"/>
    <w:rsid w:val="00247301"/>
    <w:rsid w:val="00250697"/>
    <w:rsid w:val="00254F31"/>
    <w:rsid w:val="00255DD5"/>
    <w:rsid w:val="0026161E"/>
    <w:rsid w:val="0026163E"/>
    <w:rsid w:val="00263603"/>
    <w:rsid w:val="00264B56"/>
    <w:rsid w:val="00266B59"/>
    <w:rsid w:val="002677E9"/>
    <w:rsid w:val="0027184E"/>
    <w:rsid w:val="00273153"/>
    <w:rsid w:val="00283D88"/>
    <w:rsid w:val="00284799"/>
    <w:rsid w:val="002972A3"/>
    <w:rsid w:val="002A0A24"/>
    <w:rsid w:val="002A17E7"/>
    <w:rsid w:val="002A3A57"/>
    <w:rsid w:val="002A6B9D"/>
    <w:rsid w:val="002B58BE"/>
    <w:rsid w:val="002C0261"/>
    <w:rsid w:val="002C5D2B"/>
    <w:rsid w:val="002D4817"/>
    <w:rsid w:val="002E6B10"/>
    <w:rsid w:val="002E7FFB"/>
    <w:rsid w:val="002F1A62"/>
    <w:rsid w:val="002F66B7"/>
    <w:rsid w:val="002F7C15"/>
    <w:rsid w:val="002F7CB4"/>
    <w:rsid w:val="00300050"/>
    <w:rsid w:val="00301415"/>
    <w:rsid w:val="00334C54"/>
    <w:rsid w:val="0033709D"/>
    <w:rsid w:val="00341702"/>
    <w:rsid w:val="00342A50"/>
    <w:rsid w:val="00346F21"/>
    <w:rsid w:val="00350B7F"/>
    <w:rsid w:val="00356C32"/>
    <w:rsid w:val="00362CCE"/>
    <w:rsid w:val="0036301D"/>
    <w:rsid w:val="0036549D"/>
    <w:rsid w:val="003677F6"/>
    <w:rsid w:val="003703AF"/>
    <w:rsid w:val="00376554"/>
    <w:rsid w:val="00384DB3"/>
    <w:rsid w:val="003871FA"/>
    <w:rsid w:val="003908D6"/>
    <w:rsid w:val="0039491B"/>
    <w:rsid w:val="00395979"/>
    <w:rsid w:val="003B2EF8"/>
    <w:rsid w:val="003B3476"/>
    <w:rsid w:val="003B524E"/>
    <w:rsid w:val="003B6086"/>
    <w:rsid w:val="003C144E"/>
    <w:rsid w:val="003C3430"/>
    <w:rsid w:val="003D764D"/>
    <w:rsid w:val="003E556D"/>
    <w:rsid w:val="003F5847"/>
    <w:rsid w:val="0040108C"/>
    <w:rsid w:val="00402F40"/>
    <w:rsid w:val="00406F66"/>
    <w:rsid w:val="00410777"/>
    <w:rsid w:val="00411217"/>
    <w:rsid w:val="0041281A"/>
    <w:rsid w:val="00412E21"/>
    <w:rsid w:val="00413F2E"/>
    <w:rsid w:val="0041458D"/>
    <w:rsid w:val="00415AC9"/>
    <w:rsid w:val="0041692C"/>
    <w:rsid w:val="0042660F"/>
    <w:rsid w:val="00427399"/>
    <w:rsid w:val="00431E17"/>
    <w:rsid w:val="0043419E"/>
    <w:rsid w:val="004353AC"/>
    <w:rsid w:val="0044090E"/>
    <w:rsid w:val="00444838"/>
    <w:rsid w:val="00452B0A"/>
    <w:rsid w:val="00467047"/>
    <w:rsid w:val="004741DC"/>
    <w:rsid w:val="004768A3"/>
    <w:rsid w:val="00476930"/>
    <w:rsid w:val="00480A81"/>
    <w:rsid w:val="00481BBD"/>
    <w:rsid w:val="00483447"/>
    <w:rsid w:val="00483A93"/>
    <w:rsid w:val="004841B0"/>
    <w:rsid w:val="004843BB"/>
    <w:rsid w:val="00487BCE"/>
    <w:rsid w:val="0049111E"/>
    <w:rsid w:val="00492069"/>
    <w:rsid w:val="00492210"/>
    <w:rsid w:val="00492D77"/>
    <w:rsid w:val="004948BF"/>
    <w:rsid w:val="004A0451"/>
    <w:rsid w:val="004A1BF1"/>
    <w:rsid w:val="004A2840"/>
    <w:rsid w:val="004A4078"/>
    <w:rsid w:val="004B0233"/>
    <w:rsid w:val="004B1F1A"/>
    <w:rsid w:val="004B21EB"/>
    <w:rsid w:val="004B7409"/>
    <w:rsid w:val="004C0006"/>
    <w:rsid w:val="004C7C31"/>
    <w:rsid w:val="004D435E"/>
    <w:rsid w:val="004F0235"/>
    <w:rsid w:val="004F0BF1"/>
    <w:rsid w:val="004F2AD2"/>
    <w:rsid w:val="004F4BB2"/>
    <w:rsid w:val="004F72ED"/>
    <w:rsid w:val="0050065E"/>
    <w:rsid w:val="005062A8"/>
    <w:rsid w:val="005118EC"/>
    <w:rsid w:val="00514F79"/>
    <w:rsid w:val="00516488"/>
    <w:rsid w:val="005225D6"/>
    <w:rsid w:val="00527887"/>
    <w:rsid w:val="00531604"/>
    <w:rsid w:val="00531842"/>
    <w:rsid w:val="00542C06"/>
    <w:rsid w:val="00544671"/>
    <w:rsid w:val="00554392"/>
    <w:rsid w:val="00556588"/>
    <w:rsid w:val="005619E9"/>
    <w:rsid w:val="00561B3A"/>
    <w:rsid w:val="00562D94"/>
    <w:rsid w:val="00563317"/>
    <w:rsid w:val="005660B8"/>
    <w:rsid w:val="005719B4"/>
    <w:rsid w:val="0058357F"/>
    <w:rsid w:val="00585C9D"/>
    <w:rsid w:val="00585D10"/>
    <w:rsid w:val="0058707B"/>
    <w:rsid w:val="00587246"/>
    <w:rsid w:val="00587B7D"/>
    <w:rsid w:val="00590100"/>
    <w:rsid w:val="00591924"/>
    <w:rsid w:val="00594F8F"/>
    <w:rsid w:val="00596837"/>
    <w:rsid w:val="00596CF3"/>
    <w:rsid w:val="005975EE"/>
    <w:rsid w:val="005A2C3D"/>
    <w:rsid w:val="005A2D44"/>
    <w:rsid w:val="005A3825"/>
    <w:rsid w:val="005B2521"/>
    <w:rsid w:val="005B75E7"/>
    <w:rsid w:val="005B7E6D"/>
    <w:rsid w:val="005C5D75"/>
    <w:rsid w:val="005D1EF1"/>
    <w:rsid w:val="005D3BD1"/>
    <w:rsid w:val="005D588F"/>
    <w:rsid w:val="005D78A8"/>
    <w:rsid w:val="005E1601"/>
    <w:rsid w:val="005E7E42"/>
    <w:rsid w:val="005F2B84"/>
    <w:rsid w:val="005F62CC"/>
    <w:rsid w:val="006024F4"/>
    <w:rsid w:val="00604424"/>
    <w:rsid w:val="00613AE4"/>
    <w:rsid w:val="00620B34"/>
    <w:rsid w:val="00621D4B"/>
    <w:rsid w:val="00623040"/>
    <w:rsid w:val="00623369"/>
    <w:rsid w:val="00632495"/>
    <w:rsid w:val="006335BA"/>
    <w:rsid w:val="00640FBC"/>
    <w:rsid w:val="006418BE"/>
    <w:rsid w:val="00641C3D"/>
    <w:rsid w:val="0064579D"/>
    <w:rsid w:val="006468D2"/>
    <w:rsid w:val="00646D9B"/>
    <w:rsid w:val="00646DE2"/>
    <w:rsid w:val="0065186C"/>
    <w:rsid w:val="00655DBB"/>
    <w:rsid w:val="006573C4"/>
    <w:rsid w:val="0066119A"/>
    <w:rsid w:val="00661B5D"/>
    <w:rsid w:val="006663BA"/>
    <w:rsid w:val="00671516"/>
    <w:rsid w:val="006722C9"/>
    <w:rsid w:val="00676B8E"/>
    <w:rsid w:val="0068164C"/>
    <w:rsid w:val="00683D34"/>
    <w:rsid w:val="00686320"/>
    <w:rsid w:val="00690D13"/>
    <w:rsid w:val="00695F37"/>
    <w:rsid w:val="006A0F41"/>
    <w:rsid w:val="006A6743"/>
    <w:rsid w:val="006B1B9B"/>
    <w:rsid w:val="006B3C42"/>
    <w:rsid w:val="006B4F33"/>
    <w:rsid w:val="006B72F6"/>
    <w:rsid w:val="006C05D4"/>
    <w:rsid w:val="006C213D"/>
    <w:rsid w:val="006C60A5"/>
    <w:rsid w:val="006C714C"/>
    <w:rsid w:val="006D2FFB"/>
    <w:rsid w:val="006D5EF1"/>
    <w:rsid w:val="006D6064"/>
    <w:rsid w:val="006D6105"/>
    <w:rsid w:val="006E4D25"/>
    <w:rsid w:val="006E5E85"/>
    <w:rsid w:val="006E7D8F"/>
    <w:rsid w:val="006F1F24"/>
    <w:rsid w:val="0070277C"/>
    <w:rsid w:val="007109F3"/>
    <w:rsid w:val="00722529"/>
    <w:rsid w:val="00723676"/>
    <w:rsid w:val="007241DE"/>
    <w:rsid w:val="00724E66"/>
    <w:rsid w:val="00726452"/>
    <w:rsid w:val="00726AAB"/>
    <w:rsid w:val="00741040"/>
    <w:rsid w:val="00747EB5"/>
    <w:rsid w:val="00751A20"/>
    <w:rsid w:val="007533DB"/>
    <w:rsid w:val="00753CB4"/>
    <w:rsid w:val="00755B41"/>
    <w:rsid w:val="00756B3E"/>
    <w:rsid w:val="00765A7D"/>
    <w:rsid w:val="00771A34"/>
    <w:rsid w:val="00771CAA"/>
    <w:rsid w:val="007722AD"/>
    <w:rsid w:val="0077369A"/>
    <w:rsid w:val="0077573B"/>
    <w:rsid w:val="00775FDD"/>
    <w:rsid w:val="00776A52"/>
    <w:rsid w:val="007905D4"/>
    <w:rsid w:val="00792B43"/>
    <w:rsid w:val="00795759"/>
    <w:rsid w:val="007A18B0"/>
    <w:rsid w:val="007A1EAB"/>
    <w:rsid w:val="007B07D0"/>
    <w:rsid w:val="007B1284"/>
    <w:rsid w:val="007C1F07"/>
    <w:rsid w:val="007C2C5A"/>
    <w:rsid w:val="007C3896"/>
    <w:rsid w:val="007D3FF2"/>
    <w:rsid w:val="007D4030"/>
    <w:rsid w:val="007D6433"/>
    <w:rsid w:val="007E09CE"/>
    <w:rsid w:val="007E1D2A"/>
    <w:rsid w:val="007E48FB"/>
    <w:rsid w:val="007F3004"/>
    <w:rsid w:val="008010E5"/>
    <w:rsid w:val="008019CB"/>
    <w:rsid w:val="008069C0"/>
    <w:rsid w:val="0081001B"/>
    <w:rsid w:val="00812298"/>
    <w:rsid w:val="00817981"/>
    <w:rsid w:val="008221C3"/>
    <w:rsid w:val="00824A88"/>
    <w:rsid w:val="00826A97"/>
    <w:rsid w:val="00826C26"/>
    <w:rsid w:val="00836381"/>
    <w:rsid w:val="008445AB"/>
    <w:rsid w:val="00846D84"/>
    <w:rsid w:val="008508A0"/>
    <w:rsid w:val="00854D70"/>
    <w:rsid w:val="008564C3"/>
    <w:rsid w:val="008603A1"/>
    <w:rsid w:val="00865DB6"/>
    <w:rsid w:val="00871228"/>
    <w:rsid w:val="00874790"/>
    <w:rsid w:val="008750CE"/>
    <w:rsid w:val="00876BE7"/>
    <w:rsid w:val="00885B11"/>
    <w:rsid w:val="00893360"/>
    <w:rsid w:val="008B139D"/>
    <w:rsid w:val="008B521C"/>
    <w:rsid w:val="008D12A2"/>
    <w:rsid w:val="008D549C"/>
    <w:rsid w:val="008E1341"/>
    <w:rsid w:val="008E2B25"/>
    <w:rsid w:val="008E51E6"/>
    <w:rsid w:val="008F13B8"/>
    <w:rsid w:val="008F68F2"/>
    <w:rsid w:val="00902ED6"/>
    <w:rsid w:val="0090587F"/>
    <w:rsid w:val="00922A30"/>
    <w:rsid w:val="00926CDD"/>
    <w:rsid w:val="009338F3"/>
    <w:rsid w:val="00936833"/>
    <w:rsid w:val="0094369E"/>
    <w:rsid w:val="009455C5"/>
    <w:rsid w:val="0094607B"/>
    <w:rsid w:val="009464EC"/>
    <w:rsid w:val="009554CD"/>
    <w:rsid w:val="00955D98"/>
    <w:rsid w:val="009617E8"/>
    <w:rsid w:val="00963FF6"/>
    <w:rsid w:val="00974EC2"/>
    <w:rsid w:val="00977D8C"/>
    <w:rsid w:val="0098586C"/>
    <w:rsid w:val="00986105"/>
    <w:rsid w:val="00987BA7"/>
    <w:rsid w:val="00993B98"/>
    <w:rsid w:val="009B07D6"/>
    <w:rsid w:val="009B15CE"/>
    <w:rsid w:val="009B2408"/>
    <w:rsid w:val="009D20E9"/>
    <w:rsid w:val="009D210C"/>
    <w:rsid w:val="009D308D"/>
    <w:rsid w:val="009D5CDC"/>
    <w:rsid w:val="009E307D"/>
    <w:rsid w:val="009E7355"/>
    <w:rsid w:val="009E79A2"/>
    <w:rsid w:val="009F08AF"/>
    <w:rsid w:val="009F1432"/>
    <w:rsid w:val="009F472B"/>
    <w:rsid w:val="00A00901"/>
    <w:rsid w:val="00A00F24"/>
    <w:rsid w:val="00A01C2C"/>
    <w:rsid w:val="00A036F6"/>
    <w:rsid w:val="00A045CC"/>
    <w:rsid w:val="00A04E15"/>
    <w:rsid w:val="00A0519B"/>
    <w:rsid w:val="00A10CC2"/>
    <w:rsid w:val="00A17811"/>
    <w:rsid w:val="00A2313C"/>
    <w:rsid w:val="00A25694"/>
    <w:rsid w:val="00A31B81"/>
    <w:rsid w:val="00A33097"/>
    <w:rsid w:val="00A35138"/>
    <w:rsid w:val="00A35445"/>
    <w:rsid w:val="00A40426"/>
    <w:rsid w:val="00A4069B"/>
    <w:rsid w:val="00A44F86"/>
    <w:rsid w:val="00A468C9"/>
    <w:rsid w:val="00A55356"/>
    <w:rsid w:val="00A5681B"/>
    <w:rsid w:val="00A62F58"/>
    <w:rsid w:val="00A648DE"/>
    <w:rsid w:val="00A6516A"/>
    <w:rsid w:val="00A66C9B"/>
    <w:rsid w:val="00A70BED"/>
    <w:rsid w:val="00A7540C"/>
    <w:rsid w:val="00A853DF"/>
    <w:rsid w:val="00A963A5"/>
    <w:rsid w:val="00A974CD"/>
    <w:rsid w:val="00A9762E"/>
    <w:rsid w:val="00AA1E51"/>
    <w:rsid w:val="00AA1FDF"/>
    <w:rsid w:val="00AA23E2"/>
    <w:rsid w:val="00AA42B1"/>
    <w:rsid w:val="00AB63AC"/>
    <w:rsid w:val="00AC208D"/>
    <w:rsid w:val="00AC4986"/>
    <w:rsid w:val="00AC783F"/>
    <w:rsid w:val="00AD4323"/>
    <w:rsid w:val="00AD558F"/>
    <w:rsid w:val="00AD72C9"/>
    <w:rsid w:val="00AE001C"/>
    <w:rsid w:val="00AE562D"/>
    <w:rsid w:val="00AE5FCE"/>
    <w:rsid w:val="00AE6B69"/>
    <w:rsid w:val="00AF2DD7"/>
    <w:rsid w:val="00B01A4F"/>
    <w:rsid w:val="00B04D60"/>
    <w:rsid w:val="00B10867"/>
    <w:rsid w:val="00B1094B"/>
    <w:rsid w:val="00B11B6E"/>
    <w:rsid w:val="00B12338"/>
    <w:rsid w:val="00B2058D"/>
    <w:rsid w:val="00B238E2"/>
    <w:rsid w:val="00B23A61"/>
    <w:rsid w:val="00B36862"/>
    <w:rsid w:val="00B41B95"/>
    <w:rsid w:val="00B42963"/>
    <w:rsid w:val="00B42A54"/>
    <w:rsid w:val="00B536C4"/>
    <w:rsid w:val="00B56972"/>
    <w:rsid w:val="00B642E0"/>
    <w:rsid w:val="00B64ED3"/>
    <w:rsid w:val="00B66765"/>
    <w:rsid w:val="00B7267A"/>
    <w:rsid w:val="00B761C5"/>
    <w:rsid w:val="00B8720D"/>
    <w:rsid w:val="00B92119"/>
    <w:rsid w:val="00B93AF2"/>
    <w:rsid w:val="00BA2F1E"/>
    <w:rsid w:val="00BA3942"/>
    <w:rsid w:val="00BC75E5"/>
    <w:rsid w:val="00BF3836"/>
    <w:rsid w:val="00BF47E1"/>
    <w:rsid w:val="00BF5886"/>
    <w:rsid w:val="00C005F8"/>
    <w:rsid w:val="00C05697"/>
    <w:rsid w:val="00C074B6"/>
    <w:rsid w:val="00C12514"/>
    <w:rsid w:val="00C14270"/>
    <w:rsid w:val="00C15734"/>
    <w:rsid w:val="00C15E54"/>
    <w:rsid w:val="00C20EC1"/>
    <w:rsid w:val="00C226D9"/>
    <w:rsid w:val="00C3234F"/>
    <w:rsid w:val="00C3346A"/>
    <w:rsid w:val="00C355D7"/>
    <w:rsid w:val="00C40816"/>
    <w:rsid w:val="00C412BD"/>
    <w:rsid w:val="00C46869"/>
    <w:rsid w:val="00C50C55"/>
    <w:rsid w:val="00C516B0"/>
    <w:rsid w:val="00C55779"/>
    <w:rsid w:val="00C55829"/>
    <w:rsid w:val="00C6325F"/>
    <w:rsid w:val="00C7208F"/>
    <w:rsid w:val="00C77B2A"/>
    <w:rsid w:val="00C80F90"/>
    <w:rsid w:val="00C810A2"/>
    <w:rsid w:val="00C843DD"/>
    <w:rsid w:val="00C90A2E"/>
    <w:rsid w:val="00C95AFE"/>
    <w:rsid w:val="00CA350E"/>
    <w:rsid w:val="00CB01D4"/>
    <w:rsid w:val="00CB1033"/>
    <w:rsid w:val="00CB36D4"/>
    <w:rsid w:val="00CB4F0F"/>
    <w:rsid w:val="00CC294B"/>
    <w:rsid w:val="00CC3B00"/>
    <w:rsid w:val="00CC52C0"/>
    <w:rsid w:val="00CD079E"/>
    <w:rsid w:val="00CD08E7"/>
    <w:rsid w:val="00CD500E"/>
    <w:rsid w:val="00CE233A"/>
    <w:rsid w:val="00CE4321"/>
    <w:rsid w:val="00CF42E0"/>
    <w:rsid w:val="00CF6962"/>
    <w:rsid w:val="00D02487"/>
    <w:rsid w:val="00D02F5F"/>
    <w:rsid w:val="00D03BB7"/>
    <w:rsid w:val="00D046BD"/>
    <w:rsid w:val="00D10CF8"/>
    <w:rsid w:val="00D12AC1"/>
    <w:rsid w:val="00D1560E"/>
    <w:rsid w:val="00D174E6"/>
    <w:rsid w:val="00D20CED"/>
    <w:rsid w:val="00D21A6F"/>
    <w:rsid w:val="00D2557E"/>
    <w:rsid w:val="00D25F6A"/>
    <w:rsid w:val="00D26706"/>
    <w:rsid w:val="00D27535"/>
    <w:rsid w:val="00D27B70"/>
    <w:rsid w:val="00D30E08"/>
    <w:rsid w:val="00D3377D"/>
    <w:rsid w:val="00D34E23"/>
    <w:rsid w:val="00D3577D"/>
    <w:rsid w:val="00D35D52"/>
    <w:rsid w:val="00D36FBE"/>
    <w:rsid w:val="00D437A1"/>
    <w:rsid w:val="00D4466B"/>
    <w:rsid w:val="00D525E1"/>
    <w:rsid w:val="00D52F58"/>
    <w:rsid w:val="00D54248"/>
    <w:rsid w:val="00D54652"/>
    <w:rsid w:val="00D549C5"/>
    <w:rsid w:val="00D56032"/>
    <w:rsid w:val="00D616F1"/>
    <w:rsid w:val="00D67011"/>
    <w:rsid w:val="00D76E60"/>
    <w:rsid w:val="00D8057A"/>
    <w:rsid w:val="00D80F34"/>
    <w:rsid w:val="00D82165"/>
    <w:rsid w:val="00D824CE"/>
    <w:rsid w:val="00D9263A"/>
    <w:rsid w:val="00D94838"/>
    <w:rsid w:val="00DA3FF7"/>
    <w:rsid w:val="00DA5A98"/>
    <w:rsid w:val="00DA5E9E"/>
    <w:rsid w:val="00DA722C"/>
    <w:rsid w:val="00DB336E"/>
    <w:rsid w:val="00DB405D"/>
    <w:rsid w:val="00DB4CBD"/>
    <w:rsid w:val="00DC133C"/>
    <w:rsid w:val="00DC5F7A"/>
    <w:rsid w:val="00DC6080"/>
    <w:rsid w:val="00DD10CA"/>
    <w:rsid w:val="00DD26CD"/>
    <w:rsid w:val="00DD4027"/>
    <w:rsid w:val="00DD54C1"/>
    <w:rsid w:val="00DE13C2"/>
    <w:rsid w:val="00DE7A6C"/>
    <w:rsid w:val="00E02E0C"/>
    <w:rsid w:val="00E0386B"/>
    <w:rsid w:val="00E05E79"/>
    <w:rsid w:val="00E15303"/>
    <w:rsid w:val="00E16A5A"/>
    <w:rsid w:val="00E21880"/>
    <w:rsid w:val="00E24DE5"/>
    <w:rsid w:val="00E331DA"/>
    <w:rsid w:val="00E33DBE"/>
    <w:rsid w:val="00E34286"/>
    <w:rsid w:val="00E40E1C"/>
    <w:rsid w:val="00E41EEB"/>
    <w:rsid w:val="00E43742"/>
    <w:rsid w:val="00E443CC"/>
    <w:rsid w:val="00E45314"/>
    <w:rsid w:val="00E45422"/>
    <w:rsid w:val="00E46DA6"/>
    <w:rsid w:val="00E60D18"/>
    <w:rsid w:val="00E6155B"/>
    <w:rsid w:val="00E71BB8"/>
    <w:rsid w:val="00E73385"/>
    <w:rsid w:val="00E74E47"/>
    <w:rsid w:val="00E7714B"/>
    <w:rsid w:val="00E82688"/>
    <w:rsid w:val="00E82841"/>
    <w:rsid w:val="00E841CD"/>
    <w:rsid w:val="00E90F94"/>
    <w:rsid w:val="00E91655"/>
    <w:rsid w:val="00E947B3"/>
    <w:rsid w:val="00E9770C"/>
    <w:rsid w:val="00EA1951"/>
    <w:rsid w:val="00EB34AD"/>
    <w:rsid w:val="00EB40A9"/>
    <w:rsid w:val="00EB4B6F"/>
    <w:rsid w:val="00EC1111"/>
    <w:rsid w:val="00ED2E2B"/>
    <w:rsid w:val="00ED79B6"/>
    <w:rsid w:val="00EE3026"/>
    <w:rsid w:val="00EE4A0A"/>
    <w:rsid w:val="00EE5C55"/>
    <w:rsid w:val="00EF3C68"/>
    <w:rsid w:val="00EF5C3A"/>
    <w:rsid w:val="00EF724D"/>
    <w:rsid w:val="00F044D0"/>
    <w:rsid w:val="00F056CE"/>
    <w:rsid w:val="00F104CD"/>
    <w:rsid w:val="00F146DE"/>
    <w:rsid w:val="00F15E26"/>
    <w:rsid w:val="00F21E0F"/>
    <w:rsid w:val="00F27AC4"/>
    <w:rsid w:val="00F31853"/>
    <w:rsid w:val="00F32FC1"/>
    <w:rsid w:val="00F3601E"/>
    <w:rsid w:val="00F41372"/>
    <w:rsid w:val="00F41A4A"/>
    <w:rsid w:val="00F41DBE"/>
    <w:rsid w:val="00F42BC9"/>
    <w:rsid w:val="00F43832"/>
    <w:rsid w:val="00F450D4"/>
    <w:rsid w:val="00F458AE"/>
    <w:rsid w:val="00F505BF"/>
    <w:rsid w:val="00F62A5C"/>
    <w:rsid w:val="00F63C00"/>
    <w:rsid w:val="00F660D7"/>
    <w:rsid w:val="00F6619F"/>
    <w:rsid w:val="00F9130C"/>
    <w:rsid w:val="00F92EF9"/>
    <w:rsid w:val="00F92FBB"/>
    <w:rsid w:val="00F93491"/>
    <w:rsid w:val="00F95772"/>
    <w:rsid w:val="00F964BF"/>
    <w:rsid w:val="00FB1465"/>
    <w:rsid w:val="00FB6444"/>
    <w:rsid w:val="00FB6B29"/>
    <w:rsid w:val="00FB7E80"/>
    <w:rsid w:val="00FC7D9D"/>
    <w:rsid w:val="00FE316A"/>
    <w:rsid w:val="00FF0BEE"/>
    <w:rsid w:val="00FF6192"/>
    <w:rsid w:val="11C44D14"/>
    <w:rsid w:val="362E9A97"/>
    <w:rsid w:val="553ADF21"/>
    <w:rsid w:val="59ABAEA8"/>
    <w:rsid w:val="60654993"/>
    <w:rsid w:val="6FF105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3C00A18"/>
  <w15:docId w15:val="{A7B00BEC-B88D-4E7B-9835-3DC2C444D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833"/>
    <w:pPr>
      <w:spacing w:after="160" w:line="259" w:lineRule="auto"/>
    </w:pPr>
    <w:rPr>
      <w:rFonts w:eastAsiaTheme="minorHAnsi"/>
      <w:kern w:val="2"/>
      <w:lang w:eastAsia="en-US"/>
      <w14:ligatures w14:val="standardContextual"/>
    </w:rPr>
  </w:style>
  <w:style w:type="paragraph" w:styleId="Heading1">
    <w:name w:val="heading 1"/>
    <w:basedOn w:val="Normal"/>
    <w:link w:val="Heading1Char"/>
    <w:rsid w:val="00E41EEB"/>
    <w:pPr>
      <w:keepNext/>
      <w:numPr>
        <w:numId w:val="33"/>
      </w:numPr>
      <w:spacing w:before="120" w:after="240"/>
      <w:outlineLvl w:val="0"/>
    </w:pPr>
    <w:rPr>
      <w:b/>
    </w:rPr>
  </w:style>
  <w:style w:type="paragraph" w:styleId="Heading2">
    <w:name w:val="heading 2"/>
    <w:basedOn w:val="BodyText"/>
    <w:link w:val="Heading2Char"/>
    <w:rsid w:val="00E41EEB"/>
    <w:pPr>
      <w:numPr>
        <w:ilvl w:val="1"/>
        <w:numId w:val="33"/>
      </w:numPr>
      <w:spacing w:before="210"/>
      <w:contextualSpacing/>
      <w:outlineLvl w:val="1"/>
    </w:pPr>
    <w:rPr>
      <w:color w:val="000000"/>
    </w:rPr>
  </w:style>
  <w:style w:type="paragraph" w:styleId="Heading3">
    <w:name w:val="heading 3"/>
    <w:basedOn w:val="BodyText"/>
    <w:link w:val="Heading3Char"/>
    <w:rsid w:val="00E41EEB"/>
    <w:pPr>
      <w:numPr>
        <w:ilvl w:val="2"/>
        <w:numId w:val="33"/>
      </w:numPr>
      <w:outlineLvl w:val="2"/>
    </w:pPr>
  </w:style>
  <w:style w:type="paragraph" w:styleId="Heading4">
    <w:name w:val="heading 4"/>
    <w:basedOn w:val="BodyText"/>
    <w:link w:val="Heading4Char"/>
    <w:rsid w:val="00E41EEB"/>
    <w:pPr>
      <w:numPr>
        <w:ilvl w:val="3"/>
        <w:numId w:val="33"/>
      </w:numPr>
      <w:outlineLvl w:val="3"/>
    </w:pPr>
  </w:style>
  <w:style w:type="paragraph" w:styleId="Heading5">
    <w:name w:val="heading 5"/>
    <w:basedOn w:val="BodyText"/>
    <w:link w:val="Heading5Char"/>
    <w:rsid w:val="00E41EEB"/>
    <w:pPr>
      <w:numPr>
        <w:ilvl w:val="4"/>
        <w:numId w:val="33"/>
      </w:numPr>
      <w:outlineLvl w:val="4"/>
    </w:pPr>
  </w:style>
  <w:style w:type="paragraph" w:styleId="Heading6">
    <w:name w:val="heading 6"/>
    <w:basedOn w:val="Normal"/>
    <w:next w:val="Normal"/>
    <w:link w:val="Heading6Char"/>
    <w:autoRedefine/>
    <w:rsid w:val="00E41EEB"/>
    <w:pPr>
      <w:keepNext/>
      <w:numPr>
        <w:ilvl w:val="5"/>
        <w:numId w:val="33"/>
      </w:numPr>
      <w:spacing w:after="210"/>
      <w:outlineLvl w:val="5"/>
    </w:pPr>
  </w:style>
  <w:style w:type="paragraph" w:styleId="Heading7">
    <w:name w:val="heading 7"/>
    <w:basedOn w:val="Normal"/>
    <w:next w:val="Normal"/>
    <w:link w:val="Heading7Char"/>
    <w:rsid w:val="00E41EEB"/>
    <w:pPr>
      <w:keepNext/>
      <w:numPr>
        <w:ilvl w:val="6"/>
        <w:numId w:val="33"/>
      </w:numPr>
      <w:spacing w:after="210"/>
      <w:outlineLvl w:val="6"/>
    </w:pPr>
    <w:rPr>
      <w:b/>
      <w:smallCaps/>
      <w:color w:val="000000"/>
    </w:rPr>
  </w:style>
  <w:style w:type="paragraph" w:styleId="Heading8">
    <w:name w:val="heading 8"/>
    <w:basedOn w:val="BodyText"/>
    <w:next w:val="Normal"/>
    <w:link w:val="Heading8Char"/>
    <w:autoRedefine/>
    <w:rsid w:val="00E41EEB"/>
    <w:pPr>
      <w:keepNext/>
      <w:pageBreakBefore/>
      <w:numPr>
        <w:ilvl w:val="7"/>
        <w:numId w:val="33"/>
      </w:numPr>
      <w:pBdr>
        <w:bottom w:val="single" w:sz="4" w:space="1" w:color="auto"/>
      </w:pBdr>
      <w:outlineLvl w:val="7"/>
    </w:pPr>
    <w:rPr>
      <w:b/>
    </w:rPr>
  </w:style>
  <w:style w:type="paragraph" w:styleId="Heading9">
    <w:name w:val="heading 9"/>
    <w:basedOn w:val="Normal"/>
    <w:next w:val="Normal"/>
    <w:link w:val="Heading9Char"/>
    <w:rsid w:val="00E41EEB"/>
    <w:pPr>
      <w:numPr>
        <w:ilvl w:val="8"/>
        <w:numId w:val="33"/>
      </w:numPr>
      <w:spacing w:before="240" w:after="60"/>
      <w:outlineLvl w:val="8"/>
    </w:pPr>
    <w:rPr>
      <w:rFonts w:ascii="Calibri Light" w:hAnsi="Calibri Light"/>
    </w:rPr>
  </w:style>
  <w:style w:type="character" w:default="1" w:styleId="DefaultParagraphFont">
    <w:name w:val="Default Paragraph Font"/>
    <w:uiPriority w:val="1"/>
    <w:semiHidden/>
    <w:unhideWhenUsed/>
    <w:rsid w:val="0093683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36833"/>
  </w:style>
  <w:style w:type="paragraph" w:customStyle="1" w:styleId="Abstract">
    <w:name w:val="Abstract"/>
    <w:link w:val="AbstractChar"/>
    <w:rsid w:val="00C503F6"/>
    <w:pPr>
      <w:spacing w:after="120" w:line="240" w:lineRule="auto"/>
    </w:pPr>
    <w:rPr>
      <w:rFonts w:ascii="Arial" w:eastAsia="Arial Unicode MS" w:hAnsi="Arial" w:cs="Arial"/>
      <w:color w:val="000000"/>
      <w:sz w:val="24"/>
      <w:szCs w:val="24"/>
      <w:lang w:val="en-US" w:eastAsia="en-US"/>
    </w:rPr>
  </w:style>
  <w:style w:type="character" w:customStyle="1" w:styleId="AbstractChar">
    <w:name w:val="Abstract Char"/>
    <w:link w:val="Abstract"/>
    <w:rsid w:val="00C503F6"/>
    <w:rPr>
      <w:rFonts w:ascii="Arial" w:eastAsia="Arial Unicode MS" w:hAnsi="Arial" w:cs="Arial"/>
      <w:color w:val="000000"/>
      <w:sz w:val="24"/>
      <w:szCs w:val="24"/>
      <w:lang w:val="en-US" w:eastAsia="en-US"/>
    </w:rPr>
  </w:style>
  <w:style w:type="paragraph" w:customStyle="1" w:styleId="Annex">
    <w:name w:val="Annex"/>
    <w:basedOn w:val="Paragraph"/>
    <w:next w:val="Paragraph"/>
    <w:qFormat/>
    <w:rsid w:val="00C503F6"/>
    <w:pPr>
      <w:numPr>
        <w:numId w:val="4"/>
      </w:numPr>
      <w:spacing w:before="240" w:after="240"/>
      <w:ind w:left="0" w:firstLine="0"/>
    </w:pPr>
    <w:rPr>
      <w:b/>
    </w:rPr>
  </w:style>
  <w:style w:type="paragraph" w:customStyle="1" w:styleId="AuthoringGroup">
    <w:name w:val="Authoring Group"/>
    <w:link w:val="AuthoringGroupChar"/>
    <w:rsid w:val="00C503F6"/>
    <w:pPr>
      <w:spacing w:after="120" w:line="240" w:lineRule="auto"/>
    </w:pPr>
    <w:rPr>
      <w:rFonts w:ascii="Arial" w:eastAsia="Arial Unicode MS" w:hAnsi="Arial" w:cs="Arial"/>
      <w:color w:val="000000"/>
      <w:sz w:val="24"/>
      <w:lang w:val="en-US" w:eastAsia="en-US"/>
    </w:rPr>
  </w:style>
  <w:style w:type="character" w:customStyle="1" w:styleId="AuthoringGroupChar">
    <w:name w:val="Authoring Group Char"/>
    <w:link w:val="AuthoringGroup"/>
    <w:rsid w:val="00C503F6"/>
    <w:rPr>
      <w:rFonts w:ascii="Arial" w:eastAsia="Arial Unicode MS" w:hAnsi="Arial" w:cs="Arial"/>
      <w:color w:val="000000"/>
      <w:sz w:val="24"/>
      <w:lang w:val="en-US" w:eastAsia="en-US"/>
    </w:rPr>
  </w:style>
  <w:style w:type="paragraph" w:customStyle="1" w:styleId="Background">
    <w:name w:val="Background"/>
    <w:aliases w:val="(A) Background"/>
    <w:basedOn w:val="BodyText"/>
    <w:rsid w:val="00E41EEB"/>
    <w:pPr>
      <w:numPr>
        <w:numId w:val="24"/>
      </w:numPr>
      <w:spacing w:before="120"/>
    </w:pPr>
  </w:style>
  <w:style w:type="paragraph" w:customStyle="1" w:styleId="BulletList1">
    <w:name w:val="Bullet List 1"/>
    <w:aliases w:val="Bullet1"/>
    <w:basedOn w:val="BodyText"/>
    <w:rsid w:val="00E41EEB"/>
    <w:pPr>
      <w:numPr>
        <w:numId w:val="26"/>
      </w:numPr>
    </w:pPr>
  </w:style>
  <w:style w:type="paragraph" w:customStyle="1" w:styleId="BulletList2">
    <w:name w:val="Bullet List 2"/>
    <w:aliases w:val="Bullet2"/>
    <w:basedOn w:val="Normal"/>
    <w:rsid w:val="00E41EEB"/>
    <w:pPr>
      <w:numPr>
        <w:ilvl w:val="1"/>
        <w:numId w:val="26"/>
      </w:numPr>
    </w:pPr>
  </w:style>
  <w:style w:type="paragraph" w:customStyle="1" w:styleId="BulletList3">
    <w:name w:val="Bullet List 3"/>
    <w:aliases w:val="Bullet3"/>
    <w:basedOn w:val="Normal"/>
    <w:rsid w:val="00E41EEB"/>
    <w:pPr>
      <w:numPr>
        <w:numId w:val="27"/>
      </w:numPr>
      <w:spacing w:after="240"/>
    </w:pPr>
  </w:style>
  <w:style w:type="paragraph" w:customStyle="1" w:styleId="TitleClause">
    <w:name w:val="Title Clause"/>
    <w:basedOn w:val="Normal"/>
    <w:rsid w:val="00C503F6"/>
    <w:pPr>
      <w:keepNext/>
      <w:numPr>
        <w:numId w:val="17"/>
      </w:numPr>
      <w:spacing w:before="240" w:after="240" w:line="300" w:lineRule="atLeast"/>
      <w:jc w:val="both"/>
      <w:outlineLvl w:val="0"/>
    </w:pPr>
    <w:rPr>
      <w:rFonts w:ascii="Arial" w:eastAsia="Arial Unicode MS" w:hAnsi="Arial" w:cs="Arial"/>
      <w:b/>
      <w:color w:val="000000"/>
      <w:kern w:val="28"/>
      <w:szCs w:val="20"/>
    </w:rPr>
  </w:style>
  <w:style w:type="paragraph" w:customStyle="1" w:styleId="ClauseNoTitle">
    <w:name w:val="Clause No Title"/>
    <w:basedOn w:val="TitleClause"/>
    <w:rsid w:val="00C503F6"/>
    <w:rPr>
      <w:b w:val="0"/>
      <w:smallCaps/>
    </w:rPr>
  </w:style>
  <w:style w:type="paragraph" w:customStyle="1" w:styleId="ClosingPara">
    <w:name w:val="Closing Para"/>
    <w:basedOn w:val="Normal"/>
    <w:rsid w:val="00C503F6"/>
    <w:pPr>
      <w:spacing w:before="120" w:after="240" w:line="300" w:lineRule="atLeast"/>
      <w:jc w:val="both"/>
    </w:pPr>
    <w:rPr>
      <w:rFonts w:ascii="Arial" w:eastAsia="Arial Unicode MS" w:hAnsi="Arial" w:cs="Arial"/>
      <w:color w:val="000000"/>
      <w:szCs w:val="20"/>
    </w:rPr>
  </w:style>
  <w:style w:type="paragraph" w:customStyle="1" w:styleId="ClosingSignOff">
    <w:name w:val="Closing SignOff"/>
    <w:basedOn w:val="Normal"/>
    <w:rsid w:val="00C503F6"/>
    <w:pPr>
      <w:spacing w:after="120" w:line="300" w:lineRule="atLeast"/>
      <w:jc w:val="both"/>
    </w:pPr>
    <w:rPr>
      <w:rFonts w:ascii="Arial" w:eastAsia="Arial Unicode MS" w:hAnsi="Arial" w:cs="Arial"/>
      <w:color w:val="000000"/>
      <w:szCs w:val="20"/>
    </w:rPr>
  </w:style>
  <w:style w:type="paragraph" w:customStyle="1" w:styleId="CoversheetTitle">
    <w:name w:val="Coversheet Title"/>
    <w:basedOn w:val="Normal"/>
    <w:rsid w:val="00E41EEB"/>
    <w:pPr>
      <w:tabs>
        <w:tab w:val="left" w:pos="2268"/>
      </w:tabs>
      <w:spacing w:after="210"/>
    </w:pPr>
    <w:rPr>
      <w:rFonts w:eastAsia="Calibri"/>
      <w:color w:val="414042"/>
      <w:sz w:val="44"/>
      <w:szCs w:val="24"/>
    </w:rPr>
  </w:style>
  <w:style w:type="paragraph" w:customStyle="1" w:styleId="CoverSheetHeading">
    <w:name w:val="Cover Sheet Heading"/>
    <w:aliases w:val="Coversheet Title2"/>
    <w:basedOn w:val="CoversheetTitle"/>
    <w:rsid w:val="00C503F6"/>
    <w:rPr>
      <w:color w:val="000000"/>
    </w:rPr>
  </w:style>
  <w:style w:type="paragraph" w:customStyle="1" w:styleId="CoverSheetSubjectText">
    <w:name w:val="Cover Sheet Subject Text"/>
    <w:basedOn w:val="Normal"/>
    <w:rsid w:val="00C503F6"/>
    <w:pPr>
      <w:spacing w:line="300" w:lineRule="atLeast"/>
      <w:jc w:val="center"/>
    </w:pPr>
    <w:rPr>
      <w:rFonts w:ascii="Arial" w:eastAsia="Arial Unicode MS" w:hAnsi="Arial" w:cs="Arial"/>
      <w:color w:val="000000"/>
      <w:szCs w:val="20"/>
    </w:rPr>
  </w:style>
  <w:style w:type="paragraph" w:customStyle="1" w:styleId="CoverSheetSubjectTitle">
    <w:name w:val="Cover Sheet Subject Title"/>
    <w:basedOn w:val="Normal"/>
    <w:rsid w:val="00C503F6"/>
    <w:pPr>
      <w:spacing w:line="300" w:lineRule="atLeast"/>
      <w:jc w:val="center"/>
    </w:pPr>
    <w:rPr>
      <w:rFonts w:ascii="Arial" w:eastAsia="Arial Unicode MS" w:hAnsi="Arial" w:cs="Arial"/>
      <w:color w:val="000000"/>
      <w:szCs w:val="20"/>
    </w:rPr>
  </w:style>
  <w:style w:type="paragraph" w:customStyle="1" w:styleId="DefinedTermPara">
    <w:name w:val="Defined Term Para"/>
    <w:basedOn w:val="Paragraph"/>
    <w:qFormat/>
    <w:rsid w:val="00C503F6"/>
    <w:pPr>
      <w:numPr>
        <w:numId w:val="18"/>
      </w:numPr>
    </w:pPr>
  </w:style>
  <w:style w:type="paragraph" w:customStyle="1" w:styleId="DescriptiveHeading">
    <w:name w:val="DescriptiveHeading"/>
    <w:next w:val="Paragraph"/>
    <w:link w:val="DescriptiveHeadingChar"/>
    <w:rsid w:val="00C503F6"/>
    <w:pPr>
      <w:spacing w:before="360" w:after="360" w:line="240" w:lineRule="auto"/>
      <w:outlineLvl w:val="0"/>
    </w:pPr>
    <w:rPr>
      <w:rFonts w:ascii="Arial" w:eastAsia="Arial Unicode MS" w:hAnsi="Arial" w:cs="Arial"/>
      <w:b/>
      <w:color w:val="000000"/>
      <w:lang w:val="en-US" w:eastAsia="en-US"/>
    </w:rPr>
  </w:style>
  <w:style w:type="character" w:customStyle="1" w:styleId="DescriptiveHeadingChar">
    <w:name w:val="DescriptiveHeading Char"/>
    <w:link w:val="DescriptiveHeading"/>
    <w:rsid w:val="00C503F6"/>
    <w:rPr>
      <w:rFonts w:ascii="Arial" w:eastAsia="Arial Unicode MS" w:hAnsi="Arial" w:cs="Arial"/>
      <w:b/>
      <w:color w:val="000000"/>
      <w:lang w:val="en-US" w:eastAsia="en-US"/>
    </w:rPr>
  </w:style>
  <w:style w:type="paragraph" w:customStyle="1" w:styleId="DraftingnoteSection1Para">
    <w:name w:val="Draftingnote Section1 Para"/>
    <w:basedOn w:val="Normal"/>
    <w:rsid w:val="00C503F6"/>
    <w:pPr>
      <w:spacing w:after="120" w:line="300" w:lineRule="atLeast"/>
      <w:jc w:val="both"/>
    </w:pPr>
    <w:rPr>
      <w:rFonts w:ascii="Arial" w:eastAsia="Arial Unicode MS" w:hAnsi="Arial" w:cs="Arial"/>
      <w:color w:val="000000"/>
      <w:szCs w:val="20"/>
    </w:rPr>
  </w:style>
  <w:style w:type="paragraph" w:customStyle="1" w:styleId="DraftingnoteSection1Title">
    <w:name w:val="Draftingnote Section1 Title"/>
    <w:basedOn w:val="Normal"/>
    <w:rsid w:val="00C503F6"/>
    <w:pPr>
      <w:spacing w:after="120" w:line="300" w:lineRule="atLeast"/>
      <w:jc w:val="both"/>
    </w:pPr>
    <w:rPr>
      <w:rFonts w:ascii="Arial" w:eastAsia="Arial Unicode MS" w:hAnsi="Arial" w:cs="Arial"/>
      <w:b/>
      <w:color w:val="000000"/>
      <w:sz w:val="36"/>
      <w:szCs w:val="20"/>
    </w:rPr>
  </w:style>
  <w:style w:type="paragraph" w:customStyle="1" w:styleId="DraftingnoteSection2Para">
    <w:name w:val="Draftingnote Section2 Para"/>
    <w:basedOn w:val="Normal"/>
    <w:rsid w:val="00C503F6"/>
    <w:pPr>
      <w:spacing w:after="120" w:line="300" w:lineRule="atLeast"/>
      <w:jc w:val="both"/>
    </w:pPr>
    <w:rPr>
      <w:rFonts w:ascii="Arial" w:eastAsia="Arial Unicode MS" w:hAnsi="Arial" w:cs="Arial"/>
      <w:color w:val="000000"/>
      <w:szCs w:val="20"/>
    </w:rPr>
  </w:style>
  <w:style w:type="paragraph" w:customStyle="1" w:styleId="DraftingnoteSection2Title">
    <w:name w:val="Draftingnote Section2 Title"/>
    <w:basedOn w:val="Normal"/>
    <w:rsid w:val="00C503F6"/>
    <w:pPr>
      <w:spacing w:after="120" w:line="300" w:lineRule="atLeast"/>
      <w:jc w:val="both"/>
    </w:pPr>
    <w:rPr>
      <w:rFonts w:ascii="Arial" w:eastAsia="Arial Unicode MS" w:hAnsi="Arial" w:cs="Arial"/>
      <w:b/>
      <w:color w:val="000000"/>
      <w:sz w:val="28"/>
      <w:szCs w:val="20"/>
    </w:rPr>
  </w:style>
  <w:style w:type="paragraph" w:customStyle="1" w:styleId="DraftingnoteSection3Para">
    <w:name w:val="Draftingnote Section3 Para"/>
    <w:basedOn w:val="Normal"/>
    <w:rsid w:val="00C503F6"/>
    <w:pPr>
      <w:spacing w:after="120" w:line="300" w:lineRule="atLeast"/>
      <w:jc w:val="both"/>
    </w:pPr>
    <w:rPr>
      <w:rFonts w:ascii="Arial" w:eastAsia="Arial Unicode MS" w:hAnsi="Arial" w:cs="Arial"/>
      <w:color w:val="000000"/>
      <w:szCs w:val="20"/>
    </w:rPr>
  </w:style>
  <w:style w:type="paragraph" w:customStyle="1" w:styleId="DraftingnoteSection3Title">
    <w:name w:val="Draftingnote Section3 Title"/>
    <w:basedOn w:val="Normal"/>
    <w:rsid w:val="00C503F6"/>
    <w:pPr>
      <w:spacing w:after="120" w:line="300" w:lineRule="atLeast"/>
      <w:jc w:val="both"/>
    </w:pPr>
    <w:rPr>
      <w:rFonts w:ascii="Arial" w:eastAsia="Arial Unicode MS" w:hAnsi="Arial" w:cs="Arial"/>
      <w:b/>
      <w:i/>
      <w:color w:val="000000"/>
      <w:sz w:val="28"/>
      <w:szCs w:val="20"/>
    </w:rPr>
  </w:style>
  <w:style w:type="paragraph" w:customStyle="1" w:styleId="DraftingnoteSection4Para">
    <w:name w:val="Draftingnote Section4 Para"/>
    <w:basedOn w:val="Normal"/>
    <w:rsid w:val="00C503F6"/>
    <w:pPr>
      <w:spacing w:after="120" w:line="300" w:lineRule="atLeast"/>
      <w:jc w:val="both"/>
    </w:pPr>
    <w:rPr>
      <w:rFonts w:ascii="Arial" w:eastAsia="Arial Unicode MS" w:hAnsi="Arial" w:cs="Arial"/>
      <w:color w:val="000000"/>
      <w:szCs w:val="20"/>
    </w:rPr>
  </w:style>
  <w:style w:type="paragraph" w:customStyle="1" w:styleId="DraftingnoteSection4Title">
    <w:name w:val="Draftingnote Section4 Title"/>
    <w:basedOn w:val="Normal"/>
    <w:rsid w:val="00C503F6"/>
    <w:pPr>
      <w:spacing w:after="120" w:line="300" w:lineRule="atLeast"/>
      <w:jc w:val="both"/>
    </w:pPr>
    <w:rPr>
      <w:rFonts w:ascii="Arial" w:eastAsia="Arial Unicode MS" w:hAnsi="Arial" w:cs="Arial"/>
      <w:b/>
      <w:i/>
      <w:color w:val="000000"/>
      <w:sz w:val="28"/>
      <w:szCs w:val="20"/>
    </w:rPr>
  </w:style>
  <w:style w:type="paragraph" w:customStyle="1" w:styleId="DraftingnoteTitle">
    <w:name w:val="Draftingnote Title"/>
    <w:basedOn w:val="Normal"/>
    <w:rsid w:val="00C503F6"/>
    <w:pPr>
      <w:spacing w:after="120" w:line="300" w:lineRule="atLeast"/>
      <w:jc w:val="both"/>
    </w:pPr>
    <w:rPr>
      <w:rFonts w:ascii="Arial" w:eastAsia="Arial Unicode MS" w:hAnsi="Arial" w:cs="Arial"/>
      <w:b/>
      <w:color w:val="000000"/>
      <w:sz w:val="28"/>
      <w:szCs w:val="20"/>
    </w:rPr>
  </w:style>
  <w:style w:type="paragraph" w:customStyle="1" w:styleId="FulltextBridgehead">
    <w:name w:val="Fulltext Bridgehead"/>
    <w:basedOn w:val="Normal"/>
    <w:rsid w:val="00C503F6"/>
    <w:pPr>
      <w:spacing w:after="120" w:line="300" w:lineRule="atLeast"/>
      <w:jc w:val="both"/>
    </w:pPr>
    <w:rPr>
      <w:rFonts w:ascii="Arial" w:eastAsia="Arial Unicode MS" w:hAnsi="Arial" w:cs="Arial"/>
      <w:b/>
      <w:color w:val="000000"/>
      <w:sz w:val="48"/>
      <w:szCs w:val="20"/>
    </w:rPr>
  </w:style>
  <w:style w:type="paragraph" w:customStyle="1" w:styleId="FulltextSection1Para">
    <w:name w:val="Fulltext Section1 Para"/>
    <w:basedOn w:val="Normal"/>
    <w:rsid w:val="00C503F6"/>
    <w:pPr>
      <w:spacing w:after="120" w:line="300" w:lineRule="atLeast"/>
      <w:jc w:val="both"/>
    </w:pPr>
    <w:rPr>
      <w:rFonts w:ascii="Arial" w:eastAsia="Arial Unicode MS" w:hAnsi="Arial" w:cs="Arial"/>
      <w:color w:val="000000"/>
      <w:szCs w:val="20"/>
    </w:rPr>
  </w:style>
  <w:style w:type="paragraph" w:customStyle="1" w:styleId="FulltextSection1Title">
    <w:name w:val="Fulltext Section1 Title"/>
    <w:basedOn w:val="Normal"/>
    <w:rsid w:val="00C503F6"/>
    <w:pPr>
      <w:spacing w:after="120" w:line="300" w:lineRule="atLeast"/>
      <w:jc w:val="both"/>
    </w:pPr>
    <w:rPr>
      <w:rFonts w:ascii="Arial" w:eastAsia="Arial Unicode MS" w:hAnsi="Arial" w:cs="Arial"/>
      <w:b/>
      <w:color w:val="000000"/>
      <w:sz w:val="36"/>
      <w:szCs w:val="20"/>
    </w:rPr>
  </w:style>
  <w:style w:type="paragraph" w:customStyle="1" w:styleId="FulltextSection2Para">
    <w:name w:val="Fulltext Section2 Para"/>
    <w:basedOn w:val="Normal"/>
    <w:rsid w:val="00C503F6"/>
    <w:pPr>
      <w:spacing w:after="120" w:line="300" w:lineRule="atLeast"/>
      <w:jc w:val="both"/>
    </w:pPr>
    <w:rPr>
      <w:rFonts w:ascii="Arial" w:eastAsia="Arial Unicode MS" w:hAnsi="Arial" w:cs="Arial"/>
      <w:color w:val="000000"/>
      <w:szCs w:val="20"/>
    </w:rPr>
  </w:style>
  <w:style w:type="paragraph" w:customStyle="1" w:styleId="FulltextSection2Title">
    <w:name w:val="Fulltext Section2 Title"/>
    <w:basedOn w:val="Normal"/>
    <w:rsid w:val="00C503F6"/>
    <w:pPr>
      <w:spacing w:after="120" w:line="300" w:lineRule="atLeast"/>
      <w:jc w:val="both"/>
    </w:pPr>
    <w:rPr>
      <w:rFonts w:ascii="Arial" w:eastAsia="Arial Unicode MS" w:hAnsi="Arial" w:cs="Arial"/>
      <w:b/>
      <w:color w:val="000000"/>
      <w:sz w:val="28"/>
      <w:szCs w:val="20"/>
    </w:rPr>
  </w:style>
  <w:style w:type="paragraph" w:customStyle="1" w:styleId="FulltextSection3Para">
    <w:name w:val="Fulltext Section3 Para"/>
    <w:basedOn w:val="Normal"/>
    <w:rsid w:val="00C503F6"/>
    <w:pPr>
      <w:spacing w:after="120" w:line="300" w:lineRule="atLeast"/>
      <w:jc w:val="both"/>
    </w:pPr>
    <w:rPr>
      <w:rFonts w:ascii="Arial" w:eastAsia="Arial Unicode MS" w:hAnsi="Arial" w:cs="Arial"/>
      <w:color w:val="000000"/>
      <w:szCs w:val="20"/>
    </w:rPr>
  </w:style>
  <w:style w:type="paragraph" w:customStyle="1" w:styleId="FulltextSection3Title">
    <w:name w:val="Fulltext Section3 Title"/>
    <w:basedOn w:val="Normal"/>
    <w:rsid w:val="00C503F6"/>
    <w:pPr>
      <w:spacing w:after="120" w:line="300" w:lineRule="atLeast"/>
      <w:jc w:val="both"/>
    </w:pPr>
    <w:rPr>
      <w:rFonts w:ascii="Arial" w:eastAsia="Arial Unicode MS" w:hAnsi="Arial" w:cs="Arial"/>
      <w:b/>
      <w:i/>
      <w:color w:val="000000"/>
      <w:sz w:val="28"/>
      <w:szCs w:val="20"/>
    </w:rPr>
  </w:style>
  <w:style w:type="paragraph" w:customStyle="1" w:styleId="FulltextSection4Para">
    <w:name w:val="Fulltext Section4 Para"/>
    <w:basedOn w:val="Normal"/>
    <w:rsid w:val="00C503F6"/>
    <w:pPr>
      <w:spacing w:after="120" w:line="300" w:lineRule="atLeast"/>
      <w:jc w:val="both"/>
    </w:pPr>
    <w:rPr>
      <w:rFonts w:ascii="Arial" w:eastAsia="Arial Unicode MS" w:hAnsi="Arial" w:cs="Arial"/>
      <w:color w:val="000000"/>
      <w:szCs w:val="20"/>
    </w:rPr>
  </w:style>
  <w:style w:type="paragraph" w:customStyle="1" w:styleId="FulltextSection4Title">
    <w:name w:val="Fulltext Section4 Title"/>
    <w:basedOn w:val="Normal"/>
    <w:rsid w:val="00C503F6"/>
    <w:pPr>
      <w:spacing w:after="120" w:line="300" w:lineRule="atLeast"/>
      <w:jc w:val="both"/>
    </w:pPr>
    <w:rPr>
      <w:rFonts w:ascii="Arial" w:eastAsia="Arial Unicode MS" w:hAnsi="Arial" w:cs="Arial"/>
      <w:b/>
      <w:i/>
      <w:color w:val="000000"/>
      <w:sz w:val="28"/>
      <w:szCs w:val="20"/>
    </w:rPr>
  </w:style>
  <w:style w:type="paragraph" w:customStyle="1" w:styleId="GlossItemGlossdefPara">
    <w:name w:val="GlossItem Glossdef Para"/>
    <w:basedOn w:val="Normal"/>
    <w:rsid w:val="00C503F6"/>
    <w:pPr>
      <w:spacing w:after="120" w:line="300" w:lineRule="atLeast"/>
      <w:jc w:val="both"/>
    </w:pPr>
    <w:rPr>
      <w:rFonts w:ascii="Arial" w:eastAsia="Arial Unicode MS" w:hAnsi="Arial" w:cs="Arial"/>
      <w:color w:val="000000"/>
      <w:szCs w:val="20"/>
    </w:rPr>
  </w:style>
  <w:style w:type="paragraph" w:customStyle="1" w:styleId="GlossItemGlossterm">
    <w:name w:val="GlossItem Glossterm"/>
    <w:basedOn w:val="Normal"/>
    <w:rsid w:val="00C503F6"/>
    <w:pPr>
      <w:spacing w:after="120" w:line="300" w:lineRule="atLeast"/>
      <w:jc w:val="both"/>
    </w:pPr>
    <w:rPr>
      <w:rFonts w:ascii="Arial" w:eastAsia="Arial Unicode MS" w:hAnsi="Arial" w:cs="Arial"/>
      <w:b/>
      <w:color w:val="000000"/>
      <w:sz w:val="48"/>
      <w:szCs w:val="20"/>
    </w:rPr>
  </w:style>
  <w:style w:type="paragraph" w:customStyle="1" w:styleId="HeadingAddressLine">
    <w:name w:val="Heading Address Line"/>
    <w:basedOn w:val="Normal"/>
    <w:rsid w:val="00C503F6"/>
    <w:pPr>
      <w:spacing w:after="120" w:line="300" w:lineRule="atLeast"/>
      <w:jc w:val="both"/>
    </w:pPr>
    <w:rPr>
      <w:rFonts w:ascii="Arial" w:eastAsia="Arial Unicode MS" w:hAnsi="Arial" w:cs="Arial"/>
      <w:color w:val="000000"/>
      <w:szCs w:val="20"/>
    </w:rPr>
  </w:style>
  <w:style w:type="paragraph" w:customStyle="1" w:styleId="HeadingDate">
    <w:name w:val="Heading Date"/>
    <w:basedOn w:val="Normal"/>
    <w:rsid w:val="00C503F6"/>
    <w:pPr>
      <w:spacing w:after="120" w:line="300" w:lineRule="atLeast"/>
      <w:jc w:val="both"/>
    </w:pPr>
    <w:rPr>
      <w:rFonts w:ascii="Arial" w:eastAsia="Arial Unicode MS" w:hAnsi="Arial" w:cs="Arial"/>
      <w:color w:val="000000"/>
      <w:szCs w:val="20"/>
    </w:rPr>
  </w:style>
  <w:style w:type="paragraph" w:customStyle="1" w:styleId="HeadingLetterheadBasedOnAttribute">
    <w:name w:val="Heading Letterhead Based On Attribute"/>
    <w:basedOn w:val="Normal"/>
    <w:rsid w:val="00C503F6"/>
    <w:pPr>
      <w:spacing w:after="120" w:line="300" w:lineRule="atLeast"/>
      <w:jc w:val="both"/>
    </w:pPr>
    <w:rPr>
      <w:rFonts w:ascii="Arial" w:eastAsia="Arial Unicode MS" w:hAnsi="Arial" w:cs="Arial"/>
      <w:color w:val="000000"/>
      <w:szCs w:val="20"/>
    </w:rPr>
  </w:style>
  <w:style w:type="paragraph" w:customStyle="1" w:styleId="HeadingSalutation">
    <w:name w:val="Heading Salutation"/>
    <w:basedOn w:val="Normal"/>
    <w:rsid w:val="00C503F6"/>
    <w:pPr>
      <w:spacing w:after="120" w:line="300" w:lineRule="atLeast"/>
      <w:jc w:val="both"/>
    </w:pPr>
    <w:rPr>
      <w:rFonts w:ascii="Arial" w:eastAsia="Arial Unicode MS" w:hAnsi="Arial" w:cs="Arial"/>
      <w:color w:val="000000"/>
      <w:szCs w:val="20"/>
    </w:rPr>
  </w:style>
  <w:style w:type="paragraph" w:customStyle="1" w:styleId="IgnoredSpacing">
    <w:name w:val="Ignored Spacing"/>
    <w:link w:val="IgnoredSpacingChar"/>
    <w:rsid w:val="00C503F6"/>
    <w:pPr>
      <w:spacing w:after="120" w:line="240" w:lineRule="auto"/>
    </w:pPr>
    <w:rPr>
      <w:rFonts w:ascii="Arial" w:eastAsia="Arial Unicode MS" w:hAnsi="Arial" w:cs="Arial"/>
      <w:color w:val="000000"/>
      <w:sz w:val="24"/>
      <w:szCs w:val="24"/>
      <w:lang w:val="en-US" w:eastAsia="en-US"/>
    </w:rPr>
  </w:style>
  <w:style w:type="character" w:customStyle="1" w:styleId="IgnoredSpacingChar">
    <w:name w:val="Ignored Spacing Char"/>
    <w:link w:val="IgnoredSpacing"/>
    <w:rsid w:val="00C503F6"/>
    <w:rPr>
      <w:rFonts w:ascii="Arial" w:eastAsia="Arial Unicode MS" w:hAnsi="Arial" w:cs="Arial"/>
      <w:color w:val="000000"/>
      <w:sz w:val="24"/>
      <w:szCs w:val="24"/>
      <w:lang w:val="en-US" w:eastAsia="en-US"/>
    </w:rPr>
  </w:style>
  <w:style w:type="paragraph" w:customStyle="1" w:styleId="InternalAuthor">
    <w:name w:val="Internal Author"/>
    <w:link w:val="InternalAuthorChar"/>
    <w:rsid w:val="00C503F6"/>
    <w:pPr>
      <w:spacing w:after="120" w:line="240" w:lineRule="auto"/>
    </w:pPr>
    <w:rPr>
      <w:rFonts w:ascii="Arial" w:eastAsia="Arial Unicode MS" w:hAnsi="Arial" w:cs="Arial"/>
      <w:color w:val="000000"/>
      <w:sz w:val="24"/>
      <w:lang w:val="en-US" w:eastAsia="en-US"/>
    </w:rPr>
  </w:style>
  <w:style w:type="character" w:customStyle="1" w:styleId="InternalAuthorChar">
    <w:name w:val="Internal Author Char"/>
    <w:link w:val="InternalAuthor"/>
    <w:rsid w:val="00C503F6"/>
    <w:rPr>
      <w:rFonts w:ascii="Arial" w:eastAsia="Arial Unicode MS" w:hAnsi="Arial" w:cs="Arial"/>
      <w:color w:val="000000"/>
      <w:sz w:val="24"/>
      <w:lang w:val="en-US" w:eastAsia="en-US"/>
    </w:rPr>
  </w:style>
  <w:style w:type="paragraph" w:customStyle="1" w:styleId="MaintenanceEditor">
    <w:name w:val="Maintenance Editor"/>
    <w:link w:val="MaintenanceEditorChar"/>
    <w:rsid w:val="00C503F6"/>
    <w:pPr>
      <w:spacing w:after="120" w:line="240" w:lineRule="auto"/>
    </w:pPr>
    <w:rPr>
      <w:rFonts w:ascii="Arial" w:eastAsia="Arial Unicode MS" w:hAnsi="Arial" w:cs="Arial"/>
      <w:color w:val="000000"/>
      <w:sz w:val="24"/>
      <w:lang w:val="en-US" w:eastAsia="en-US"/>
    </w:rPr>
  </w:style>
  <w:style w:type="character" w:customStyle="1" w:styleId="MaintenanceEditorChar">
    <w:name w:val="Maintenance Editor Char"/>
    <w:link w:val="MaintenanceEditor"/>
    <w:rsid w:val="00C503F6"/>
    <w:rPr>
      <w:rFonts w:ascii="Arial" w:eastAsia="Arial Unicode MS" w:hAnsi="Arial" w:cs="Arial"/>
      <w:color w:val="000000"/>
      <w:sz w:val="24"/>
      <w:lang w:val="en-US" w:eastAsia="en-US"/>
    </w:rPr>
  </w:style>
  <w:style w:type="paragraph" w:customStyle="1" w:styleId="ParaClause">
    <w:name w:val="Para Clause"/>
    <w:basedOn w:val="Normal"/>
    <w:rsid w:val="00C503F6"/>
    <w:pPr>
      <w:spacing w:before="120" w:after="120" w:line="300" w:lineRule="atLeast"/>
      <w:ind w:left="720"/>
      <w:jc w:val="both"/>
    </w:pPr>
    <w:rPr>
      <w:rFonts w:ascii="Arial" w:eastAsia="Arial Unicode MS" w:hAnsi="Arial" w:cs="Arial"/>
      <w:color w:val="000000"/>
      <w:szCs w:val="20"/>
    </w:rPr>
  </w:style>
  <w:style w:type="paragraph" w:customStyle="1" w:styleId="Parasubclause1">
    <w:name w:val="Para subclause 1"/>
    <w:aliases w:val="BIWS Heading 2"/>
    <w:basedOn w:val="Normal"/>
    <w:rsid w:val="00C503F6"/>
    <w:pPr>
      <w:spacing w:before="240" w:after="120" w:line="300" w:lineRule="atLeast"/>
      <w:ind w:left="720"/>
      <w:jc w:val="both"/>
    </w:pPr>
    <w:rPr>
      <w:rFonts w:ascii="Arial" w:eastAsia="Arial Unicode MS" w:hAnsi="Arial" w:cs="Arial"/>
      <w:color w:val="000000"/>
      <w:szCs w:val="20"/>
    </w:rPr>
  </w:style>
  <w:style w:type="paragraph" w:customStyle="1" w:styleId="Untitledsubclause1">
    <w:name w:val="Untitled subclause 1"/>
    <w:basedOn w:val="Normal"/>
    <w:rsid w:val="00C503F6"/>
    <w:pPr>
      <w:numPr>
        <w:ilvl w:val="1"/>
        <w:numId w:val="17"/>
      </w:numPr>
      <w:spacing w:before="280" w:after="120" w:line="300" w:lineRule="atLeast"/>
      <w:jc w:val="both"/>
      <w:outlineLvl w:val="1"/>
    </w:pPr>
    <w:rPr>
      <w:rFonts w:ascii="Arial" w:eastAsia="Arial Unicode MS" w:hAnsi="Arial" w:cs="Arial"/>
      <w:color w:val="000000"/>
      <w:szCs w:val="20"/>
    </w:rPr>
  </w:style>
  <w:style w:type="paragraph" w:customStyle="1" w:styleId="Parasubclause2">
    <w:name w:val="Para subclause 2"/>
    <w:aliases w:val="BIWS Heading 3"/>
    <w:basedOn w:val="Normal"/>
    <w:rsid w:val="00C503F6"/>
    <w:pPr>
      <w:spacing w:after="240" w:line="300" w:lineRule="atLeast"/>
      <w:ind w:left="1559"/>
      <w:jc w:val="both"/>
    </w:pPr>
    <w:rPr>
      <w:rFonts w:ascii="Arial" w:eastAsia="Arial Unicode MS" w:hAnsi="Arial" w:cs="Arial"/>
      <w:color w:val="000000"/>
      <w:szCs w:val="20"/>
    </w:rPr>
  </w:style>
  <w:style w:type="paragraph" w:customStyle="1" w:styleId="Untitledsubclause2">
    <w:name w:val="Untitled subclause 2"/>
    <w:basedOn w:val="Normal"/>
    <w:rsid w:val="00C503F6"/>
    <w:pPr>
      <w:numPr>
        <w:ilvl w:val="2"/>
        <w:numId w:val="17"/>
      </w:numPr>
      <w:spacing w:after="120" w:line="300" w:lineRule="atLeast"/>
      <w:jc w:val="both"/>
      <w:outlineLvl w:val="2"/>
    </w:pPr>
    <w:rPr>
      <w:rFonts w:ascii="Arial" w:eastAsia="Arial Unicode MS" w:hAnsi="Arial" w:cs="Arial"/>
      <w:color w:val="000000"/>
      <w:szCs w:val="20"/>
    </w:rPr>
  </w:style>
  <w:style w:type="paragraph" w:customStyle="1" w:styleId="Parasubclause3">
    <w:name w:val="Para subclause 3"/>
    <w:aliases w:val="BIWS Heading 4"/>
    <w:basedOn w:val="Normal"/>
    <w:next w:val="Untitledsubclause2"/>
    <w:rsid w:val="00C503F6"/>
    <w:pPr>
      <w:spacing w:after="120" w:line="300" w:lineRule="atLeast"/>
      <w:ind w:left="2268"/>
      <w:jc w:val="both"/>
    </w:pPr>
    <w:rPr>
      <w:rFonts w:ascii="Arial" w:eastAsia="Arial Unicode MS" w:hAnsi="Arial" w:cs="Arial"/>
      <w:color w:val="000000"/>
      <w:szCs w:val="20"/>
    </w:rPr>
  </w:style>
  <w:style w:type="paragraph" w:customStyle="1" w:styleId="Untitledsubclause3">
    <w:name w:val="Untitled subclause 3"/>
    <w:basedOn w:val="Normal"/>
    <w:rsid w:val="00C503F6"/>
    <w:pPr>
      <w:numPr>
        <w:ilvl w:val="3"/>
        <w:numId w:val="17"/>
      </w:numPr>
      <w:tabs>
        <w:tab w:val="left" w:pos="2261"/>
      </w:tabs>
      <w:spacing w:after="120" w:line="300" w:lineRule="atLeast"/>
      <w:jc w:val="both"/>
      <w:outlineLvl w:val="3"/>
    </w:pPr>
    <w:rPr>
      <w:rFonts w:ascii="Arial" w:eastAsia="Arial Unicode MS" w:hAnsi="Arial" w:cs="Arial"/>
      <w:color w:val="000000"/>
      <w:szCs w:val="20"/>
    </w:rPr>
  </w:style>
  <w:style w:type="paragraph" w:customStyle="1" w:styleId="Parasubclause4">
    <w:name w:val="Para subclause 4"/>
    <w:aliases w:val="BIWS Heading 5"/>
    <w:basedOn w:val="Parasubclause3"/>
    <w:rsid w:val="00C503F6"/>
    <w:pPr>
      <w:spacing w:after="240"/>
      <w:ind w:left="3028"/>
    </w:pPr>
  </w:style>
  <w:style w:type="paragraph" w:customStyle="1" w:styleId="Untitledsubclause4">
    <w:name w:val="Untitled subclause 4"/>
    <w:basedOn w:val="Normal"/>
    <w:rsid w:val="00C503F6"/>
    <w:pPr>
      <w:numPr>
        <w:ilvl w:val="4"/>
        <w:numId w:val="17"/>
      </w:numPr>
      <w:spacing w:after="120" w:line="300" w:lineRule="atLeast"/>
      <w:jc w:val="both"/>
      <w:outlineLvl w:val="4"/>
    </w:pPr>
    <w:rPr>
      <w:rFonts w:ascii="Arial" w:eastAsia="Arial Unicode MS" w:hAnsi="Arial" w:cs="Arial"/>
      <w:color w:val="000000"/>
      <w:szCs w:val="20"/>
    </w:rPr>
  </w:style>
  <w:style w:type="paragraph" w:customStyle="1" w:styleId="Para">
    <w:name w:val="Para"/>
    <w:aliases w:val="PLC Style - Normal"/>
    <w:basedOn w:val="Normal"/>
    <w:rsid w:val="00C503F6"/>
    <w:pPr>
      <w:spacing w:after="120" w:line="300" w:lineRule="atLeast"/>
      <w:jc w:val="both"/>
    </w:pPr>
    <w:rPr>
      <w:rFonts w:ascii="Arial" w:eastAsia="Arial Unicode MS" w:hAnsi="Arial" w:cs="Arial"/>
      <w:color w:val="000000"/>
      <w:szCs w:val="20"/>
    </w:rPr>
  </w:style>
  <w:style w:type="paragraph" w:customStyle="1" w:styleId="Parties">
    <w:name w:val="Parties"/>
    <w:aliases w:val="(1) Parties"/>
    <w:basedOn w:val="BodyText"/>
    <w:rsid w:val="00E41EEB"/>
    <w:pPr>
      <w:numPr>
        <w:numId w:val="35"/>
      </w:numPr>
    </w:pPr>
  </w:style>
  <w:style w:type="paragraph" w:customStyle="1" w:styleId="ResourceHistoryAuthor">
    <w:name w:val="Resource History Author"/>
    <w:link w:val="ResourceHistoryAuthorChar"/>
    <w:rsid w:val="00C503F6"/>
    <w:pPr>
      <w:spacing w:after="120" w:line="240" w:lineRule="auto"/>
    </w:pPr>
    <w:rPr>
      <w:rFonts w:ascii="Arial" w:eastAsia="Arial Unicode MS" w:hAnsi="Arial" w:cs="Arial"/>
      <w:color w:val="000000"/>
      <w:sz w:val="24"/>
      <w:szCs w:val="24"/>
      <w:lang w:val="en-US" w:eastAsia="en-US"/>
    </w:rPr>
  </w:style>
  <w:style w:type="character" w:customStyle="1" w:styleId="ResourceHistoryAuthorChar">
    <w:name w:val="Resource History Author Char"/>
    <w:link w:val="ResourceHistoryAuthor"/>
    <w:rsid w:val="00C503F6"/>
    <w:rPr>
      <w:rFonts w:ascii="Arial" w:eastAsia="Arial Unicode MS" w:hAnsi="Arial" w:cs="Arial"/>
      <w:color w:val="000000"/>
      <w:sz w:val="24"/>
      <w:szCs w:val="24"/>
      <w:lang w:val="en-US" w:eastAsia="en-US"/>
    </w:rPr>
  </w:style>
  <w:style w:type="paragraph" w:customStyle="1" w:styleId="ResourceHistoryDate">
    <w:name w:val="Resource History Date"/>
    <w:link w:val="ResourceHistoryDateChar"/>
    <w:rsid w:val="00C503F6"/>
    <w:pPr>
      <w:spacing w:after="120" w:line="240" w:lineRule="auto"/>
    </w:pPr>
    <w:rPr>
      <w:rFonts w:ascii="Arial" w:eastAsia="Arial Unicode MS" w:hAnsi="Arial" w:cs="Arial"/>
      <w:color w:val="000000"/>
      <w:sz w:val="24"/>
      <w:szCs w:val="24"/>
      <w:lang w:val="en-US" w:eastAsia="en-US"/>
    </w:rPr>
  </w:style>
  <w:style w:type="character" w:customStyle="1" w:styleId="ResourceHistoryDateChar">
    <w:name w:val="Resource History Date Char"/>
    <w:link w:val="ResourceHistoryDate"/>
    <w:rsid w:val="00C503F6"/>
    <w:rPr>
      <w:rFonts w:ascii="Arial" w:eastAsia="Arial Unicode MS" w:hAnsi="Arial" w:cs="Arial"/>
      <w:color w:val="000000"/>
      <w:sz w:val="24"/>
      <w:szCs w:val="24"/>
      <w:lang w:val="en-US" w:eastAsia="en-US"/>
    </w:rPr>
  </w:style>
  <w:style w:type="paragraph" w:customStyle="1" w:styleId="ResourceHistoryDesc">
    <w:name w:val="Resource History Desc"/>
    <w:link w:val="ResourceHistoryDescChar"/>
    <w:rsid w:val="00C503F6"/>
    <w:pPr>
      <w:spacing w:after="120" w:line="240" w:lineRule="auto"/>
    </w:pPr>
    <w:rPr>
      <w:rFonts w:ascii="Verdana" w:eastAsia="Times New Roman" w:hAnsi="Verdana" w:cs="Verdana"/>
      <w:color w:val="000000"/>
      <w:sz w:val="18"/>
      <w:szCs w:val="24"/>
      <w:lang w:val="en-US" w:eastAsia="en-US"/>
    </w:rPr>
  </w:style>
  <w:style w:type="character" w:customStyle="1" w:styleId="ResourceHistoryDescChar">
    <w:name w:val="Resource History Desc Char"/>
    <w:link w:val="ResourceHistoryDesc"/>
    <w:rsid w:val="00C503F6"/>
    <w:rPr>
      <w:rFonts w:ascii="Verdana" w:eastAsia="Times New Roman" w:hAnsi="Verdana" w:cs="Verdana"/>
      <w:color w:val="000000"/>
      <w:sz w:val="18"/>
      <w:szCs w:val="24"/>
      <w:lang w:val="en-US" w:eastAsia="en-US"/>
    </w:rPr>
  </w:style>
  <w:style w:type="paragraph" w:customStyle="1" w:styleId="ResourceHistoryTitle">
    <w:name w:val="Resource History Title"/>
    <w:link w:val="ResourceHistoryTitleChar"/>
    <w:rsid w:val="00C503F6"/>
    <w:pPr>
      <w:spacing w:after="120" w:line="240" w:lineRule="auto"/>
    </w:pPr>
    <w:rPr>
      <w:rFonts w:ascii="Arial" w:eastAsia="Arial Unicode MS" w:hAnsi="Arial" w:cs="Arial"/>
      <w:b/>
      <w:bCs/>
      <w:color w:val="000000"/>
      <w:sz w:val="24"/>
      <w:lang w:val="en-US" w:eastAsia="en-US"/>
    </w:rPr>
  </w:style>
  <w:style w:type="character" w:customStyle="1" w:styleId="ResourceHistoryTitleChar">
    <w:name w:val="Resource History Title Char"/>
    <w:link w:val="ResourceHistoryTitle"/>
    <w:rsid w:val="00C503F6"/>
    <w:rPr>
      <w:rFonts w:ascii="Arial" w:eastAsia="Arial Unicode MS" w:hAnsi="Arial" w:cs="Arial"/>
      <w:b/>
      <w:bCs/>
      <w:color w:val="000000"/>
      <w:sz w:val="24"/>
      <w:lang w:val="en-US" w:eastAsia="en-US"/>
    </w:rPr>
  </w:style>
  <w:style w:type="paragraph" w:customStyle="1" w:styleId="ResourceType">
    <w:name w:val="Resource Type"/>
    <w:link w:val="ResourceTypeChar"/>
    <w:rsid w:val="00C503F6"/>
    <w:pPr>
      <w:spacing w:after="120" w:line="240" w:lineRule="auto"/>
    </w:pPr>
    <w:rPr>
      <w:rFonts w:ascii="Arial" w:eastAsia="Arial Unicode MS" w:hAnsi="Arial" w:cs="Arial"/>
      <w:color w:val="000000"/>
      <w:sz w:val="24"/>
      <w:szCs w:val="24"/>
      <w:lang w:val="en-US" w:eastAsia="en-US"/>
    </w:rPr>
  </w:style>
  <w:style w:type="character" w:customStyle="1" w:styleId="ResourceTypeChar">
    <w:name w:val="Resource Type Char"/>
    <w:link w:val="ResourceType"/>
    <w:rsid w:val="00C503F6"/>
    <w:rPr>
      <w:rFonts w:ascii="Arial" w:eastAsia="Arial Unicode MS" w:hAnsi="Arial" w:cs="Arial"/>
      <w:color w:val="000000"/>
      <w:sz w:val="24"/>
      <w:szCs w:val="24"/>
      <w:lang w:val="en-US" w:eastAsia="en-US"/>
    </w:rPr>
  </w:style>
  <w:style w:type="paragraph" w:customStyle="1" w:styleId="ScheduleHeading-Single">
    <w:name w:val="Schedule Heading - Single"/>
    <w:aliases w:val="Sch   main head inc single"/>
    <w:basedOn w:val="Normal"/>
    <w:next w:val="Normal"/>
    <w:rsid w:val="00C503F6"/>
    <w:pPr>
      <w:numPr>
        <w:numId w:val="1"/>
      </w:numPr>
      <w:spacing w:before="240" w:after="360" w:line="300" w:lineRule="atLeast"/>
      <w:jc w:val="both"/>
    </w:pPr>
    <w:rPr>
      <w:rFonts w:ascii="Arial" w:eastAsia="Arial Unicode MS" w:hAnsi="Arial" w:cs="Arial"/>
      <w:b/>
      <w:color w:val="000000"/>
      <w:kern w:val="28"/>
      <w:szCs w:val="20"/>
    </w:rPr>
  </w:style>
  <w:style w:type="paragraph" w:customStyle="1" w:styleId="ScheduleHeading">
    <w:name w:val="Schedule Heading"/>
    <w:aliases w:val="Sch   main head"/>
    <w:basedOn w:val="Normal"/>
    <w:next w:val="Normal"/>
    <w:autoRedefine/>
    <w:rsid w:val="00C503F6"/>
    <w:pPr>
      <w:keepNext/>
      <w:pageBreakBefore/>
      <w:numPr>
        <w:numId w:val="2"/>
      </w:numPr>
      <w:spacing w:before="240" w:after="360" w:line="300" w:lineRule="atLeast"/>
      <w:jc w:val="center"/>
      <w:outlineLvl w:val="0"/>
    </w:pPr>
    <w:rPr>
      <w:rFonts w:ascii="Arial" w:eastAsia="Arial Unicode MS" w:hAnsi="Arial" w:cs="Arial"/>
      <w:b/>
      <w:color w:val="000000"/>
      <w:kern w:val="28"/>
      <w:szCs w:val="20"/>
    </w:rPr>
  </w:style>
  <w:style w:type="paragraph" w:customStyle="1" w:styleId="SectionHeading">
    <w:name w:val="Section Heading"/>
    <w:aliases w:val="1stIntroHeadings"/>
    <w:basedOn w:val="Normal"/>
    <w:next w:val="Normal"/>
    <w:rsid w:val="00E41EEB"/>
    <w:pPr>
      <w:tabs>
        <w:tab w:val="left" w:pos="709"/>
      </w:tabs>
      <w:spacing w:after="210"/>
    </w:pPr>
    <w:rPr>
      <w:b/>
      <w:caps/>
    </w:rPr>
  </w:style>
  <w:style w:type="paragraph" w:customStyle="1" w:styleId="Shortquestion">
    <w:name w:val="Shortquestion"/>
    <w:basedOn w:val="Normal"/>
    <w:rsid w:val="00C503F6"/>
    <w:pPr>
      <w:spacing w:after="120" w:line="300" w:lineRule="atLeast"/>
      <w:jc w:val="both"/>
    </w:pPr>
    <w:rPr>
      <w:rFonts w:ascii="Arial" w:eastAsia="Arial Unicode MS" w:hAnsi="Arial" w:cs="Arial"/>
      <w:color w:val="000000"/>
      <w:szCs w:val="20"/>
    </w:rPr>
  </w:style>
  <w:style w:type="paragraph" w:customStyle="1" w:styleId="SpeedreadPara">
    <w:name w:val="Speedread Para"/>
    <w:basedOn w:val="Normal"/>
    <w:rsid w:val="00C503F6"/>
    <w:pPr>
      <w:spacing w:after="120" w:line="300" w:lineRule="atLeast"/>
      <w:jc w:val="both"/>
    </w:pPr>
    <w:rPr>
      <w:rFonts w:ascii="Arial" w:eastAsia="Arial Unicode MS" w:hAnsi="Arial" w:cs="Arial"/>
      <w:color w:val="000000"/>
      <w:szCs w:val="20"/>
    </w:rPr>
  </w:style>
  <w:style w:type="paragraph" w:customStyle="1" w:styleId="SpeedreadSection1Para">
    <w:name w:val="Speedread Section1 Para"/>
    <w:basedOn w:val="Normal"/>
    <w:rsid w:val="00C503F6"/>
    <w:pPr>
      <w:spacing w:after="120" w:line="300" w:lineRule="atLeast"/>
      <w:jc w:val="both"/>
    </w:pPr>
    <w:rPr>
      <w:rFonts w:ascii="Arial" w:eastAsia="Arial Unicode MS" w:hAnsi="Arial" w:cs="Arial"/>
      <w:color w:val="000000"/>
      <w:szCs w:val="20"/>
    </w:rPr>
  </w:style>
  <w:style w:type="paragraph" w:customStyle="1" w:styleId="SpeedreadSection1Text">
    <w:name w:val="Speedread Section1 Text"/>
    <w:basedOn w:val="Normal"/>
    <w:rsid w:val="00C503F6"/>
    <w:pPr>
      <w:spacing w:after="120" w:line="300" w:lineRule="atLeast"/>
      <w:jc w:val="both"/>
    </w:pPr>
    <w:rPr>
      <w:rFonts w:ascii="Arial" w:eastAsia="Arial Unicode MS" w:hAnsi="Arial" w:cs="Arial"/>
      <w:color w:val="000000"/>
      <w:szCs w:val="20"/>
    </w:rPr>
  </w:style>
  <w:style w:type="paragraph" w:customStyle="1" w:styleId="SpeedreadText">
    <w:name w:val="Speedread Text"/>
    <w:basedOn w:val="Normal"/>
    <w:rsid w:val="00C503F6"/>
    <w:pPr>
      <w:spacing w:after="120" w:line="300" w:lineRule="atLeast"/>
      <w:jc w:val="both"/>
    </w:pPr>
    <w:rPr>
      <w:rFonts w:ascii="Arial" w:eastAsia="Arial Unicode MS" w:hAnsi="Arial" w:cs="Arial"/>
      <w:color w:val="000000"/>
      <w:szCs w:val="20"/>
    </w:rPr>
  </w:style>
  <w:style w:type="paragraph" w:customStyle="1" w:styleId="SpeedreadTitle">
    <w:name w:val="Speedread Title"/>
    <w:basedOn w:val="Normal"/>
    <w:rsid w:val="00C503F6"/>
    <w:pPr>
      <w:spacing w:after="120" w:line="300" w:lineRule="atLeast"/>
      <w:jc w:val="both"/>
    </w:pPr>
    <w:rPr>
      <w:rFonts w:ascii="Arial" w:eastAsia="Arial Unicode MS" w:hAnsi="Arial" w:cs="Arial"/>
      <w:b/>
      <w:color w:val="000000"/>
      <w:sz w:val="36"/>
      <w:szCs w:val="20"/>
    </w:rPr>
  </w:style>
  <w:style w:type="paragraph" w:customStyle="1" w:styleId="TemplateType">
    <w:name w:val="Template Type"/>
    <w:link w:val="TemplateTypeChar"/>
    <w:rsid w:val="00C503F6"/>
    <w:pPr>
      <w:spacing w:after="120" w:line="240" w:lineRule="auto"/>
    </w:pPr>
    <w:rPr>
      <w:rFonts w:ascii="Arial" w:eastAsia="Arial Unicode MS" w:hAnsi="Arial" w:cs="Arial"/>
      <w:color w:val="000000"/>
      <w:sz w:val="24"/>
      <w:szCs w:val="24"/>
      <w:lang w:val="en-US" w:eastAsia="en-US"/>
    </w:rPr>
  </w:style>
  <w:style w:type="character" w:customStyle="1" w:styleId="TemplateTypeChar">
    <w:name w:val="Template Type Char"/>
    <w:link w:val="TemplateType"/>
    <w:rsid w:val="00C503F6"/>
    <w:rPr>
      <w:rFonts w:ascii="Arial" w:eastAsia="Arial Unicode MS" w:hAnsi="Arial" w:cs="Arial"/>
      <w:color w:val="000000"/>
      <w:sz w:val="24"/>
      <w:szCs w:val="24"/>
      <w:lang w:val="en-US" w:eastAsia="en-US"/>
    </w:rPr>
  </w:style>
  <w:style w:type="paragraph" w:styleId="Title">
    <w:name w:val="Title"/>
    <w:aliases w:val="Title Page"/>
    <w:basedOn w:val="Normal"/>
    <w:next w:val="Normal"/>
    <w:link w:val="TitleChar"/>
    <w:autoRedefine/>
    <w:rsid w:val="00E41EEB"/>
    <w:pPr>
      <w:tabs>
        <w:tab w:val="left" w:pos="2268"/>
      </w:tabs>
      <w:spacing w:line="216" w:lineRule="exact"/>
      <w:contextualSpacing/>
    </w:pPr>
    <w:rPr>
      <w:kern w:val="28"/>
      <w:sz w:val="44"/>
      <w:szCs w:val="56"/>
    </w:rPr>
  </w:style>
  <w:style w:type="character" w:customStyle="1" w:styleId="TitleChar">
    <w:name w:val="Title Char"/>
    <w:aliases w:val="Title Page Char"/>
    <w:link w:val="Title"/>
    <w:rsid w:val="00E41EEB"/>
    <w:rPr>
      <w:rFonts w:ascii="Georgia" w:eastAsia="Times New Roman" w:hAnsi="Georgia"/>
      <w:kern w:val="28"/>
      <w:sz w:val="44"/>
      <w:szCs w:val="56"/>
      <w:lang w:eastAsia="en-US"/>
    </w:rPr>
  </w:style>
  <w:style w:type="paragraph" w:styleId="Footer">
    <w:name w:val="footer"/>
    <w:basedOn w:val="Normal"/>
    <w:next w:val="Normal"/>
    <w:link w:val="FooterChar"/>
    <w:rsid w:val="00E41EEB"/>
    <w:pPr>
      <w:tabs>
        <w:tab w:val="center" w:pos="4153"/>
        <w:tab w:val="right" w:pos="8306"/>
      </w:tabs>
      <w:spacing w:after="240"/>
    </w:pPr>
  </w:style>
  <w:style w:type="character" w:customStyle="1" w:styleId="FooterChar">
    <w:name w:val="Footer Char"/>
    <w:basedOn w:val="DefaultParagraphFont"/>
    <w:link w:val="Footer"/>
    <w:rsid w:val="00E41EEB"/>
    <w:rPr>
      <w:rFonts w:ascii="Georgia" w:eastAsia="Times New Roman" w:hAnsi="Georgia"/>
      <w:sz w:val="20"/>
      <w:szCs w:val="18"/>
      <w:lang w:eastAsia="en-US"/>
    </w:rPr>
  </w:style>
  <w:style w:type="character" w:styleId="Hyperlink">
    <w:name w:val="Hyperlink"/>
    <w:rsid w:val="00E41EEB"/>
    <w:rPr>
      <w:rFonts w:ascii="Georgia" w:hAnsi="Georgia"/>
      <w:color w:val="0000FF"/>
      <w:u w:val="single"/>
    </w:rPr>
  </w:style>
  <w:style w:type="paragraph" w:customStyle="1" w:styleId="Bullet4">
    <w:name w:val="Bullet4"/>
    <w:basedOn w:val="Normal"/>
    <w:rsid w:val="00E41EEB"/>
    <w:pPr>
      <w:numPr>
        <w:numId w:val="28"/>
      </w:numPr>
      <w:spacing w:after="240"/>
    </w:pPr>
  </w:style>
  <w:style w:type="paragraph" w:customStyle="1" w:styleId="Paragraph">
    <w:name w:val="Paragraph"/>
    <w:basedOn w:val="Normal"/>
    <w:link w:val="ParagraphChar"/>
    <w:qFormat/>
    <w:rsid w:val="00C503F6"/>
    <w:pPr>
      <w:spacing w:after="120" w:line="300" w:lineRule="atLeast"/>
      <w:jc w:val="both"/>
    </w:pPr>
    <w:rPr>
      <w:rFonts w:ascii="Arial" w:eastAsia="Arial Unicode MS" w:hAnsi="Arial" w:cs="Arial"/>
      <w:color w:val="000000"/>
      <w:szCs w:val="20"/>
    </w:rPr>
  </w:style>
  <w:style w:type="paragraph" w:customStyle="1" w:styleId="IgnoredTemplateText">
    <w:name w:val="Ignored Template Text"/>
    <w:link w:val="IgnoredTemplateTextChar"/>
    <w:rsid w:val="00C503F6"/>
    <w:pPr>
      <w:pBdr>
        <w:top w:val="single" w:sz="4" w:space="1" w:color="auto"/>
        <w:left w:val="single" w:sz="4" w:space="4" w:color="auto"/>
        <w:bottom w:val="single" w:sz="4" w:space="1" w:color="auto"/>
        <w:right w:val="single" w:sz="4" w:space="4" w:color="auto"/>
      </w:pBdr>
      <w:shd w:val="pct15" w:color="auto" w:fill="FBD4B4" w:themeFill="accent6" w:themeFillTint="66"/>
      <w:spacing w:after="120" w:line="240" w:lineRule="auto"/>
    </w:pPr>
    <w:rPr>
      <w:rFonts w:ascii="Arial" w:eastAsia="Arial Unicode MS" w:hAnsi="Arial" w:cs="Arial"/>
      <w:b/>
      <w:i/>
      <w:color w:val="000000"/>
      <w:szCs w:val="18"/>
      <w:lang w:val="en-US" w:eastAsia="en-US"/>
    </w:rPr>
  </w:style>
  <w:style w:type="character" w:customStyle="1" w:styleId="IgnoredTemplateTextChar">
    <w:name w:val="Ignored Template Text Char"/>
    <w:link w:val="IgnoredTemplateText"/>
    <w:rsid w:val="00C503F6"/>
    <w:rPr>
      <w:rFonts w:ascii="Arial" w:eastAsia="Arial Unicode MS" w:hAnsi="Arial" w:cs="Arial"/>
      <w:b/>
      <w:i/>
      <w:color w:val="000000"/>
      <w:szCs w:val="18"/>
      <w:shd w:val="pct15" w:color="auto" w:fill="FBD4B4" w:themeFill="accent6" w:themeFillTint="66"/>
      <w:lang w:val="en-US" w:eastAsia="en-US"/>
    </w:rPr>
  </w:style>
  <w:style w:type="paragraph" w:customStyle="1" w:styleId="InternalTOC">
    <w:name w:val="Internal TOC"/>
    <w:rsid w:val="00C503F6"/>
    <w:pPr>
      <w:spacing w:after="120" w:line="240" w:lineRule="auto"/>
    </w:pPr>
    <w:rPr>
      <w:rFonts w:ascii="Arial" w:eastAsia="Arial Unicode MS" w:hAnsi="Arial" w:cs="Arial"/>
      <w:color w:val="000000"/>
      <w:lang w:val="en-US" w:eastAsia="en-US"/>
    </w:rPr>
  </w:style>
  <w:style w:type="paragraph" w:customStyle="1" w:styleId="HeadingLevel1">
    <w:name w:val="Heading Level 1"/>
    <w:basedOn w:val="Normal"/>
    <w:next w:val="Paragraph"/>
    <w:rsid w:val="00C503F6"/>
    <w:pPr>
      <w:keepNext/>
      <w:spacing w:after="120" w:line="300" w:lineRule="atLeast"/>
      <w:jc w:val="both"/>
      <w:outlineLvl w:val="1"/>
    </w:pPr>
    <w:rPr>
      <w:rFonts w:ascii="Arial" w:eastAsia="Arial Unicode MS" w:hAnsi="Arial" w:cs="Arial"/>
      <w:b/>
      <w:color w:val="000000"/>
      <w:sz w:val="36"/>
      <w:szCs w:val="20"/>
    </w:rPr>
  </w:style>
  <w:style w:type="paragraph" w:customStyle="1" w:styleId="HeadingLevel2">
    <w:name w:val="Heading Level 2"/>
    <w:basedOn w:val="Normal"/>
    <w:next w:val="Paragraph"/>
    <w:rsid w:val="00C503F6"/>
    <w:pPr>
      <w:keepNext/>
      <w:spacing w:after="120" w:line="300" w:lineRule="atLeast"/>
      <w:jc w:val="both"/>
      <w:outlineLvl w:val="2"/>
    </w:pPr>
    <w:rPr>
      <w:rFonts w:ascii="Arial" w:eastAsia="Arial Unicode MS" w:hAnsi="Arial" w:cs="Arial"/>
      <w:b/>
      <w:color w:val="000000"/>
      <w:sz w:val="28"/>
      <w:szCs w:val="20"/>
    </w:rPr>
  </w:style>
  <w:style w:type="paragraph" w:customStyle="1" w:styleId="HeadingLevel3">
    <w:name w:val="Heading Level 3"/>
    <w:basedOn w:val="Normal"/>
    <w:next w:val="Paragraph"/>
    <w:rsid w:val="00C503F6"/>
    <w:pPr>
      <w:keepNext/>
      <w:spacing w:after="120" w:line="300" w:lineRule="atLeast"/>
      <w:jc w:val="both"/>
      <w:outlineLvl w:val="3"/>
    </w:pPr>
    <w:rPr>
      <w:rFonts w:ascii="Arial" w:eastAsia="Arial Unicode MS" w:hAnsi="Arial" w:cs="Arial"/>
      <w:b/>
      <w:i/>
      <w:color w:val="000000"/>
      <w:sz w:val="28"/>
      <w:szCs w:val="20"/>
    </w:rPr>
  </w:style>
  <w:style w:type="paragraph" w:styleId="Header">
    <w:name w:val="header"/>
    <w:basedOn w:val="Normal"/>
    <w:link w:val="HeaderChar"/>
    <w:rsid w:val="00E41EEB"/>
    <w:pPr>
      <w:tabs>
        <w:tab w:val="center" w:pos="4680"/>
        <w:tab w:val="right" w:pos="9360"/>
      </w:tabs>
    </w:pPr>
  </w:style>
  <w:style w:type="character" w:customStyle="1" w:styleId="HeaderChar">
    <w:name w:val="Header Char"/>
    <w:basedOn w:val="DefaultParagraphFont"/>
    <w:link w:val="Header"/>
    <w:rsid w:val="00E41EEB"/>
    <w:rPr>
      <w:rFonts w:ascii="Georgia" w:eastAsia="Times New Roman" w:hAnsi="Georgia"/>
      <w:sz w:val="20"/>
      <w:szCs w:val="18"/>
      <w:lang w:eastAsia="en-US"/>
    </w:rPr>
  </w:style>
  <w:style w:type="character" w:styleId="PlaceholderText">
    <w:name w:val="Placeholder Text"/>
    <w:basedOn w:val="DefaultParagraphFont"/>
    <w:uiPriority w:val="99"/>
    <w:rsid w:val="00C503F6"/>
    <w:rPr>
      <w:color w:val="000000"/>
    </w:rPr>
  </w:style>
  <w:style w:type="paragraph" w:styleId="BalloonText">
    <w:name w:val="Balloon Text"/>
    <w:basedOn w:val="Normal"/>
    <w:link w:val="BalloonTextChar"/>
    <w:rsid w:val="00E41EEB"/>
    <w:rPr>
      <w:rFonts w:cs="Tahoma"/>
      <w:szCs w:val="16"/>
    </w:rPr>
  </w:style>
  <w:style w:type="character" w:customStyle="1" w:styleId="BalloonTextChar">
    <w:name w:val="Balloon Text Char"/>
    <w:link w:val="BalloonText"/>
    <w:rsid w:val="00E41EEB"/>
    <w:rPr>
      <w:rFonts w:ascii="Georgia" w:eastAsia="Times New Roman" w:hAnsi="Georgia" w:cs="Tahoma"/>
      <w:sz w:val="20"/>
      <w:szCs w:val="16"/>
      <w:lang w:eastAsia="en-US"/>
    </w:rPr>
  </w:style>
  <w:style w:type="paragraph" w:customStyle="1" w:styleId="PinPointRef">
    <w:name w:val="PinPoint Ref"/>
    <w:link w:val="PinPointRefChar"/>
    <w:qFormat/>
    <w:rsid w:val="00C503F6"/>
    <w:pPr>
      <w:spacing w:after="0" w:line="240" w:lineRule="auto"/>
    </w:pPr>
    <w:rPr>
      <w:rFonts w:ascii="Times New Roman" w:eastAsia="Times New Roman" w:hAnsi="Times New Roman" w:cs="Times New Roman"/>
      <w:b/>
      <w:vanish/>
      <w:color w:val="000000"/>
      <w:sz w:val="18"/>
      <w:szCs w:val="20"/>
      <w:lang w:eastAsia="en-US"/>
    </w:rPr>
  </w:style>
  <w:style w:type="character" w:customStyle="1" w:styleId="PinPointRefChar">
    <w:name w:val="PinPoint Ref Char"/>
    <w:basedOn w:val="DefaultParagraphFont"/>
    <w:link w:val="PinPointRef"/>
    <w:rsid w:val="00C503F6"/>
    <w:rPr>
      <w:rFonts w:ascii="Times New Roman" w:eastAsia="Times New Roman" w:hAnsi="Times New Roman" w:cs="Times New Roman"/>
      <w:b/>
      <w:vanish/>
      <w:color w:val="000000"/>
      <w:sz w:val="18"/>
      <w:szCs w:val="20"/>
      <w:lang w:eastAsia="en-US"/>
    </w:rPr>
  </w:style>
  <w:style w:type="paragraph" w:customStyle="1" w:styleId="BlockQuote">
    <w:name w:val="Block Quote"/>
    <w:link w:val="BlockQuoteChar"/>
    <w:qFormat/>
    <w:rsid w:val="00C503F6"/>
    <w:pPr>
      <w:spacing w:before="120" w:after="0" w:line="240" w:lineRule="auto"/>
      <w:ind w:left="720"/>
    </w:pPr>
    <w:rPr>
      <w:rFonts w:ascii="Arial" w:eastAsia="Arial Unicode MS" w:hAnsi="Arial" w:cs="Arial"/>
      <w:color w:val="000000"/>
      <w:sz w:val="18"/>
      <w:szCs w:val="20"/>
      <w:lang w:eastAsia="en-US"/>
    </w:rPr>
  </w:style>
  <w:style w:type="character" w:customStyle="1" w:styleId="BlockQuoteChar">
    <w:name w:val="Block Quote Char"/>
    <w:basedOn w:val="DefaultParagraphFont"/>
    <w:link w:val="BlockQuote"/>
    <w:rsid w:val="00C503F6"/>
    <w:rPr>
      <w:rFonts w:ascii="Arial" w:eastAsia="Arial Unicode MS" w:hAnsi="Arial" w:cs="Arial"/>
      <w:color w:val="000000"/>
      <w:sz w:val="18"/>
      <w:szCs w:val="20"/>
      <w:lang w:eastAsia="en-US"/>
    </w:rPr>
  </w:style>
  <w:style w:type="paragraph" w:customStyle="1" w:styleId="ListParagraphLevel1">
    <w:name w:val="List Paragraph Level 1"/>
    <w:link w:val="ListParagraphLevel1Char"/>
    <w:rsid w:val="00C503F6"/>
    <w:pPr>
      <w:spacing w:after="120" w:line="240" w:lineRule="auto"/>
      <w:ind w:left="357"/>
      <w:jc w:val="both"/>
    </w:pPr>
    <w:rPr>
      <w:rFonts w:ascii="Arial" w:eastAsia="Arial Unicode MS" w:hAnsi="Arial" w:cs="Arial"/>
      <w:color w:val="000000"/>
      <w:szCs w:val="24"/>
      <w:lang w:val="en-US" w:eastAsia="en-US"/>
    </w:rPr>
  </w:style>
  <w:style w:type="paragraph" w:customStyle="1" w:styleId="ListParagraphLevel2">
    <w:name w:val="List Paragraph Level 2"/>
    <w:link w:val="ListParagraphLevel2Char"/>
    <w:qFormat/>
    <w:rsid w:val="00C503F6"/>
    <w:pPr>
      <w:spacing w:after="120" w:line="240" w:lineRule="auto"/>
      <w:ind w:left="1077"/>
      <w:jc w:val="both"/>
    </w:pPr>
    <w:rPr>
      <w:rFonts w:ascii="Arial" w:eastAsia="Arial Unicode MS" w:hAnsi="Arial" w:cs="Arial"/>
      <w:color w:val="000000"/>
      <w:szCs w:val="24"/>
      <w:lang w:val="en-US" w:eastAsia="en-US"/>
    </w:rPr>
  </w:style>
  <w:style w:type="character" w:customStyle="1" w:styleId="ListParagraphLevel1Char">
    <w:name w:val="List Paragraph Level 1 Char"/>
    <w:basedOn w:val="DefaultParagraphFont"/>
    <w:link w:val="ListParagraphLevel1"/>
    <w:rsid w:val="00C503F6"/>
    <w:rPr>
      <w:rFonts w:ascii="Arial" w:eastAsia="Arial Unicode MS" w:hAnsi="Arial" w:cs="Arial"/>
      <w:color w:val="000000"/>
      <w:szCs w:val="24"/>
      <w:lang w:val="en-US" w:eastAsia="en-US"/>
    </w:rPr>
  </w:style>
  <w:style w:type="character" w:customStyle="1" w:styleId="ListParagraphLevel2Char">
    <w:name w:val="List Paragraph Level 2 Char"/>
    <w:basedOn w:val="DefaultParagraphFont"/>
    <w:link w:val="ListParagraphLevel2"/>
    <w:rsid w:val="00C503F6"/>
    <w:rPr>
      <w:rFonts w:ascii="Arial" w:eastAsia="Arial Unicode MS" w:hAnsi="Arial" w:cs="Arial"/>
      <w:color w:val="000000"/>
      <w:szCs w:val="24"/>
      <w:lang w:val="en-US" w:eastAsia="en-US"/>
    </w:rPr>
  </w:style>
  <w:style w:type="paragraph" w:customStyle="1" w:styleId="IntroDefault">
    <w:name w:val="Intro Default"/>
    <w:basedOn w:val="Paragraph"/>
    <w:qFormat/>
    <w:rsid w:val="00C503F6"/>
  </w:style>
  <w:style w:type="paragraph" w:customStyle="1" w:styleId="IntroCustom">
    <w:name w:val="Intro Custom"/>
    <w:basedOn w:val="Paragraph"/>
    <w:qFormat/>
    <w:rsid w:val="00C503F6"/>
  </w:style>
  <w:style w:type="paragraph" w:customStyle="1" w:styleId="PrecedentType">
    <w:name w:val="Precedent Type"/>
    <w:basedOn w:val="IgnoredSpacing"/>
    <w:qFormat/>
    <w:rsid w:val="00C503F6"/>
  </w:style>
  <w:style w:type="paragraph" w:customStyle="1" w:styleId="Operative">
    <w:name w:val="Operative"/>
    <w:basedOn w:val="IgnoredSpacing"/>
    <w:qFormat/>
    <w:rsid w:val="00C503F6"/>
    <w:rPr>
      <w:vanish/>
    </w:rPr>
  </w:style>
  <w:style w:type="paragraph" w:customStyle="1" w:styleId="SpeedreadBulletList1">
    <w:name w:val="Speedread Bullet List 1"/>
    <w:basedOn w:val="BulletList1"/>
    <w:qFormat/>
    <w:rsid w:val="00C503F6"/>
    <w:rPr>
      <w:color w:val="000000"/>
    </w:rPr>
  </w:style>
  <w:style w:type="paragraph" w:customStyle="1" w:styleId="PartiesTitle">
    <w:name w:val="Parties Title"/>
    <w:basedOn w:val="Paragraph"/>
    <w:qFormat/>
    <w:rsid w:val="00C503F6"/>
    <w:rPr>
      <w:b/>
    </w:rPr>
  </w:style>
  <w:style w:type="table" w:styleId="TableGrid">
    <w:name w:val="Table Grid"/>
    <w:basedOn w:val="TableNormal"/>
    <w:rsid w:val="00E41EEB"/>
    <w:pPr>
      <w:spacing w:after="0" w:line="240" w:lineRule="auto"/>
    </w:pPr>
    <w:rPr>
      <w:rFonts w:ascii="Georgia" w:eastAsia="Times New Roman" w:hAnsi="Georg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Paragraph">
    <w:name w:val="Question Paragraph"/>
    <w:link w:val="QuestionParagraphChar"/>
    <w:qFormat/>
    <w:rsid w:val="00C503F6"/>
    <w:pPr>
      <w:numPr>
        <w:numId w:val="3"/>
      </w:numPr>
      <w:shd w:val="clear" w:color="auto" w:fill="D9D9D9" w:themeFill="background1" w:themeFillShade="D9"/>
      <w:spacing w:after="120" w:line="240" w:lineRule="auto"/>
      <w:ind w:left="357" w:hanging="357"/>
      <w:outlineLvl w:val="0"/>
    </w:pPr>
    <w:rPr>
      <w:rFonts w:ascii="Arial" w:eastAsia="Arial Unicode MS" w:hAnsi="Arial" w:cs="Arial"/>
      <w:color w:val="000000"/>
      <w:lang w:val="en-US" w:eastAsia="en-US"/>
    </w:rPr>
  </w:style>
  <w:style w:type="paragraph" w:customStyle="1" w:styleId="BulletList1Pattern">
    <w:name w:val="Bullet List 1 + Pattern"/>
    <w:basedOn w:val="BulletList1"/>
    <w:qFormat/>
    <w:rsid w:val="00C503F6"/>
    <w:pPr>
      <w:shd w:val="clear" w:color="auto" w:fill="D9D9D9" w:themeFill="background1" w:themeFillShade="D9"/>
      <w:spacing w:after="120"/>
      <w:ind w:left="714" w:hanging="357"/>
    </w:pPr>
    <w:rPr>
      <w:color w:val="000000"/>
    </w:rPr>
  </w:style>
  <w:style w:type="character" w:customStyle="1" w:styleId="QuestionParagraphChar">
    <w:name w:val="Question Paragraph Char"/>
    <w:basedOn w:val="DefaultParagraphFont"/>
    <w:link w:val="QuestionParagraph"/>
    <w:rsid w:val="00C503F6"/>
    <w:rPr>
      <w:rFonts w:ascii="Arial" w:eastAsia="Arial Unicode MS" w:hAnsi="Arial" w:cs="Arial"/>
      <w:color w:val="000000"/>
      <w:shd w:val="clear" w:color="auto" w:fill="D9D9D9" w:themeFill="background1" w:themeFillShade="D9"/>
      <w:lang w:val="en-US" w:eastAsia="en-US"/>
    </w:rPr>
  </w:style>
  <w:style w:type="paragraph" w:customStyle="1" w:styleId="BulletList2Pattern">
    <w:name w:val="Bullet List 2 + Pattern"/>
    <w:basedOn w:val="BulletList2"/>
    <w:qFormat/>
    <w:rsid w:val="00C503F6"/>
    <w:pPr>
      <w:shd w:val="clear" w:color="auto" w:fill="D9D9D9" w:themeFill="background1" w:themeFillShade="D9"/>
      <w:ind w:left="1077"/>
    </w:pPr>
    <w:rPr>
      <w:color w:val="000000"/>
    </w:rPr>
  </w:style>
  <w:style w:type="paragraph" w:customStyle="1" w:styleId="TestimoniumContract">
    <w:name w:val="Testimonium Contract"/>
    <w:basedOn w:val="Paragraph"/>
    <w:qFormat/>
    <w:rsid w:val="00C503F6"/>
  </w:style>
  <w:style w:type="paragraph" w:customStyle="1" w:styleId="TestimoniumDeed">
    <w:name w:val="Testimonium Deed"/>
    <w:basedOn w:val="Paragraph"/>
    <w:qFormat/>
    <w:rsid w:val="00C503F6"/>
  </w:style>
  <w:style w:type="paragraph" w:customStyle="1" w:styleId="Titlesubclause2">
    <w:name w:val="Title subclause2"/>
    <w:basedOn w:val="Untitledsubclause2"/>
    <w:qFormat/>
    <w:rsid w:val="00C503F6"/>
    <w:rPr>
      <w:b/>
    </w:rPr>
  </w:style>
  <w:style w:type="paragraph" w:customStyle="1" w:styleId="Titlesubclause3">
    <w:name w:val="Title subclause3"/>
    <w:basedOn w:val="Untitledsubclause3"/>
    <w:qFormat/>
    <w:rsid w:val="00C503F6"/>
    <w:rPr>
      <w:b/>
    </w:rPr>
  </w:style>
  <w:style w:type="paragraph" w:customStyle="1" w:styleId="Titlesubclause4">
    <w:name w:val="Title subclause4"/>
    <w:basedOn w:val="Untitledsubclause4"/>
    <w:qFormat/>
    <w:rsid w:val="00C503F6"/>
    <w:rPr>
      <w:b/>
    </w:rPr>
  </w:style>
  <w:style w:type="paragraph" w:customStyle="1" w:styleId="UntitledClause">
    <w:name w:val="Untitled Clause"/>
    <w:basedOn w:val="TitleClause"/>
    <w:qFormat/>
    <w:rsid w:val="00C503F6"/>
    <w:pPr>
      <w:spacing w:before="120"/>
    </w:pPr>
    <w:rPr>
      <w:b w:val="0"/>
    </w:rPr>
  </w:style>
  <w:style w:type="paragraph" w:customStyle="1" w:styleId="Titlesubclause1">
    <w:name w:val="Title subclause1"/>
    <w:basedOn w:val="Untitledsubclause1"/>
    <w:qFormat/>
    <w:rsid w:val="00C503F6"/>
    <w:pPr>
      <w:spacing w:before="120"/>
    </w:pPr>
    <w:rPr>
      <w:b/>
    </w:rPr>
  </w:style>
  <w:style w:type="paragraph" w:customStyle="1" w:styleId="Schedule">
    <w:name w:val="Schedule"/>
    <w:basedOn w:val="BodyText"/>
    <w:next w:val="Part"/>
    <w:rsid w:val="00E41EEB"/>
    <w:pPr>
      <w:keepNext/>
      <w:pageBreakBefore/>
      <w:numPr>
        <w:numId w:val="36"/>
      </w:numPr>
      <w:spacing w:before="210"/>
      <w:jc w:val="left"/>
    </w:pPr>
    <w:rPr>
      <w:b/>
    </w:rPr>
  </w:style>
  <w:style w:type="character" w:customStyle="1" w:styleId="Heading1Char">
    <w:name w:val="Heading 1 Char"/>
    <w:basedOn w:val="DefaultParagraphFont"/>
    <w:link w:val="Heading1"/>
    <w:rsid w:val="00E41EEB"/>
    <w:rPr>
      <w:rFonts w:ascii="Georgia" w:eastAsia="Times New Roman" w:hAnsi="Georgia"/>
      <w:b/>
      <w:sz w:val="20"/>
      <w:szCs w:val="18"/>
      <w:lang w:eastAsia="en-US"/>
    </w:rPr>
  </w:style>
  <w:style w:type="character" w:customStyle="1" w:styleId="Heading2Char">
    <w:name w:val="Heading 2 Char"/>
    <w:basedOn w:val="DefaultParagraphFont"/>
    <w:link w:val="Heading2"/>
    <w:rsid w:val="00E41EEB"/>
    <w:rPr>
      <w:rFonts w:ascii="Georgia" w:eastAsia="Times New Roman" w:hAnsi="Georgia"/>
      <w:color w:val="000000"/>
      <w:sz w:val="20"/>
      <w:szCs w:val="18"/>
      <w:lang w:eastAsia="en-US"/>
    </w:rPr>
  </w:style>
  <w:style w:type="character" w:customStyle="1" w:styleId="Heading3Char">
    <w:name w:val="Heading 3 Char"/>
    <w:basedOn w:val="DefaultParagraphFont"/>
    <w:link w:val="Heading3"/>
    <w:rsid w:val="00E41EEB"/>
    <w:rPr>
      <w:rFonts w:ascii="Georgia" w:eastAsia="Times New Roman" w:hAnsi="Georgia"/>
      <w:sz w:val="20"/>
      <w:szCs w:val="18"/>
      <w:lang w:eastAsia="en-US"/>
    </w:rPr>
  </w:style>
  <w:style w:type="character" w:customStyle="1" w:styleId="Heading4Char">
    <w:name w:val="Heading 4 Char"/>
    <w:basedOn w:val="DefaultParagraphFont"/>
    <w:link w:val="Heading4"/>
    <w:rsid w:val="00E41EEB"/>
    <w:rPr>
      <w:rFonts w:ascii="Georgia" w:eastAsia="Times New Roman" w:hAnsi="Georgia"/>
      <w:sz w:val="20"/>
      <w:szCs w:val="18"/>
      <w:lang w:eastAsia="en-US"/>
    </w:rPr>
  </w:style>
  <w:style w:type="character" w:customStyle="1" w:styleId="Heading5Char">
    <w:name w:val="Heading 5 Char"/>
    <w:basedOn w:val="DefaultParagraphFont"/>
    <w:link w:val="Heading5"/>
    <w:rsid w:val="00E41EEB"/>
    <w:rPr>
      <w:rFonts w:ascii="Georgia" w:eastAsia="Times New Roman" w:hAnsi="Georgia"/>
      <w:sz w:val="20"/>
      <w:szCs w:val="18"/>
      <w:lang w:eastAsia="en-US"/>
    </w:rPr>
  </w:style>
  <w:style w:type="character" w:customStyle="1" w:styleId="Heading6Char">
    <w:name w:val="Heading 6 Char"/>
    <w:basedOn w:val="DefaultParagraphFont"/>
    <w:link w:val="Heading6"/>
    <w:rsid w:val="00E41EEB"/>
    <w:rPr>
      <w:rFonts w:ascii="Georgia" w:eastAsia="Times New Roman" w:hAnsi="Georgia"/>
      <w:sz w:val="20"/>
      <w:szCs w:val="18"/>
      <w:lang w:eastAsia="en-US"/>
    </w:rPr>
  </w:style>
  <w:style w:type="character" w:customStyle="1" w:styleId="Heading7Char">
    <w:name w:val="Heading 7 Char"/>
    <w:basedOn w:val="DefaultParagraphFont"/>
    <w:link w:val="Heading7"/>
    <w:rsid w:val="00E41EEB"/>
    <w:rPr>
      <w:rFonts w:ascii="Georgia" w:eastAsia="Times New Roman" w:hAnsi="Georgia"/>
      <w:b/>
      <w:smallCaps/>
      <w:color w:val="000000"/>
      <w:sz w:val="20"/>
      <w:szCs w:val="18"/>
      <w:lang w:eastAsia="en-US"/>
    </w:rPr>
  </w:style>
  <w:style w:type="character" w:customStyle="1" w:styleId="Heading8Char">
    <w:name w:val="Heading 8 Char"/>
    <w:basedOn w:val="DefaultParagraphFont"/>
    <w:link w:val="Heading8"/>
    <w:rsid w:val="00E41EEB"/>
    <w:rPr>
      <w:rFonts w:ascii="Georgia" w:eastAsia="Times New Roman" w:hAnsi="Georgia"/>
      <w:b/>
      <w:sz w:val="20"/>
      <w:szCs w:val="18"/>
      <w:lang w:eastAsia="en-US"/>
    </w:rPr>
  </w:style>
  <w:style w:type="character" w:customStyle="1" w:styleId="Heading9Char">
    <w:name w:val="Heading 9 Char"/>
    <w:link w:val="Heading9"/>
    <w:rsid w:val="00E41EEB"/>
    <w:rPr>
      <w:rFonts w:ascii="Calibri Light" w:eastAsiaTheme="minorHAnsi" w:hAnsi="Calibri Light"/>
      <w:kern w:val="2"/>
      <w:lang w:eastAsia="en-US"/>
      <w14:ligatures w14:val="standardContextual"/>
    </w:rPr>
  </w:style>
  <w:style w:type="paragraph" w:customStyle="1" w:styleId="ScheduleTitle">
    <w:name w:val="Schedule Title"/>
    <w:basedOn w:val="Paragraph"/>
    <w:qFormat/>
    <w:rsid w:val="00C503F6"/>
    <w:rPr>
      <w:b/>
    </w:rPr>
  </w:style>
  <w:style w:type="paragraph" w:customStyle="1" w:styleId="Part">
    <w:name w:val="Part"/>
    <w:basedOn w:val="BodyText"/>
    <w:next w:val="BodyText"/>
    <w:rsid w:val="00E41EEB"/>
    <w:pPr>
      <w:keepNext/>
      <w:numPr>
        <w:ilvl w:val="1"/>
        <w:numId w:val="36"/>
      </w:numPr>
      <w:spacing w:before="120" w:after="240"/>
      <w:jc w:val="left"/>
      <w:outlineLvl w:val="0"/>
    </w:pPr>
    <w:rPr>
      <w:b/>
      <w:kern w:val="28"/>
    </w:rPr>
  </w:style>
  <w:style w:type="paragraph" w:customStyle="1" w:styleId="AnnexTitle">
    <w:name w:val="Annex Title"/>
    <w:basedOn w:val="Paragraph"/>
    <w:next w:val="Paragraph"/>
    <w:qFormat/>
    <w:rsid w:val="00C503F6"/>
    <w:pPr>
      <w:spacing w:before="240" w:after="240"/>
    </w:pPr>
    <w:rPr>
      <w:b/>
    </w:rPr>
  </w:style>
  <w:style w:type="paragraph" w:customStyle="1" w:styleId="PartTitle">
    <w:name w:val="Part Title"/>
    <w:basedOn w:val="Paragraph"/>
    <w:qFormat/>
    <w:rsid w:val="00C503F6"/>
    <w:rPr>
      <w:b/>
    </w:rPr>
  </w:style>
  <w:style w:type="paragraph" w:customStyle="1" w:styleId="Testimonium">
    <w:name w:val="Testimonium"/>
    <w:basedOn w:val="Normal"/>
    <w:rsid w:val="00E41EEB"/>
    <w:pPr>
      <w:spacing w:before="360" w:after="360"/>
    </w:pPr>
  </w:style>
  <w:style w:type="character" w:customStyle="1" w:styleId="apple-converted-space">
    <w:name w:val="apple-converted-space"/>
    <w:basedOn w:val="DefaultParagraphFont"/>
    <w:rsid w:val="00C503F6"/>
    <w:rPr>
      <w:color w:val="000000"/>
    </w:rPr>
  </w:style>
  <w:style w:type="character" w:styleId="Emphasis">
    <w:name w:val="Emphasis"/>
    <w:rsid w:val="00E41EEB"/>
    <w:rPr>
      <w:rFonts w:cs="Times New Roman"/>
      <w:i/>
    </w:rPr>
  </w:style>
  <w:style w:type="paragraph" w:customStyle="1" w:styleId="NoNumTitle-Clause">
    <w:name w:val="No Num Title - Clause"/>
    <w:basedOn w:val="TitleClause"/>
    <w:qFormat/>
    <w:rsid w:val="00C503F6"/>
    <w:pPr>
      <w:numPr>
        <w:numId w:val="0"/>
      </w:numPr>
      <w:ind w:left="720"/>
    </w:pPr>
  </w:style>
  <w:style w:type="paragraph" w:customStyle="1" w:styleId="NoNumTitlesubclause1">
    <w:name w:val="No Num Title subclause1"/>
    <w:basedOn w:val="Titlesubclause1"/>
    <w:qFormat/>
    <w:rsid w:val="00C503F6"/>
    <w:pPr>
      <w:numPr>
        <w:ilvl w:val="0"/>
        <w:numId w:val="0"/>
      </w:numPr>
      <w:ind w:left="720"/>
    </w:pPr>
  </w:style>
  <w:style w:type="paragraph" w:customStyle="1" w:styleId="AddressLine">
    <w:name w:val="Address Line"/>
    <w:basedOn w:val="Paragraph"/>
    <w:qFormat/>
    <w:rsid w:val="00C503F6"/>
  </w:style>
  <w:style w:type="paragraph" w:styleId="Date">
    <w:name w:val="Date"/>
    <w:basedOn w:val="Paragraph"/>
    <w:qFormat/>
    <w:rsid w:val="00C503F6"/>
  </w:style>
  <w:style w:type="paragraph" w:customStyle="1" w:styleId="SalutationPara">
    <w:name w:val="Salutation Para"/>
    <w:basedOn w:val="Paragraph"/>
    <w:next w:val="Paragraph"/>
    <w:qFormat/>
    <w:rsid w:val="00C503F6"/>
    <w:pPr>
      <w:spacing w:before="240"/>
    </w:pPr>
  </w:style>
  <w:style w:type="character" w:styleId="FollowedHyperlink">
    <w:name w:val="FollowedHyperlink"/>
    <w:rsid w:val="00E41EEB"/>
    <w:rPr>
      <w:color w:val="800080"/>
      <w:u w:val="single"/>
    </w:rPr>
  </w:style>
  <w:style w:type="character" w:customStyle="1" w:styleId="DefTerm">
    <w:name w:val="DefTerm"/>
    <w:basedOn w:val="DefaultParagraphFont"/>
    <w:uiPriority w:val="1"/>
    <w:qFormat/>
    <w:rsid w:val="00C503F6"/>
    <w:rPr>
      <w:b/>
      <w:color w:val="000000"/>
    </w:rPr>
  </w:style>
  <w:style w:type="table" w:customStyle="1" w:styleId="ShadedTable">
    <w:name w:val="Shaded Table"/>
    <w:basedOn w:val="TableNormal"/>
    <w:uiPriority w:val="99"/>
    <w:rsid w:val="00C503F6"/>
    <w:pPr>
      <w:spacing w:after="0" w:line="240" w:lineRule="auto"/>
    </w:pPr>
    <w:rPr>
      <w:color w:val="000000"/>
    </w:rPr>
    <w:tblPr>
      <w:tblBorders>
        <w:top w:val="single" w:sz="4" w:space="0" w:color="auto"/>
        <w:left w:val="single" w:sz="4" w:space="0" w:color="auto"/>
        <w:bottom w:val="single" w:sz="4" w:space="0" w:color="auto"/>
        <w:right w:val="single" w:sz="4" w:space="0" w:color="auto"/>
      </w:tblBorders>
    </w:tblPr>
    <w:tcPr>
      <w:shd w:val="clear" w:color="auto" w:fill="EEECE1" w:themeFill="background2"/>
    </w:tcPr>
  </w:style>
  <w:style w:type="paragraph" w:customStyle="1" w:styleId="Letterhead">
    <w:name w:val="Letterhead"/>
    <w:basedOn w:val="Paragraph"/>
    <w:qFormat/>
    <w:rsid w:val="00C503F6"/>
    <w:rPr>
      <w:i/>
    </w:rPr>
  </w:style>
  <w:style w:type="paragraph" w:customStyle="1" w:styleId="LetterTitle">
    <w:name w:val="Letter Title"/>
    <w:basedOn w:val="Paragraph"/>
    <w:qFormat/>
    <w:rsid w:val="00C503F6"/>
    <w:rPr>
      <w:b/>
    </w:rPr>
  </w:style>
  <w:style w:type="paragraph" w:customStyle="1" w:styleId="LongQuestionPara">
    <w:name w:val="Long Question Para"/>
    <w:basedOn w:val="Paragraph"/>
    <w:link w:val="LongQuestionParaChar"/>
    <w:rsid w:val="00C503F6"/>
    <w:pPr>
      <w:numPr>
        <w:numId w:val="5"/>
      </w:numPr>
      <w:spacing w:before="240" w:after="240" w:line="240" w:lineRule="auto"/>
      <w:outlineLvl w:val="1"/>
    </w:pPr>
    <w:rPr>
      <w:lang w:val="en-US"/>
    </w:rPr>
  </w:style>
  <w:style w:type="character" w:customStyle="1" w:styleId="LongQuestionParaChar">
    <w:name w:val="Long Question Para Char"/>
    <w:basedOn w:val="DefaultParagraphFont"/>
    <w:link w:val="LongQuestionPara"/>
    <w:rsid w:val="00C503F6"/>
    <w:rPr>
      <w:rFonts w:ascii="Arial" w:eastAsia="Arial Unicode MS" w:hAnsi="Arial" w:cs="Arial"/>
      <w:color w:val="000000"/>
      <w:sz w:val="20"/>
      <w:szCs w:val="20"/>
      <w:lang w:val="en-US" w:eastAsia="en-US"/>
    </w:rPr>
  </w:style>
  <w:style w:type="paragraph" w:customStyle="1" w:styleId="ShortQuestionPara">
    <w:name w:val="Short Question Para"/>
    <w:basedOn w:val="Paragraph"/>
    <w:link w:val="ShortQuestionParaChar"/>
    <w:rsid w:val="00C503F6"/>
    <w:pPr>
      <w:shd w:val="clear" w:color="auto" w:fill="D9D9D9" w:themeFill="background1" w:themeFillShade="D9"/>
      <w:tabs>
        <w:tab w:val="left" w:pos="270"/>
      </w:tabs>
      <w:spacing w:after="40" w:line="240" w:lineRule="auto"/>
      <w:outlineLvl w:val="1"/>
    </w:pPr>
    <w:rPr>
      <w:bCs/>
      <w:lang w:val="en-US"/>
    </w:rPr>
  </w:style>
  <w:style w:type="character" w:customStyle="1" w:styleId="ShortQuestionParaChar">
    <w:name w:val="Short Question Para Char"/>
    <w:basedOn w:val="DefaultParagraphFont"/>
    <w:link w:val="ShortQuestionPara"/>
    <w:rsid w:val="00C503F6"/>
    <w:rPr>
      <w:rFonts w:ascii="Arial" w:eastAsia="Arial Unicode MS" w:hAnsi="Arial" w:cs="Arial"/>
      <w:bCs/>
      <w:color w:val="000000"/>
      <w:sz w:val="20"/>
      <w:szCs w:val="20"/>
      <w:shd w:val="clear" w:color="auto" w:fill="D9D9D9" w:themeFill="background1" w:themeFillShade="D9"/>
      <w:lang w:val="en-US" w:eastAsia="en-US"/>
    </w:rPr>
  </w:style>
  <w:style w:type="character" w:customStyle="1" w:styleId="ParagraphChar">
    <w:name w:val="Paragraph Char"/>
    <w:basedOn w:val="DefaultParagraphFont"/>
    <w:link w:val="Paragraph"/>
    <w:rsid w:val="00C503F6"/>
    <w:rPr>
      <w:rFonts w:ascii="Arial" w:eastAsia="Arial Unicode MS" w:hAnsi="Arial" w:cs="Arial"/>
      <w:color w:val="000000"/>
      <w:szCs w:val="20"/>
      <w:lang w:eastAsia="en-US"/>
    </w:rPr>
  </w:style>
  <w:style w:type="paragraph" w:customStyle="1" w:styleId="811D3A974D454A258B71E3C4DE24C4F210">
    <w:name w:val="811D3A974D454A258B71E3C4DE24C4F210"/>
    <w:rsid w:val="00BD4BA4"/>
    <w:pPr>
      <w:spacing w:after="120" w:line="240" w:lineRule="auto"/>
    </w:pPr>
    <w:rPr>
      <w:rFonts w:ascii="Arial" w:eastAsia="Arial Unicode MS" w:hAnsi="Arial" w:cs="Arial"/>
      <w:color w:val="000000"/>
      <w:sz w:val="24"/>
      <w:lang w:val="en-US" w:eastAsia="en-US"/>
    </w:rPr>
  </w:style>
  <w:style w:type="paragraph" w:customStyle="1" w:styleId="ListParagraphLevel3">
    <w:name w:val="List Paragraph Level 3"/>
    <w:qFormat/>
    <w:rsid w:val="00C503F6"/>
    <w:pPr>
      <w:spacing w:after="120" w:line="240" w:lineRule="auto"/>
      <w:ind w:left="2160"/>
    </w:pPr>
    <w:rPr>
      <w:rFonts w:ascii="Times New Roman" w:eastAsia="Times New Roman" w:hAnsi="Times New Roman" w:cs="Times New Roman"/>
      <w:color w:val="000000"/>
      <w:sz w:val="24"/>
      <w:szCs w:val="20"/>
      <w:lang w:eastAsia="en-US"/>
    </w:rPr>
  </w:style>
  <w:style w:type="paragraph" w:customStyle="1" w:styleId="DocumentTitle">
    <w:name w:val="Document Title"/>
    <w:basedOn w:val="Paragraph"/>
    <w:qFormat/>
    <w:rsid w:val="00C503F6"/>
    <w:pPr>
      <w:jc w:val="center"/>
    </w:pPr>
    <w:rPr>
      <w:sz w:val="28"/>
    </w:rPr>
  </w:style>
  <w:style w:type="paragraph" w:customStyle="1" w:styleId="Title-Clause">
    <w:name w:val="Title - Clause"/>
    <w:aliases w:val="BIWS Heading 1"/>
    <w:basedOn w:val="Normal"/>
    <w:rsid w:val="00C503F6"/>
    <w:pPr>
      <w:keepNext/>
      <w:tabs>
        <w:tab w:val="num" w:pos="720"/>
      </w:tabs>
      <w:spacing w:before="240" w:after="240" w:line="300" w:lineRule="atLeast"/>
      <w:ind w:left="720" w:hanging="720"/>
      <w:jc w:val="both"/>
      <w:outlineLvl w:val="0"/>
    </w:pPr>
    <w:rPr>
      <w:rFonts w:ascii="Arial" w:eastAsia="Arial Unicode MS" w:hAnsi="Arial" w:cs="Arial"/>
      <w:b/>
      <w:color w:val="000000"/>
      <w:kern w:val="28"/>
      <w:szCs w:val="20"/>
    </w:rPr>
  </w:style>
  <w:style w:type="paragraph" w:customStyle="1" w:styleId="Para-Clause-nonum">
    <w:name w:val="Para - Clause - no num"/>
    <w:aliases w:val="Body  clause"/>
    <w:basedOn w:val="Normal"/>
    <w:next w:val="Title-Clause"/>
    <w:rsid w:val="00C503F6"/>
    <w:pPr>
      <w:spacing w:before="120" w:after="120" w:line="300" w:lineRule="atLeast"/>
      <w:ind w:left="720"/>
      <w:jc w:val="both"/>
    </w:pPr>
    <w:rPr>
      <w:rFonts w:ascii="Arial" w:eastAsia="Arial Unicode MS" w:hAnsi="Arial" w:cs="Arial"/>
      <w:color w:val="000000"/>
      <w:szCs w:val="20"/>
    </w:rPr>
  </w:style>
  <w:style w:type="paragraph" w:customStyle="1" w:styleId="Para-Clause">
    <w:name w:val="Para - Clause"/>
    <w:basedOn w:val="Title-Clause"/>
    <w:qFormat/>
    <w:rsid w:val="00C503F6"/>
    <w:pPr>
      <w:spacing w:before="120"/>
    </w:pPr>
    <w:rPr>
      <w:b w:val="0"/>
    </w:rPr>
  </w:style>
  <w:style w:type="paragraph" w:customStyle="1" w:styleId="CoversheetParagraph">
    <w:name w:val="Coversheet Paragraph"/>
    <w:basedOn w:val="Body"/>
    <w:autoRedefine/>
    <w:rsid w:val="00E41EEB"/>
    <w:pPr>
      <w:jc w:val="center"/>
    </w:pPr>
  </w:style>
  <w:style w:type="paragraph" w:customStyle="1" w:styleId="CoversheetIntro">
    <w:name w:val="Coversheet Intro"/>
    <w:basedOn w:val="CoversheetTitle"/>
    <w:qFormat/>
    <w:rsid w:val="00C503F6"/>
    <w:rPr>
      <w:smallCaps/>
      <w:color w:val="000000"/>
      <w:sz w:val="22"/>
    </w:rPr>
  </w:style>
  <w:style w:type="paragraph" w:customStyle="1" w:styleId="CoversheetStaticText">
    <w:name w:val="Coversheet Static Text"/>
    <w:basedOn w:val="CoversheetIntro"/>
    <w:qFormat/>
    <w:rsid w:val="00C503F6"/>
    <w:rPr>
      <w:b/>
    </w:rPr>
  </w:style>
  <w:style w:type="paragraph" w:customStyle="1" w:styleId="CoversheetParty">
    <w:name w:val="Coversheet Party"/>
    <w:basedOn w:val="CoversheetIntro"/>
    <w:qFormat/>
    <w:rsid w:val="00C503F6"/>
  </w:style>
  <w:style w:type="paragraph" w:customStyle="1" w:styleId="NoNumUntitledClause">
    <w:name w:val="No Num Untitled Clause"/>
    <w:basedOn w:val="UntitledClause"/>
    <w:qFormat/>
    <w:rsid w:val="00C503F6"/>
    <w:pPr>
      <w:numPr>
        <w:numId w:val="0"/>
      </w:numPr>
      <w:ind w:left="720"/>
    </w:pPr>
  </w:style>
  <w:style w:type="paragraph" w:customStyle="1" w:styleId="BackgroundSubclause1">
    <w:name w:val="Background Subclause1"/>
    <w:basedOn w:val="Background"/>
    <w:qFormat/>
    <w:rsid w:val="00C503F6"/>
    <w:pPr>
      <w:numPr>
        <w:numId w:val="0"/>
      </w:numPr>
      <w:tabs>
        <w:tab w:val="num" w:pos="1247"/>
      </w:tabs>
      <w:ind w:left="1247" w:hanging="680"/>
    </w:pPr>
    <w:rPr>
      <w:color w:val="000000"/>
    </w:rPr>
  </w:style>
  <w:style w:type="paragraph" w:customStyle="1" w:styleId="BackgroundSubclause2">
    <w:name w:val="Background Subclause2"/>
    <w:basedOn w:val="Background"/>
    <w:qFormat/>
    <w:rsid w:val="00C503F6"/>
    <w:pPr>
      <w:numPr>
        <w:numId w:val="0"/>
      </w:numPr>
      <w:tabs>
        <w:tab w:val="num" w:pos="3062"/>
      </w:tabs>
      <w:ind w:left="3062" w:hanging="681"/>
    </w:pPr>
    <w:rPr>
      <w:color w:val="000000"/>
    </w:rPr>
  </w:style>
  <w:style w:type="paragraph" w:customStyle="1" w:styleId="HeadingLevel2CQA">
    <w:name w:val="Heading Level 2 CQA"/>
    <w:basedOn w:val="HeadingLevel2"/>
    <w:qFormat/>
    <w:rsid w:val="00C503F6"/>
  </w:style>
  <w:style w:type="paragraph" w:customStyle="1" w:styleId="ClauseBullet1">
    <w:name w:val="Clause Bullet 1"/>
    <w:basedOn w:val="ParaClause"/>
    <w:qFormat/>
    <w:rsid w:val="00C503F6"/>
    <w:pPr>
      <w:numPr>
        <w:numId w:val="6"/>
      </w:numPr>
      <w:ind w:left="1077" w:hanging="357"/>
      <w:outlineLvl w:val="0"/>
    </w:pPr>
  </w:style>
  <w:style w:type="paragraph" w:customStyle="1" w:styleId="ClauseBullet2">
    <w:name w:val="Clause Bullet 2"/>
    <w:basedOn w:val="ParaClause"/>
    <w:qFormat/>
    <w:rsid w:val="00C503F6"/>
    <w:pPr>
      <w:numPr>
        <w:numId w:val="7"/>
      </w:numPr>
      <w:ind w:left="1434" w:hanging="357"/>
      <w:outlineLvl w:val="1"/>
    </w:pPr>
  </w:style>
  <w:style w:type="paragraph" w:customStyle="1" w:styleId="subclause1Bullet1">
    <w:name w:val="subclause 1 Bullet 1"/>
    <w:basedOn w:val="Parasubclause1"/>
    <w:qFormat/>
    <w:rsid w:val="00C503F6"/>
    <w:pPr>
      <w:numPr>
        <w:numId w:val="8"/>
      </w:numPr>
    </w:pPr>
  </w:style>
  <w:style w:type="paragraph" w:customStyle="1" w:styleId="subclause2Bullet1">
    <w:name w:val="subclause 2 Bullet 1"/>
    <w:basedOn w:val="Parasubclause2"/>
    <w:qFormat/>
    <w:rsid w:val="00C503F6"/>
    <w:pPr>
      <w:numPr>
        <w:numId w:val="10"/>
      </w:numPr>
      <w:ind w:left="1434" w:hanging="357"/>
    </w:pPr>
  </w:style>
  <w:style w:type="paragraph" w:customStyle="1" w:styleId="subclause3Bullet1">
    <w:name w:val="subclause 3 Bullet 1"/>
    <w:basedOn w:val="Parasubclause3"/>
    <w:qFormat/>
    <w:rsid w:val="00C503F6"/>
    <w:pPr>
      <w:numPr>
        <w:numId w:val="9"/>
      </w:numPr>
      <w:ind w:left="2273" w:hanging="357"/>
    </w:pPr>
  </w:style>
  <w:style w:type="paragraph" w:customStyle="1" w:styleId="subclause1Bullet2">
    <w:name w:val="subclause 1 Bullet 2"/>
    <w:basedOn w:val="Parasubclause1"/>
    <w:qFormat/>
    <w:rsid w:val="00C503F6"/>
    <w:pPr>
      <w:numPr>
        <w:numId w:val="11"/>
      </w:numPr>
      <w:ind w:left="1434" w:hanging="357"/>
    </w:pPr>
  </w:style>
  <w:style w:type="paragraph" w:customStyle="1" w:styleId="subclause2Bullet2">
    <w:name w:val="subclause 2 Bullet 2"/>
    <w:basedOn w:val="Parasubclause2"/>
    <w:qFormat/>
    <w:rsid w:val="00C503F6"/>
    <w:pPr>
      <w:numPr>
        <w:numId w:val="12"/>
      </w:numPr>
      <w:ind w:left="2273" w:hanging="357"/>
    </w:pPr>
  </w:style>
  <w:style w:type="paragraph" w:customStyle="1" w:styleId="subclause3Bullet2">
    <w:name w:val="subclause 3 Bullet 2"/>
    <w:basedOn w:val="Parasubclause3"/>
    <w:qFormat/>
    <w:rsid w:val="00C503F6"/>
    <w:pPr>
      <w:numPr>
        <w:numId w:val="13"/>
      </w:numPr>
      <w:ind w:left="2982" w:hanging="357"/>
    </w:pPr>
  </w:style>
  <w:style w:type="paragraph" w:customStyle="1" w:styleId="DefinedTermBullet">
    <w:name w:val="Defined Term Bullet"/>
    <w:basedOn w:val="DefinedTermPara"/>
    <w:qFormat/>
    <w:rsid w:val="00C503F6"/>
    <w:pPr>
      <w:numPr>
        <w:numId w:val="14"/>
      </w:numPr>
    </w:pPr>
  </w:style>
  <w:style w:type="paragraph" w:customStyle="1" w:styleId="DefinedTermNumber">
    <w:name w:val="Defined Term Number"/>
    <w:basedOn w:val="DefinedTermPara"/>
    <w:qFormat/>
    <w:rsid w:val="00C503F6"/>
    <w:pPr>
      <w:numPr>
        <w:ilvl w:val="1"/>
      </w:numPr>
    </w:pPr>
  </w:style>
  <w:style w:type="paragraph" w:customStyle="1" w:styleId="AdditionalTitle">
    <w:name w:val="Additional Title"/>
    <w:basedOn w:val="Paragraph"/>
    <w:qFormat/>
    <w:rsid w:val="00C503F6"/>
    <w:pPr>
      <w:jc w:val="left"/>
    </w:pPr>
    <w:rPr>
      <w:b/>
      <w:sz w:val="24"/>
    </w:rPr>
  </w:style>
  <w:style w:type="character" w:customStyle="1" w:styleId="error">
    <w:name w:val="error"/>
    <w:basedOn w:val="DefaultParagraphFont"/>
    <w:rsid w:val="00C503F6"/>
    <w:rPr>
      <w:color w:val="000000"/>
    </w:rPr>
  </w:style>
  <w:style w:type="paragraph" w:customStyle="1" w:styleId="NoNumUntitledsubclause1">
    <w:name w:val="No Num Untitled subclause 1"/>
    <w:basedOn w:val="Untitledsubclause1"/>
    <w:qFormat/>
    <w:rsid w:val="00C503F6"/>
    <w:pPr>
      <w:numPr>
        <w:ilvl w:val="0"/>
        <w:numId w:val="0"/>
      </w:numPr>
      <w:ind w:left="720"/>
    </w:pPr>
  </w:style>
  <w:style w:type="paragraph" w:customStyle="1" w:styleId="BackgroundParaClause">
    <w:name w:val="Background Para Clause"/>
    <w:basedOn w:val="Background"/>
    <w:qFormat/>
    <w:rsid w:val="00C503F6"/>
    <w:pPr>
      <w:numPr>
        <w:numId w:val="0"/>
      </w:numPr>
    </w:pPr>
    <w:rPr>
      <w:color w:val="000000"/>
    </w:rPr>
  </w:style>
  <w:style w:type="paragraph" w:customStyle="1" w:styleId="BackgroundParaSubclause1">
    <w:name w:val="Background Para Subclause1"/>
    <w:basedOn w:val="BackgroundSubclause1"/>
    <w:qFormat/>
    <w:rsid w:val="00C503F6"/>
    <w:pPr>
      <w:tabs>
        <w:tab w:val="clear" w:pos="1247"/>
      </w:tabs>
      <w:ind w:left="994" w:firstLine="0"/>
    </w:pPr>
    <w:rPr>
      <w:lang w:val="en-US"/>
    </w:rPr>
  </w:style>
  <w:style w:type="paragraph" w:customStyle="1" w:styleId="BackgroundParaSubclause2">
    <w:name w:val="Background Para Subclause2"/>
    <w:basedOn w:val="BackgroundSubclause2"/>
    <w:qFormat/>
    <w:rsid w:val="00C503F6"/>
    <w:pPr>
      <w:tabs>
        <w:tab w:val="clear" w:pos="3062"/>
      </w:tabs>
      <w:ind w:left="1701" w:firstLine="0"/>
    </w:pPr>
    <w:rPr>
      <w:lang w:val="en-US"/>
    </w:rPr>
  </w:style>
  <w:style w:type="paragraph" w:customStyle="1" w:styleId="ClauseBulletPara">
    <w:name w:val="Clause Bullet Para"/>
    <w:basedOn w:val="ClauseBullet1"/>
    <w:qFormat/>
    <w:rsid w:val="00C503F6"/>
    <w:pPr>
      <w:numPr>
        <w:numId w:val="0"/>
      </w:numPr>
      <w:ind w:left="1080"/>
    </w:pPr>
    <w:rPr>
      <w:lang w:val="en-US"/>
    </w:rPr>
  </w:style>
  <w:style w:type="paragraph" w:customStyle="1" w:styleId="ClauseBullet2Para">
    <w:name w:val="Clause Bullet 2 Para"/>
    <w:basedOn w:val="ClauseBullet2"/>
    <w:qFormat/>
    <w:rsid w:val="00C503F6"/>
    <w:pPr>
      <w:numPr>
        <w:numId w:val="0"/>
      </w:numPr>
      <w:ind w:left="1440"/>
    </w:pPr>
    <w:rPr>
      <w:lang w:val="en-US"/>
    </w:rPr>
  </w:style>
  <w:style w:type="paragraph" w:customStyle="1" w:styleId="ACTJurisdictionCheckList">
    <w:name w:val="ACTJurisdictionCheckList"/>
    <w:basedOn w:val="Normal"/>
    <w:rsid w:val="00C503F6"/>
    <w:pPr>
      <w:spacing w:after="120" w:line="300" w:lineRule="atLeast"/>
    </w:pPr>
    <w:rPr>
      <w:rFonts w:ascii="Arial" w:eastAsia="Arial Unicode MS" w:hAnsi="Arial" w:cs="Arial"/>
      <w:b/>
      <w:color w:val="000000"/>
      <w:sz w:val="28"/>
    </w:rPr>
  </w:style>
  <w:style w:type="paragraph" w:customStyle="1" w:styleId="JurisdictionDraftingnoteTitle">
    <w:name w:val="Jurisdiction Draftingnote Title"/>
    <w:basedOn w:val="DraftingnoteTitle"/>
    <w:qFormat/>
    <w:rsid w:val="00C503F6"/>
  </w:style>
  <w:style w:type="paragraph" w:customStyle="1" w:styleId="ScheduleTitleClause">
    <w:name w:val="Schedule Title Clause"/>
    <w:basedOn w:val="Normal"/>
    <w:rsid w:val="00C503F6"/>
    <w:pPr>
      <w:keepNext/>
      <w:numPr>
        <w:ilvl w:val="2"/>
        <w:numId w:val="15"/>
      </w:numPr>
      <w:spacing w:before="240" w:after="240" w:line="300" w:lineRule="atLeast"/>
      <w:jc w:val="both"/>
      <w:outlineLvl w:val="0"/>
    </w:pPr>
    <w:rPr>
      <w:rFonts w:ascii="Arial" w:eastAsia="Arial Unicode MS" w:hAnsi="Arial" w:cs="Arial"/>
      <w:b/>
      <w:color w:val="000000"/>
      <w:kern w:val="28"/>
      <w:szCs w:val="20"/>
    </w:rPr>
  </w:style>
  <w:style w:type="paragraph" w:customStyle="1" w:styleId="ScheduleUntitledsubclause1">
    <w:name w:val="Schedule Untitled subclause 1"/>
    <w:basedOn w:val="Normal"/>
    <w:rsid w:val="00C503F6"/>
    <w:pPr>
      <w:numPr>
        <w:ilvl w:val="3"/>
        <w:numId w:val="15"/>
      </w:numPr>
      <w:spacing w:before="280" w:after="120" w:line="300" w:lineRule="atLeast"/>
      <w:jc w:val="both"/>
      <w:outlineLvl w:val="1"/>
    </w:pPr>
    <w:rPr>
      <w:rFonts w:ascii="Arial" w:eastAsia="Arial Unicode MS" w:hAnsi="Arial" w:cs="Arial"/>
      <w:color w:val="000000"/>
      <w:szCs w:val="20"/>
    </w:rPr>
  </w:style>
  <w:style w:type="paragraph" w:customStyle="1" w:styleId="ScheduleUntitledsubclause2">
    <w:name w:val="Schedule Untitled subclause 2"/>
    <w:basedOn w:val="Normal"/>
    <w:rsid w:val="00C503F6"/>
    <w:pPr>
      <w:numPr>
        <w:ilvl w:val="4"/>
        <w:numId w:val="15"/>
      </w:numPr>
      <w:spacing w:after="120" w:line="300" w:lineRule="atLeast"/>
      <w:jc w:val="both"/>
      <w:outlineLvl w:val="2"/>
    </w:pPr>
    <w:rPr>
      <w:rFonts w:ascii="Arial" w:eastAsia="Arial Unicode MS" w:hAnsi="Arial" w:cs="Arial"/>
      <w:color w:val="000000"/>
      <w:szCs w:val="20"/>
    </w:rPr>
  </w:style>
  <w:style w:type="paragraph" w:customStyle="1" w:styleId="ScheduleUntitledsubclause3">
    <w:name w:val="Schedule Untitled subclause 3"/>
    <w:basedOn w:val="Normal"/>
    <w:rsid w:val="00C503F6"/>
    <w:pPr>
      <w:numPr>
        <w:ilvl w:val="5"/>
        <w:numId w:val="15"/>
      </w:numPr>
      <w:tabs>
        <w:tab w:val="left" w:pos="2261"/>
      </w:tabs>
      <w:spacing w:after="120" w:line="300" w:lineRule="atLeast"/>
      <w:jc w:val="both"/>
      <w:outlineLvl w:val="3"/>
    </w:pPr>
    <w:rPr>
      <w:rFonts w:ascii="Arial" w:eastAsia="Arial Unicode MS" w:hAnsi="Arial" w:cs="Arial"/>
      <w:color w:val="000000"/>
      <w:szCs w:val="20"/>
    </w:rPr>
  </w:style>
  <w:style w:type="paragraph" w:customStyle="1" w:styleId="ScheduleUntitledsubclause4">
    <w:name w:val="Schedule Untitled subclause 4"/>
    <w:basedOn w:val="Normal"/>
    <w:rsid w:val="00C503F6"/>
    <w:pPr>
      <w:spacing w:after="120" w:line="300" w:lineRule="atLeast"/>
      <w:jc w:val="both"/>
      <w:outlineLvl w:val="4"/>
    </w:pPr>
    <w:rPr>
      <w:rFonts w:ascii="Arial" w:eastAsia="Arial Unicode MS" w:hAnsi="Arial" w:cs="Arial"/>
      <w:color w:val="000000"/>
      <w:szCs w:val="20"/>
    </w:rPr>
  </w:style>
  <w:style w:type="paragraph" w:customStyle="1" w:styleId="BulletListPattern1">
    <w:name w:val="Bullet List Pattern 1"/>
    <w:basedOn w:val="BulletList1"/>
    <w:qFormat/>
    <w:rsid w:val="00C503F6"/>
    <w:pPr>
      <w:shd w:val="clear" w:color="auto" w:fill="D9D9D9" w:themeFill="background1" w:themeFillShade="D9"/>
      <w:spacing w:after="120"/>
      <w:ind w:left="714" w:hanging="357"/>
    </w:pPr>
    <w:rPr>
      <w:color w:val="000000"/>
    </w:rPr>
  </w:style>
  <w:style w:type="paragraph" w:customStyle="1" w:styleId="BulletListPattern2">
    <w:name w:val="Bullet List Pattern 2"/>
    <w:basedOn w:val="BulletList2"/>
    <w:qFormat/>
    <w:rsid w:val="00C503F6"/>
    <w:pPr>
      <w:shd w:val="clear" w:color="auto" w:fill="D9D9D9" w:themeFill="background1" w:themeFillShade="D9"/>
      <w:ind w:left="1077"/>
    </w:pPr>
    <w:rPr>
      <w:color w:val="000000"/>
    </w:rPr>
  </w:style>
  <w:style w:type="paragraph" w:customStyle="1" w:styleId="ScheduleUntitledClause">
    <w:name w:val="Schedule Untitled Clause"/>
    <w:basedOn w:val="ScheduleTitleClause"/>
    <w:qFormat/>
    <w:rsid w:val="00C503F6"/>
    <w:pPr>
      <w:spacing w:before="120"/>
    </w:pPr>
    <w:rPr>
      <w:b w:val="0"/>
    </w:rPr>
  </w:style>
  <w:style w:type="paragraph" w:customStyle="1" w:styleId="EmptyClausePara">
    <w:name w:val="Empty Clause Para"/>
    <w:basedOn w:val="IgnoredSpacing"/>
    <w:qFormat/>
    <w:rsid w:val="00C503F6"/>
  </w:style>
  <w:style w:type="paragraph" w:styleId="ListParagraph">
    <w:name w:val="List Paragraph"/>
    <w:basedOn w:val="Normal"/>
    <w:link w:val="ListParagraphChar"/>
    <w:uiPriority w:val="34"/>
    <w:qFormat/>
    <w:rsid w:val="00E41EEB"/>
    <w:pPr>
      <w:spacing w:after="210"/>
      <w:ind w:left="567"/>
      <w:contextualSpacing/>
    </w:pPr>
  </w:style>
  <w:style w:type="paragraph" w:customStyle="1" w:styleId="ScheduleTitlesubclause1">
    <w:name w:val="Schedule Title subclause1"/>
    <w:basedOn w:val="ScheduleUntitledsubclause1"/>
    <w:qFormat/>
    <w:rsid w:val="00C503F6"/>
    <w:pPr>
      <w:spacing w:before="120"/>
    </w:pPr>
    <w:rPr>
      <w:b/>
    </w:rPr>
  </w:style>
  <w:style w:type="paragraph" w:customStyle="1" w:styleId="835FF0B0D5344FE4A8EE41F54AA7E17C16">
    <w:name w:val="835FF0B0D5344FE4A8EE41F54AA7E17C16"/>
    <w:rsid w:val="00A200E2"/>
    <w:pPr>
      <w:spacing w:after="120" w:line="240" w:lineRule="auto"/>
    </w:pPr>
    <w:rPr>
      <w:rFonts w:ascii="Arial" w:eastAsia="Times New Roman" w:hAnsi="Arial" w:cs="Times New Roman"/>
      <w:color w:val="000000"/>
      <w:sz w:val="24"/>
      <w:szCs w:val="24"/>
      <w:lang w:val="en-US" w:eastAsia="en-US"/>
    </w:rPr>
  </w:style>
  <w:style w:type="character" w:customStyle="1" w:styleId="UnresolvedMention1">
    <w:name w:val="Unresolved Mention1"/>
    <w:basedOn w:val="DefaultParagraphFont"/>
    <w:uiPriority w:val="99"/>
    <w:semiHidden/>
    <w:unhideWhenUsed/>
    <w:rsid w:val="0004392C"/>
    <w:rPr>
      <w:color w:val="000000"/>
      <w:shd w:val="clear" w:color="auto" w:fill="E6E6E6"/>
    </w:rPr>
  </w:style>
  <w:style w:type="paragraph" w:customStyle="1" w:styleId="SectorSpecificNoteTitle">
    <w:name w:val="Sector Specific Note Title"/>
    <w:basedOn w:val="JurisdictionDraftingnoteTitle"/>
    <w:qFormat/>
    <w:rsid w:val="00C503F6"/>
  </w:style>
  <w:style w:type="table" w:customStyle="1" w:styleId="ShadedTable1">
    <w:name w:val="Shaded Table1"/>
    <w:basedOn w:val="TableNormal"/>
    <w:uiPriority w:val="99"/>
    <w:rsid w:val="00C503F6"/>
    <w:pPr>
      <w:spacing w:after="0" w:line="240" w:lineRule="auto"/>
    </w:pPr>
    <w:rPr>
      <w:color w:val="000000"/>
    </w:rPr>
    <w:tblPr>
      <w:tblBorders>
        <w:top w:val="single" w:sz="4" w:space="0" w:color="auto"/>
        <w:left w:val="single" w:sz="4" w:space="0" w:color="auto"/>
        <w:bottom w:val="single" w:sz="4" w:space="0" w:color="auto"/>
        <w:right w:val="single" w:sz="4" w:space="0" w:color="auto"/>
      </w:tblBorders>
    </w:tblPr>
    <w:tcPr>
      <w:shd w:val="clear" w:color="auto" w:fill="EEECE1" w:themeFill="background2"/>
    </w:tcPr>
  </w:style>
  <w:style w:type="paragraph" w:customStyle="1" w:styleId="IgnoredEmptysubclause">
    <w:name w:val="Ignored Empty subclause"/>
    <w:basedOn w:val="Normal"/>
    <w:link w:val="IgnoredEmptysubclauseChar"/>
    <w:qFormat/>
    <w:rsid w:val="00C503F6"/>
    <w:rPr>
      <w:color w:val="000000"/>
    </w:rPr>
  </w:style>
  <w:style w:type="character" w:customStyle="1" w:styleId="IgnoredEmptysubclauseChar">
    <w:name w:val="Ignored Empty subclause Char"/>
    <w:basedOn w:val="DefaultParagraphFont"/>
    <w:link w:val="IgnoredEmptysubclause"/>
    <w:rsid w:val="00C503F6"/>
    <w:rPr>
      <w:color w:val="000000"/>
    </w:rPr>
  </w:style>
  <w:style w:type="character" w:styleId="CommentReference">
    <w:name w:val="annotation reference"/>
    <w:basedOn w:val="DefaultParagraphFont"/>
    <w:uiPriority w:val="99"/>
    <w:semiHidden/>
    <w:unhideWhenUsed/>
    <w:rsid w:val="00D961E8"/>
    <w:rPr>
      <w:color w:val="000000"/>
      <w:sz w:val="16"/>
      <w:szCs w:val="16"/>
    </w:rPr>
  </w:style>
  <w:style w:type="paragraph" w:styleId="CommentText">
    <w:name w:val="annotation text"/>
    <w:basedOn w:val="Normal"/>
    <w:link w:val="CommentTextChar"/>
    <w:rsid w:val="00E41EEB"/>
  </w:style>
  <w:style w:type="character" w:customStyle="1" w:styleId="CommentTextChar">
    <w:name w:val="Comment Text Char"/>
    <w:basedOn w:val="DefaultParagraphFont"/>
    <w:link w:val="CommentText"/>
    <w:rsid w:val="00E41EEB"/>
    <w:rPr>
      <w:rFonts w:ascii="Georgia" w:eastAsia="Times New Roman" w:hAnsi="Georgia"/>
      <w:sz w:val="20"/>
      <w:szCs w:val="18"/>
      <w:lang w:eastAsia="en-US"/>
    </w:rPr>
  </w:style>
  <w:style w:type="paragraph" w:customStyle="1" w:styleId="6B1115FCC3DC4C6AB2CF846F0C50B663">
    <w:name w:val="6B1115FCC3DC4C6AB2CF846F0C50B663"/>
    <w:rsid w:val="00D4114D"/>
    <w:pPr>
      <w:spacing w:line="276" w:lineRule="auto"/>
    </w:pPr>
    <w:rPr>
      <w:color w:val="000000"/>
    </w:rPr>
  </w:style>
  <w:style w:type="paragraph" w:styleId="CommentSubject">
    <w:name w:val="annotation subject"/>
    <w:basedOn w:val="CommentText"/>
    <w:next w:val="CommentText"/>
    <w:link w:val="CommentSubjectChar"/>
    <w:uiPriority w:val="99"/>
    <w:semiHidden/>
    <w:unhideWhenUsed/>
    <w:rsid w:val="003F433E"/>
    <w:pPr>
      <w:spacing w:after="200"/>
    </w:pPr>
    <w:rPr>
      <w:rFonts w:eastAsiaTheme="minorEastAsia"/>
      <w:b/>
      <w:bCs/>
      <w:color w:val="000000"/>
      <w:lang w:eastAsia="en-GB"/>
    </w:rPr>
  </w:style>
  <w:style w:type="character" w:customStyle="1" w:styleId="CommentSubjectChar">
    <w:name w:val="Comment Subject Char"/>
    <w:basedOn w:val="CommentTextChar"/>
    <w:link w:val="CommentSubject"/>
    <w:uiPriority w:val="99"/>
    <w:semiHidden/>
    <w:rsid w:val="003F433E"/>
    <w:rPr>
      <w:rFonts w:ascii="Georgia" w:eastAsiaTheme="minorHAnsi" w:hAnsi="Georgia"/>
      <w:b/>
      <w:bCs/>
      <w:color w:val="000000"/>
      <w:sz w:val="20"/>
      <w:szCs w:val="20"/>
      <w:lang w:eastAsia="en-US"/>
    </w:rPr>
  </w:style>
  <w:style w:type="paragraph" w:styleId="Revision">
    <w:name w:val="Revision"/>
    <w:hidden/>
    <w:uiPriority w:val="99"/>
    <w:semiHidden/>
    <w:rsid w:val="00B76AA7"/>
    <w:pPr>
      <w:spacing w:after="0" w:line="240" w:lineRule="auto"/>
    </w:pPr>
    <w:rPr>
      <w:color w:val="000000"/>
    </w:rPr>
  </w:style>
  <w:style w:type="numbering" w:customStyle="1" w:styleId="ScheduleListStyle">
    <w:name w:val="ScheduleListStyle"/>
    <w:pPr>
      <w:numPr>
        <w:numId w:val="21"/>
      </w:numPr>
    </w:pPr>
  </w:style>
  <w:style w:type="paragraph" w:styleId="TOC1">
    <w:name w:val="toc 1"/>
    <w:basedOn w:val="TOC2"/>
    <w:next w:val="Normal"/>
    <w:autoRedefine/>
    <w:rsid w:val="00E41EEB"/>
    <w:pPr>
      <w:tabs>
        <w:tab w:val="clear" w:pos="992"/>
      </w:tabs>
      <w:ind w:left="425" w:hanging="425"/>
    </w:pPr>
    <w:rPr>
      <w:noProof/>
    </w:rPr>
  </w:style>
  <w:style w:type="paragraph" w:styleId="BodyText">
    <w:name w:val="Body Text"/>
    <w:basedOn w:val="Normal"/>
    <w:link w:val="BodyTextChar"/>
    <w:qFormat/>
    <w:rsid w:val="00E41EEB"/>
    <w:pPr>
      <w:spacing w:after="210"/>
      <w:jc w:val="both"/>
    </w:pPr>
  </w:style>
  <w:style w:type="character" w:customStyle="1" w:styleId="BodyTextChar">
    <w:name w:val="Body Text Char"/>
    <w:link w:val="BodyText"/>
    <w:rsid w:val="00E41EEB"/>
    <w:rPr>
      <w:rFonts w:ascii="Georgia" w:eastAsia="Times New Roman" w:hAnsi="Georgia"/>
      <w:sz w:val="20"/>
      <w:szCs w:val="18"/>
      <w:lang w:eastAsia="en-US"/>
    </w:rPr>
  </w:style>
  <w:style w:type="character" w:customStyle="1" w:styleId="AlternativeText">
    <w:name w:val="Alternative Text"/>
    <w:rsid w:val="00E41EEB"/>
    <w:rPr>
      <w:rFonts w:cs="Times New Roman"/>
    </w:rPr>
  </w:style>
  <w:style w:type="paragraph" w:customStyle="1" w:styleId="App1Number">
    <w:name w:val="App 1 Number"/>
    <w:basedOn w:val="BodyText"/>
    <w:rsid w:val="00E41EEB"/>
    <w:pPr>
      <w:numPr>
        <w:ilvl w:val="1"/>
        <w:numId w:val="23"/>
      </w:numPr>
    </w:pPr>
  </w:style>
  <w:style w:type="paragraph" w:customStyle="1" w:styleId="App1Heading">
    <w:name w:val="App 1 Heading"/>
    <w:basedOn w:val="App1Number"/>
    <w:rsid w:val="00E41EEB"/>
    <w:pPr>
      <w:keepNext/>
      <w:spacing w:before="210"/>
    </w:pPr>
    <w:rPr>
      <w:b/>
    </w:rPr>
  </w:style>
  <w:style w:type="paragraph" w:customStyle="1" w:styleId="App2Number">
    <w:name w:val="App 2 Number"/>
    <w:basedOn w:val="BodyText"/>
    <w:rsid w:val="00E41EEB"/>
    <w:pPr>
      <w:numPr>
        <w:ilvl w:val="2"/>
        <w:numId w:val="23"/>
      </w:numPr>
    </w:pPr>
  </w:style>
  <w:style w:type="paragraph" w:customStyle="1" w:styleId="App2Heading">
    <w:name w:val="App 2 Heading"/>
    <w:basedOn w:val="App2Number"/>
    <w:rsid w:val="00E41EEB"/>
    <w:pPr>
      <w:keepNext/>
    </w:pPr>
    <w:rPr>
      <w:b/>
    </w:rPr>
  </w:style>
  <w:style w:type="paragraph" w:customStyle="1" w:styleId="App3Number">
    <w:name w:val="App 3 Number"/>
    <w:basedOn w:val="BodyText"/>
    <w:rsid w:val="00E41EEB"/>
    <w:pPr>
      <w:numPr>
        <w:ilvl w:val="3"/>
        <w:numId w:val="23"/>
      </w:numPr>
    </w:pPr>
  </w:style>
  <w:style w:type="paragraph" w:customStyle="1" w:styleId="App4Number">
    <w:name w:val="App 4 Number"/>
    <w:basedOn w:val="BodyText"/>
    <w:rsid w:val="00E41EEB"/>
    <w:pPr>
      <w:numPr>
        <w:ilvl w:val="4"/>
        <w:numId w:val="23"/>
      </w:numPr>
    </w:pPr>
  </w:style>
  <w:style w:type="paragraph" w:customStyle="1" w:styleId="App5Number">
    <w:name w:val="App 5 Number"/>
    <w:basedOn w:val="BodyText"/>
    <w:rsid w:val="00E41EEB"/>
    <w:pPr>
      <w:numPr>
        <w:ilvl w:val="5"/>
        <w:numId w:val="23"/>
      </w:numPr>
    </w:pPr>
  </w:style>
  <w:style w:type="paragraph" w:customStyle="1" w:styleId="Appendix">
    <w:name w:val="Appendix"/>
    <w:basedOn w:val="BodyText"/>
    <w:next w:val="BodyText"/>
    <w:rsid w:val="00E41EEB"/>
    <w:pPr>
      <w:pageBreakBefore/>
      <w:numPr>
        <w:numId w:val="23"/>
      </w:numPr>
      <w:spacing w:before="210"/>
      <w:jc w:val="left"/>
    </w:pPr>
    <w:rPr>
      <w:b/>
    </w:rPr>
  </w:style>
  <w:style w:type="paragraph" w:customStyle="1" w:styleId="Background2">
    <w:name w:val="Background 2"/>
    <w:basedOn w:val="BodyText"/>
    <w:rsid w:val="00E41EEB"/>
    <w:pPr>
      <w:numPr>
        <w:ilvl w:val="1"/>
        <w:numId w:val="24"/>
      </w:numPr>
    </w:pPr>
  </w:style>
  <w:style w:type="paragraph" w:customStyle="1" w:styleId="Background3">
    <w:name w:val="Background 3"/>
    <w:basedOn w:val="BodyText"/>
    <w:rsid w:val="00E41EEB"/>
    <w:pPr>
      <w:numPr>
        <w:ilvl w:val="2"/>
        <w:numId w:val="24"/>
      </w:numPr>
    </w:pPr>
  </w:style>
  <w:style w:type="character" w:customStyle="1" w:styleId="ListParagraphChar">
    <w:name w:val="List Paragraph Char"/>
    <w:link w:val="ListParagraph"/>
    <w:rsid w:val="00E41EEB"/>
    <w:rPr>
      <w:rFonts w:ascii="Georgia" w:eastAsia="Times New Roman" w:hAnsi="Georgia"/>
      <w:sz w:val="20"/>
      <w:szCs w:val="18"/>
      <w:lang w:eastAsia="en-US"/>
    </w:rPr>
  </w:style>
  <w:style w:type="paragraph" w:customStyle="1" w:styleId="Body">
    <w:name w:val="Body"/>
    <w:basedOn w:val="ListParagraph"/>
    <w:link w:val="BodyChar"/>
    <w:rsid w:val="00E41EEB"/>
  </w:style>
  <w:style w:type="character" w:customStyle="1" w:styleId="BodyChar">
    <w:name w:val="Body Char"/>
    <w:link w:val="Body"/>
    <w:rsid w:val="00E41EEB"/>
    <w:rPr>
      <w:rFonts w:ascii="Georgia" w:eastAsia="Times New Roman" w:hAnsi="Georgia"/>
      <w:sz w:val="20"/>
      <w:szCs w:val="18"/>
      <w:lang w:eastAsia="en-US"/>
    </w:rPr>
  </w:style>
  <w:style w:type="paragraph" w:customStyle="1" w:styleId="BodyText1">
    <w:name w:val="Body Text 1"/>
    <w:basedOn w:val="BodyText"/>
    <w:qFormat/>
    <w:rsid w:val="00E41EEB"/>
    <w:pPr>
      <w:ind w:left="567"/>
    </w:pPr>
  </w:style>
  <w:style w:type="paragraph" w:styleId="BodyText2">
    <w:name w:val="Body Text 2"/>
    <w:basedOn w:val="BodyText"/>
    <w:link w:val="BodyText2Char"/>
    <w:rsid w:val="00E41EEB"/>
    <w:pPr>
      <w:ind w:left="567"/>
    </w:pPr>
  </w:style>
  <w:style w:type="character" w:customStyle="1" w:styleId="BodyText2Char">
    <w:name w:val="Body Text 2 Char"/>
    <w:basedOn w:val="DefaultParagraphFont"/>
    <w:link w:val="BodyText2"/>
    <w:rsid w:val="00E41EEB"/>
    <w:rPr>
      <w:rFonts w:ascii="Georgia" w:eastAsia="Times New Roman" w:hAnsi="Georgia"/>
      <w:sz w:val="20"/>
      <w:szCs w:val="18"/>
      <w:lang w:eastAsia="en-US"/>
    </w:rPr>
  </w:style>
  <w:style w:type="paragraph" w:styleId="BodyText3">
    <w:name w:val="Body Text 3"/>
    <w:basedOn w:val="BodyText"/>
    <w:link w:val="BodyText3Char"/>
    <w:rsid w:val="00E41EEB"/>
    <w:pPr>
      <w:ind w:left="1247"/>
    </w:pPr>
    <w:rPr>
      <w:szCs w:val="16"/>
    </w:rPr>
  </w:style>
  <w:style w:type="character" w:customStyle="1" w:styleId="BodyText3Char">
    <w:name w:val="Body Text 3 Char"/>
    <w:link w:val="BodyText3"/>
    <w:rsid w:val="00E41EEB"/>
    <w:rPr>
      <w:rFonts w:ascii="Georgia" w:eastAsia="Times New Roman" w:hAnsi="Georgia"/>
      <w:sz w:val="20"/>
      <w:szCs w:val="16"/>
      <w:lang w:eastAsia="en-US"/>
    </w:rPr>
  </w:style>
  <w:style w:type="paragraph" w:customStyle="1" w:styleId="BodyText4">
    <w:name w:val="Body Text 4"/>
    <w:basedOn w:val="BodyText"/>
    <w:rsid w:val="00E41EEB"/>
    <w:pPr>
      <w:ind w:left="1673"/>
    </w:pPr>
  </w:style>
  <w:style w:type="paragraph" w:customStyle="1" w:styleId="BodyText5">
    <w:name w:val="Body Text 5"/>
    <w:basedOn w:val="BodyText"/>
    <w:rsid w:val="00E41EEB"/>
    <w:pPr>
      <w:ind w:left="1673"/>
    </w:pPr>
  </w:style>
  <w:style w:type="paragraph" w:customStyle="1" w:styleId="Bullet">
    <w:name w:val="Bullet"/>
    <w:basedOn w:val="BodyText"/>
    <w:rsid w:val="00E41EEB"/>
    <w:pPr>
      <w:numPr>
        <w:numId w:val="25"/>
      </w:numPr>
      <w:spacing w:after="240"/>
    </w:pPr>
  </w:style>
  <w:style w:type="paragraph" w:customStyle="1" w:styleId="Bullet5">
    <w:name w:val="Bullet5"/>
    <w:basedOn w:val="Normal"/>
    <w:rsid w:val="00E41EEB"/>
    <w:pPr>
      <w:numPr>
        <w:numId w:val="29"/>
      </w:numPr>
      <w:spacing w:after="240"/>
    </w:pPr>
  </w:style>
  <w:style w:type="paragraph" w:customStyle="1" w:styleId="Bulletedlist">
    <w:name w:val="Bulleted list"/>
    <w:basedOn w:val="Body"/>
    <w:qFormat/>
    <w:rsid w:val="00E41EEB"/>
    <w:pPr>
      <w:numPr>
        <w:numId w:val="30"/>
      </w:numPr>
    </w:pPr>
  </w:style>
  <w:style w:type="character" w:customStyle="1" w:styleId="Capitals">
    <w:name w:val="Capitals"/>
    <w:rsid w:val="00E41EEB"/>
    <w:rPr>
      <w:rFonts w:cs="Times New Roman"/>
      <w:b/>
      <w:caps/>
    </w:rPr>
  </w:style>
  <w:style w:type="paragraph" w:customStyle="1" w:styleId="Comments">
    <w:name w:val="Comments"/>
    <w:basedOn w:val="Normal"/>
    <w:rsid w:val="00E41EEB"/>
    <w:pPr>
      <w:ind w:left="284"/>
    </w:pPr>
    <w:rPr>
      <w:i/>
    </w:rPr>
  </w:style>
  <w:style w:type="paragraph" w:customStyle="1" w:styleId="CoverDate">
    <w:name w:val="Cover Date"/>
    <w:basedOn w:val="BodyText"/>
    <w:rsid w:val="00E41EEB"/>
    <w:pPr>
      <w:jc w:val="center"/>
    </w:pPr>
    <w:rPr>
      <w:rFonts w:eastAsia="Calibri"/>
      <w:color w:val="414042"/>
      <w:szCs w:val="24"/>
    </w:rPr>
  </w:style>
  <w:style w:type="paragraph" w:customStyle="1" w:styleId="CoverPartyName">
    <w:name w:val="Cover Party Name"/>
    <w:basedOn w:val="BodyText"/>
    <w:rsid w:val="00E41EEB"/>
    <w:pPr>
      <w:numPr>
        <w:numId w:val="31"/>
      </w:numPr>
      <w:spacing w:before="210"/>
      <w:jc w:val="left"/>
    </w:pPr>
    <w:rPr>
      <w:color w:val="414042"/>
      <w:sz w:val="44"/>
      <w:szCs w:val="24"/>
    </w:rPr>
  </w:style>
  <w:style w:type="table" w:customStyle="1" w:styleId="CoverTable">
    <w:name w:val="Cover Table"/>
    <w:basedOn w:val="TableNormal"/>
    <w:rsid w:val="00E41EEB"/>
    <w:pPr>
      <w:spacing w:after="0" w:line="240" w:lineRule="auto"/>
    </w:pPr>
    <w:rPr>
      <w:rFonts w:ascii="Georgia" w:eastAsia="Times New Roman" w:hAnsi="Georgia" w:cs="Times New Roman"/>
      <w:sz w:val="20"/>
      <w:szCs w:val="20"/>
    </w:rPr>
    <w:tblPr/>
  </w:style>
  <w:style w:type="paragraph" w:customStyle="1" w:styleId="Definition1">
    <w:name w:val="Definition 1"/>
    <w:basedOn w:val="BodyText"/>
    <w:rsid w:val="00E41EEB"/>
    <w:pPr>
      <w:numPr>
        <w:ilvl w:val="1"/>
        <w:numId w:val="32"/>
      </w:numPr>
    </w:pPr>
  </w:style>
  <w:style w:type="paragraph" w:customStyle="1" w:styleId="Definition2">
    <w:name w:val="Definition 2"/>
    <w:basedOn w:val="BodyText"/>
    <w:rsid w:val="00E41EEB"/>
    <w:pPr>
      <w:numPr>
        <w:ilvl w:val="2"/>
        <w:numId w:val="32"/>
      </w:numPr>
    </w:pPr>
  </w:style>
  <w:style w:type="paragraph" w:customStyle="1" w:styleId="Definition3">
    <w:name w:val="Definition 3"/>
    <w:basedOn w:val="BodyText"/>
    <w:rsid w:val="00E41EEB"/>
    <w:pPr>
      <w:numPr>
        <w:ilvl w:val="3"/>
        <w:numId w:val="32"/>
      </w:numPr>
    </w:pPr>
  </w:style>
  <w:style w:type="paragraph" w:customStyle="1" w:styleId="DefinitionDescription">
    <w:name w:val="Definition Description"/>
    <w:basedOn w:val="BodyText"/>
    <w:rsid w:val="00E41EEB"/>
    <w:pPr>
      <w:numPr>
        <w:numId w:val="32"/>
      </w:numPr>
    </w:pPr>
  </w:style>
  <w:style w:type="paragraph" w:customStyle="1" w:styleId="DefinitionTerm">
    <w:name w:val="Definition Term"/>
    <w:basedOn w:val="DefinitionDescription"/>
    <w:next w:val="DefinitionDescription"/>
    <w:rsid w:val="00E41EEB"/>
    <w:pPr>
      <w:keepNext/>
      <w:spacing w:after="0"/>
    </w:pPr>
    <w:rPr>
      <w:b/>
    </w:rPr>
  </w:style>
  <w:style w:type="character" w:customStyle="1" w:styleId="Defterm0">
    <w:name w:val="Defterm"/>
    <w:rsid w:val="00E41EEB"/>
    <w:rPr>
      <w:rFonts w:ascii="Georgia" w:hAnsi="Georgia"/>
      <w:b/>
      <w:color w:val="000000"/>
      <w:sz w:val="18"/>
    </w:rPr>
  </w:style>
  <w:style w:type="paragraph" w:customStyle="1" w:styleId="FrontInformation">
    <w:name w:val="FrontInformation"/>
    <w:basedOn w:val="Normal"/>
    <w:autoRedefine/>
    <w:rsid w:val="00E41EEB"/>
    <w:rPr>
      <w:color w:val="000000"/>
    </w:rPr>
  </w:style>
  <w:style w:type="paragraph" w:customStyle="1" w:styleId="HeadingTitle">
    <w:name w:val="HeadingTitle"/>
    <w:basedOn w:val="Normal"/>
    <w:rsid w:val="00E41EEB"/>
    <w:pPr>
      <w:spacing w:before="210" w:after="210"/>
    </w:pPr>
    <w:rPr>
      <w:b/>
    </w:rPr>
  </w:style>
  <w:style w:type="paragraph" w:customStyle="1" w:styleId="Indent">
    <w:name w:val="Indent"/>
    <w:basedOn w:val="Normal"/>
    <w:link w:val="IndentChar"/>
    <w:autoRedefine/>
    <w:rsid w:val="00E41EEB"/>
    <w:pPr>
      <w:ind w:left="567"/>
      <w:contextualSpacing/>
      <w:jc w:val="both"/>
    </w:pPr>
    <w:rPr>
      <w:rFonts w:eastAsia="Calibri"/>
    </w:rPr>
  </w:style>
  <w:style w:type="character" w:customStyle="1" w:styleId="IndentChar">
    <w:name w:val="Indent Char"/>
    <w:link w:val="Indent"/>
    <w:rsid w:val="00E41EEB"/>
    <w:rPr>
      <w:rFonts w:eastAsia="Calibri"/>
      <w:kern w:val="2"/>
      <w:lang w:eastAsia="en-US"/>
      <w14:ligatures w14:val="standardContextual"/>
    </w:rPr>
  </w:style>
  <w:style w:type="character" w:customStyle="1" w:styleId="InsertText">
    <w:name w:val="Insert Text"/>
    <w:rsid w:val="00E41EEB"/>
    <w:rPr>
      <w:rFonts w:ascii="Georgia" w:hAnsi="Georgia" w:cs="Times New Roman"/>
      <w:i w:val="0"/>
      <w:caps/>
      <w:smallCaps w:val="0"/>
      <w:sz w:val="18"/>
    </w:rPr>
  </w:style>
  <w:style w:type="character" w:customStyle="1" w:styleId="IntenseCapitals">
    <w:name w:val="Intense Capitals"/>
    <w:rsid w:val="00E41EEB"/>
    <w:rPr>
      <w:rFonts w:cs="Times New Roman"/>
      <w:b/>
      <w:caps/>
    </w:rPr>
  </w:style>
  <w:style w:type="character" w:styleId="IntenseEmphasis">
    <w:name w:val="Intense Emphasis"/>
    <w:rsid w:val="00E41EEB"/>
    <w:rPr>
      <w:rFonts w:cs="Times New Roman"/>
      <w:b/>
      <w:i/>
    </w:rPr>
  </w:style>
  <w:style w:type="paragraph" w:customStyle="1" w:styleId="LV1">
    <w:name w:val="LV1"/>
    <w:basedOn w:val="BodyText"/>
    <w:qFormat/>
    <w:rsid w:val="00E41EEB"/>
    <w:pPr>
      <w:keepNext/>
      <w:numPr>
        <w:numId w:val="34"/>
      </w:numPr>
    </w:pPr>
    <w:rPr>
      <w:b/>
    </w:rPr>
  </w:style>
  <w:style w:type="paragraph" w:customStyle="1" w:styleId="LV1Clause">
    <w:name w:val="LV1 Clause"/>
    <w:basedOn w:val="LV1"/>
    <w:qFormat/>
    <w:rsid w:val="00E41EEB"/>
    <w:rPr>
      <w:b w:val="0"/>
    </w:rPr>
  </w:style>
  <w:style w:type="paragraph" w:customStyle="1" w:styleId="LV2">
    <w:name w:val="LV2"/>
    <w:basedOn w:val="BodyText"/>
    <w:qFormat/>
    <w:rsid w:val="00E41EEB"/>
    <w:pPr>
      <w:numPr>
        <w:ilvl w:val="1"/>
        <w:numId w:val="34"/>
      </w:numPr>
    </w:pPr>
  </w:style>
  <w:style w:type="paragraph" w:customStyle="1" w:styleId="LV2Heading">
    <w:name w:val="LV2 Heading"/>
    <w:basedOn w:val="LV2"/>
    <w:qFormat/>
    <w:rsid w:val="00E41EEB"/>
    <w:rPr>
      <w:b/>
    </w:rPr>
  </w:style>
  <w:style w:type="paragraph" w:customStyle="1" w:styleId="LV3">
    <w:name w:val="LV3"/>
    <w:basedOn w:val="BodyText"/>
    <w:qFormat/>
    <w:rsid w:val="00E41EEB"/>
    <w:pPr>
      <w:numPr>
        <w:ilvl w:val="2"/>
        <w:numId w:val="34"/>
      </w:numPr>
    </w:pPr>
  </w:style>
  <w:style w:type="paragraph" w:customStyle="1" w:styleId="LV4">
    <w:name w:val="LV4"/>
    <w:basedOn w:val="Heading4"/>
    <w:qFormat/>
    <w:rsid w:val="00E41EEB"/>
    <w:pPr>
      <w:numPr>
        <w:numId w:val="34"/>
      </w:numPr>
    </w:pPr>
  </w:style>
  <w:style w:type="paragraph" w:customStyle="1" w:styleId="LV5">
    <w:name w:val="LV5"/>
    <w:basedOn w:val="Heading5"/>
    <w:qFormat/>
    <w:rsid w:val="00E41EEB"/>
    <w:pPr>
      <w:numPr>
        <w:numId w:val="34"/>
      </w:numPr>
    </w:pPr>
  </w:style>
  <w:style w:type="paragraph" w:customStyle="1" w:styleId="NewPage">
    <w:name w:val="New Page"/>
    <w:basedOn w:val="Normal"/>
    <w:autoRedefine/>
    <w:rsid w:val="00E41EEB"/>
    <w:pPr>
      <w:pageBreakBefore/>
    </w:pPr>
  </w:style>
  <w:style w:type="paragraph" w:customStyle="1" w:styleId="NormalCell">
    <w:name w:val="NormalCell"/>
    <w:basedOn w:val="Normal"/>
    <w:rsid w:val="00E41EEB"/>
  </w:style>
  <w:style w:type="paragraph" w:customStyle="1" w:styleId="NormalSmall">
    <w:name w:val="NormalSmall"/>
    <w:basedOn w:val="NormalCell"/>
    <w:rsid w:val="00E41EEB"/>
  </w:style>
  <w:style w:type="character" w:customStyle="1" w:styleId="OptionalText">
    <w:name w:val="Optional Text"/>
    <w:rsid w:val="00E41EEB"/>
    <w:rPr>
      <w:rFonts w:cs="Times New Roman"/>
    </w:rPr>
  </w:style>
  <w:style w:type="character" w:styleId="PageNumber">
    <w:name w:val="page number"/>
    <w:basedOn w:val="DefaultParagraphFont"/>
    <w:rsid w:val="00E41EEB"/>
  </w:style>
  <w:style w:type="paragraph" w:customStyle="1" w:styleId="Parties2">
    <w:name w:val="Parties 2"/>
    <w:basedOn w:val="BodyText"/>
    <w:rsid w:val="00E41EEB"/>
    <w:pPr>
      <w:numPr>
        <w:ilvl w:val="1"/>
        <w:numId w:val="35"/>
      </w:numPr>
    </w:pPr>
  </w:style>
  <w:style w:type="paragraph" w:customStyle="1" w:styleId="Sch1Heading">
    <w:name w:val="Sch 1 Heading"/>
    <w:basedOn w:val="BodyText"/>
    <w:rsid w:val="00E41EEB"/>
    <w:pPr>
      <w:keepNext/>
      <w:numPr>
        <w:ilvl w:val="2"/>
        <w:numId w:val="36"/>
      </w:numPr>
      <w:spacing w:before="120" w:after="240"/>
      <w:outlineLvl w:val="0"/>
    </w:pPr>
    <w:rPr>
      <w:b/>
    </w:rPr>
  </w:style>
  <w:style w:type="paragraph" w:customStyle="1" w:styleId="Sch1Number">
    <w:name w:val="Sch 1 Number"/>
    <w:basedOn w:val="Sch1Heading"/>
    <w:rsid w:val="00E41EEB"/>
    <w:rPr>
      <w:b w:val="0"/>
    </w:rPr>
  </w:style>
  <w:style w:type="paragraph" w:customStyle="1" w:styleId="Sch2Number">
    <w:name w:val="Sch 2 Number"/>
    <w:basedOn w:val="BodyText"/>
    <w:rsid w:val="00E41EEB"/>
    <w:pPr>
      <w:numPr>
        <w:ilvl w:val="3"/>
        <w:numId w:val="36"/>
      </w:numPr>
      <w:spacing w:before="120" w:after="240"/>
      <w:outlineLvl w:val="1"/>
    </w:pPr>
    <w:rPr>
      <w:color w:val="000000"/>
    </w:rPr>
  </w:style>
  <w:style w:type="paragraph" w:customStyle="1" w:styleId="Sch2Heading">
    <w:name w:val="Sch 2 Heading"/>
    <w:basedOn w:val="Sch2Number"/>
    <w:rsid w:val="00E41EEB"/>
    <w:pPr>
      <w:keepNext/>
    </w:pPr>
    <w:rPr>
      <w:b/>
    </w:rPr>
  </w:style>
  <w:style w:type="paragraph" w:customStyle="1" w:styleId="Sch3Number">
    <w:name w:val="Sch 3 Number"/>
    <w:basedOn w:val="BodyText"/>
    <w:rsid w:val="00E41EEB"/>
    <w:pPr>
      <w:numPr>
        <w:ilvl w:val="4"/>
        <w:numId w:val="36"/>
      </w:numPr>
    </w:pPr>
  </w:style>
  <w:style w:type="paragraph" w:customStyle="1" w:styleId="Sch4Number">
    <w:name w:val="Sch 4 Number"/>
    <w:basedOn w:val="BodyText"/>
    <w:rsid w:val="00E41EEB"/>
    <w:pPr>
      <w:numPr>
        <w:ilvl w:val="5"/>
        <w:numId w:val="36"/>
      </w:numPr>
    </w:pPr>
  </w:style>
  <w:style w:type="paragraph" w:customStyle="1" w:styleId="Sch5Number">
    <w:name w:val="Sch 5 Number"/>
    <w:basedOn w:val="BodyText"/>
    <w:rsid w:val="00E41EEB"/>
    <w:pPr>
      <w:numPr>
        <w:ilvl w:val="6"/>
        <w:numId w:val="36"/>
      </w:numPr>
    </w:pPr>
  </w:style>
  <w:style w:type="character" w:customStyle="1" w:styleId="smallcaps">
    <w:name w:val="smallcaps"/>
    <w:rsid w:val="00E41EEB"/>
    <w:rPr>
      <w:b/>
      <w:smallCaps/>
    </w:rPr>
  </w:style>
  <w:style w:type="character" w:customStyle="1" w:styleId="Strike">
    <w:name w:val="Strike"/>
    <w:rsid w:val="00E41EEB"/>
    <w:rPr>
      <w:rFonts w:cs="Times New Roman"/>
      <w:strike/>
    </w:rPr>
  </w:style>
  <w:style w:type="character" w:styleId="Strong">
    <w:name w:val="Strong"/>
    <w:rsid w:val="00E41EEB"/>
    <w:rPr>
      <w:b/>
      <w:bCs/>
    </w:rPr>
  </w:style>
  <w:style w:type="numbering" w:customStyle="1" w:styleId="StyleOutlinenumberedLeft0cmHanging1cm">
    <w:name w:val="Style Outline numbered Left:  0 cm Hanging:  1 cm"/>
    <w:basedOn w:val="NoList"/>
    <w:rsid w:val="00E41EEB"/>
    <w:pPr>
      <w:numPr>
        <w:numId w:val="37"/>
      </w:numPr>
    </w:pPr>
  </w:style>
  <w:style w:type="paragraph" w:customStyle="1" w:styleId="StyleStyleCoversheetTitleLeft9pt">
    <w:name w:val="Style Style Coversheet Title + Left + 9 pt"/>
    <w:basedOn w:val="Normal"/>
    <w:rsid w:val="00E41EEB"/>
  </w:style>
  <w:style w:type="paragraph" w:styleId="TOC2">
    <w:name w:val="toc 2"/>
    <w:basedOn w:val="Normal"/>
    <w:next w:val="Normal"/>
    <w:autoRedefine/>
    <w:rsid w:val="00E41EEB"/>
    <w:pPr>
      <w:tabs>
        <w:tab w:val="left" w:pos="992"/>
        <w:tab w:val="right" w:pos="7229"/>
      </w:tabs>
      <w:spacing w:before="120" w:after="100" w:line="360" w:lineRule="auto"/>
      <w:ind w:left="284" w:hanging="284"/>
    </w:pPr>
  </w:style>
  <w:style w:type="paragraph" w:customStyle="1" w:styleId="StyleTOC2TopSinglesolidlineAuto05ptLinewidthFr">
    <w:name w:val="Style TOC 2 + Top: (Single solid line Auto  0.5 pt Line width Fr..."/>
    <w:basedOn w:val="TOC2"/>
    <w:rsid w:val="00E41EEB"/>
    <w:pPr>
      <w:pBdr>
        <w:top w:val="single" w:sz="4" w:space="3" w:color="auto"/>
      </w:pBdr>
    </w:pPr>
    <w:rPr>
      <w:szCs w:val="20"/>
    </w:rPr>
  </w:style>
  <w:style w:type="numbering" w:customStyle="1" w:styleId="Style2">
    <w:name w:val="Style2"/>
    <w:rsid w:val="00E41EEB"/>
    <w:pPr>
      <w:numPr>
        <w:numId w:val="38"/>
      </w:numPr>
    </w:pPr>
  </w:style>
  <w:style w:type="paragraph" w:customStyle="1" w:styleId="SubHeading">
    <w:name w:val="SubHeading"/>
    <w:basedOn w:val="BodyText"/>
    <w:rsid w:val="00E41EEB"/>
    <w:pPr>
      <w:spacing w:before="120" w:after="240"/>
      <w:jc w:val="left"/>
    </w:pPr>
    <w:rPr>
      <w:b/>
    </w:rPr>
  </w:style>
  <w:style w:type="character" w:customStyle="1" w:styleId="Subscript">
    <w:name w:val="Subscript"/>
    <w:rsid w:val="00E41EEB"/>
    <w:rPr>
      <w:rFonts w:cs="Times New Roman"/>
      <w:vertAlign w:val="subscript"/>
    </w:rPr>
  </w:style>
  <w:style w:type="character" w:customStyle="1" w:styleId="Superscript">
    <w:name w:val="Superscript"/>
    <w:rsid w:val="00E41EEB"/>
    <w:rPr>
      <w:rFonts w:cs="Times New Roman"/>
      <w:vertAlign w:val="superscript"/>
    </w:rPr>
  </w:style>
  <w:style w:type="table" w:customStyle="1" w:styleId="TableGridStyle">
    <w:name w:val="Table Grid Style"/>
    <w:basedOn w:val="TableNormal"/>
    <w:rsid w:val="00E41EEB"/>
    <w:pPr>
      <w:spacing w:after="0" w:line="240" w:lineRule="auto"/>
    </w:pPr>
    <w:rPr>
      <w:rFonts w:ascii="Century Gothic" w:eastAsia="Times New Roman" w:hAnsi="Georgia" w:cs="Times New Roman"/>
      <w:sz w:val="20"/>
      <w:szCs w:val="20"/>
    </w:rPr>
    <w:tblPr/>
  </w:style>
  <w:style w:type="paragraph" w:styleId="TOC3">
    <w:name w:val="toc 3"/>
    <w:basedOn w:val="Normal"/>
    <w:next w:val="Normal"/>
    <w:autoRedefine/>
    <w:rsid w:val="00E41EEB"/>
    <w:pPr>
      <w:tabs>
        <w:tab w:val="left" w:pos="709"/>
        <w:tab w:val="right" w:leader="dot" w:pos="9072"/>
      </w:tabs>
      <w:ind w:left="709" w:right="96" w:hanging="709"/>
    </w:pPr>
    <w:rPr>
      <w:noProof/>
    </w:rPr>
  </w:style>
  <w:style w:type="paragraph" w:styleId="TOC4">
    <w:name w:val="toc 4"/>
    <w:basedOn w:val="Normal"/>
    <w:next w:val="Normal"/>
    <w:autoRedefine/>
    <w:rsid w:val="00E41EEB"/>
    <w:pPr>
      <w:spacing w:after="100" w:line="276" w:lineRule="auto"/>
      <w:ind w:left="660"/>
    </w:pPr>
  </w:style>
  <w:style w:type="paragraph" w:styleId="TOC5">
    <w:name w:val="toc 5"/>
    <w:basedOn w:val="Normal"/>
    <w:next w:val="Normal"/>
    <w:autoRedefine/>
    <w:rsid w:val="00E41EEB"/>
    <w:pPr>
      <w:spacing w:after="100" w:line="276" w:lineRule="auto"/>
      <w:ind w:left="880"/>
    </w:pPr>
  </w:style>
  <w:style w:type="paragraph" w:styleId="TOC6">
    <w:name w:val="toc 6"/>
    <w:basedOn w:val="Normal"/>
    <w:next w:val="Normal"/>
    <w:autoRedefine/>
    <w:rsid w:val="00E41EEB"/>
    <w:pPr>
      <w:spacing w:after="100" w:line="276" w:lineRule="auto"/>
      <w:ind w:left="1100"/>
    </w:pPr>
    <w:rPr>
      <w:rFonts w:ascii="Calibri" w:hAnsi="Calibri"/>
    </w:rPr>
  </w:style>
  <w:style w:type="paragraph" w:styleId="TOC7">
    <w:name w:val="toc 7"/>
    <w:basedOn w:val="Normal"/>
    <w:next w:val="Normal"/>
    <w:autoRedefine/>
    <w:rsid w:val="00E41EEB"/>
    <w:pPr>
      <w:spacing w:after="100" w:line="276" w:lineRule="auto"/>
      <w:ind w:left="1320"/>
    </w:pPr>
    <w:rPr>
      <w:rFonts w:ascii="Calibri" w:hAnsi="Calibri"/>
    </w:rPr>
  </w:style>
  <w:style w:type="paragraph" w:styleId="TOC8">
    <w:name w:val="toc 8"/>
    <w:basedOn w:val="Normal"/>
    <w:next w:val="Normal"/>
    <w:autoRedefine/>
    <w:rsid w:val="00E41EEB"/>
    <w:pPr>
      <w:spacing w:after="100" w:line="276" w:lineRule="auto"/>
      <w:ind w:left="1540"/>
    </w:pPr>
    <w:rPr>
      <w:rFonts w:ascii="Calibri" w:hAnsi="Calibri"/>
    </w:rPr>
  </w:style>
  <w:style w:type="paragraph" w:styleId="TOC9">
    <w:name w:val="toc 9"/>
    <w:basedOn w:val="Normal"/>
    <w:next w:val="Normal"/>
    <w:autoRedefine/>
    <w:rsid w:val="00E41EEB"/>
    <w:pPr>
      <w:spacing w:after="100" w:line="276" w:lineRule="auto"/>
      <w:ind w:left="1760"/>
    </w:pPr>
    <w:rPr>
      <w:rFonts w:ascii="Calibri" w:hAnsi="Calibri"/>
    </w:rPr>
  </w:style>
  <w:style w:type="paragraph" w:customStyle="1" w:styleId="TOCSubHeading">
    <w:name w:val="TOC Sub Heading"/>
    <w:basedOn w:val="CoversheetTitle"/>
    <w:rsid w:val="00E41EEB"/>
  </w:style>
  <w:style w:type="paragraph" w:customStyle="1" w:styleId="XExecution">
    <w:name w:val="X Execution"/>
    <w:basedOn w:val="Normal"/>
    <w:rsid w:val="00E41EEB"/>
    <w:pPr>
      <w:tabs>
        <w:tab w:val="left" w:pos="0"/>
        <w:tab w:val="left" w:pos="3544"/>
      </w:tabs>
      <w:spacing w:after="210"/>
      <w:ind w:right="459"/>
    </w:pPr>
    <w:rPr>
      <w:color w:val="000000"/>
    </w:rPr>
  </w:style>
  <w:style w:type="paragraph" w:customStyle="1" w:styleId="Linebreak">
    <w:name w:val="Line break"/>
    <w:basedOn w:val="Normal"/>
    <w:link w:val="LinebreakChar"/>
    <w:qFormat/>
    <w:rsid w:val="00E41EEB"/>
    <w:pPr>
      <w:pBdr>
        <w:top w:val="single" w:sz="4" w:space="5" w:color="auto"/>
      </w:pBdr>
      <w:contextualSpacing/>
    </w:pPr>
    <w:rPr>
      <w:b/>
    </w:rPr>
  </w:style>
  <w:style w:type="character" w:customStyle="1" w:styleId="LinebreakChar">
    <w:name w:val="Line break Char"/>
    <w:basedOn w:val="DefaultParagraphFont"/>
    <w:link w:val="Linebreak"/>
    <w:rsid w:val="00E41EEB"/>
    <w:rPr>
      <w:rFonts w:ascii="Georgia" w:eastAsia="Times New Roman" w:hAnsi="Georgia"/>
      <w:b/>
      <w:sz w:val="20"/>
      <w:szCs w:val="18"/>
      <w:lang w:eastAsia="en-US"/>
    </w:rPr>
  </w:style>
  <w:style w:type="paragraph" w:customStyle="1" w:styleId="DocTitle">
    <w:name w:val="Doc Title"/>
    <w:basedOn w:val="Linebreak"/>
    <w:link w:val="DocTitleChar"/>
    <w:qFormat/>
    <w:rsid w:val="00E41EEB"/>
    <w:rPr>
      <w:color w:val="FA1E00"/>
    </w:rPr>
  </w:style>
  <w:style w:type="character" w:customStyle="1" w:styleId="DocTitleChar">
    <w:name w:val="Doc Title Char"/>
    <w:basedOn w:val="LinebreakChar"/>
    <w:link w:val="DocTitle"/>
    <w:rsid w:val="00E41EEB"/>
    <w:rPr>
      <w:rFonts w:ascii="Georgia" w:eastAsia="Times New Roman" w:hAnsi="Georgia"/>
      <w:b/>
      <w:color w:val="FA1E00"/>
      <w:sz w:val="20"/>
      <w:szCs w:val="18"/>
      <w:lang w:eastAsia="en-US"/>
    </w:rPr>
  </w:style>
  <w:style w:type="character" w:styleId="Mention">
    <w:name w:val="Mention"/>
    <w:basedOn w:val="DefaultParagraphFont"/>
    <w:uiPriority w:val="99"/>
    <w:rsid w:val="005F62CC"/>
    <w:rPr>
      <w:color w:val="2B579A"/>
      <w:shd w:val="clear" w:color="auto" w:fill="E1DFDD"/>
    </w:rPr>
  </w:style>
  <w:style w:type="paragraph" w:customStyle="1" w:styleId="Normal1">
    <w:name w:val="Normal1"/>
    <w:link w:val="Normal1Char"/>
    <w:rsid w:val="00AD4323"/>
    <w:pPr>
      <w:spacing w:after="0" w:line="240" w:lineRule="auto"/>
    </w:pPr>
    <w:rPr>
      <w:rFonts w:ascii="Times New Roman" w:eastAsia="Times New Roman" w:hAnsi="Times New Roman" w:cs="Times New Roman"/>
      <w:color w:val="000000"/>
      <w:sz w:val="24"/>
      <w:szCs w:val="24"/>
      <w:lang w:eastAsia="en-US"/>
    </w:rPr>
  </w:style>
  <w:style w:type="character" w:customStyle="1" w:styleId="Normal1Char">
    <w:name w:val="Normal1 Char"/>
    <w:basedOn w:val="DefaultParagraphFont"/>
    <w:link w:val="Normal1"/>
    <w:rsid w:val="00AD4323"/>
    <w:rPr>
      <w:rFonts w:ascii="Times New Roman" w:eastAsia="Times New Roman" w:hAnsi="Times New Roman" w:cs="Times New Roman"/>
      <w:color w:val="000000"/>
      <w:sz w:val="24"/>
      <w:szCs w:val="24"/>
      <w:lang w:eastAsia="en-US"/>
    </w:rPr>
  </w:style>
  <w:style w:type="character" w:styleId="UnresolvedMention">
    <w:name w:val="Unresolved Mention"/>
    <w:basedOn w:val="DefaultParagraphFont"/>
    <w:uiPriority w:val="99"/>
    <w:rsid w:val="0068164C"/>
    <w:rPr>
      <w:color w:val="605E5C"/>
      <w:shd w:val="clear" w:color="auto" w:fill="E1DFDD"/>
    </w:rPr>
  </w:style>
  <w:style w:type="table" w:customStyle="1" w:styleId="TableGrid1">
    <w:name w:val="Table Grid1"/>
    <w:basedOn w:val="TableNormal"/>
    <w:next w:val="TableGrid"/>
    <w:uiPriority w:val="39"/>
    <w:rsid w:val="00722529"/>
    <w:pPr>
      <w:spacing w:before="160" w:after="0" w:line="240" w:lineRule="auto"/>
    </w:pPr>
    <w:rPr>
      <w:rFonts w:eastAsiaTheme="minorHAnsi"/>
      <w:color w:val="7F7F7F"/>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karen.workman@cymoedd.ac.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leigh.hughes@felicitas-consultancy.co.uk"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package" Target="embeddings/Microsoft_Word_Document1.docx"/><Relationship Id="rId10" Type="http://schemas.openxmlformats.org/officeDocument/2006/relationships/settings" Target="settings.xml"/><Relationship Id="rId19"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dm:cachedDataManifest xmlns:cdm="http://schemas.microsoft.com/2004/VisualStudio/Tools/Applications/CachedDataManifest.xsd" cdm:revision="1"/>
</file>

<file path=customXml/item3.xml><?xml version="1.0" encoding="utf-8"?>
<ct:contentTypeSchema xmlns:ct="http://schemas.microsoft.com/office/2006/metadata/contentType" xmlns:ma="http://schemas.microsoft.com/office/2006/metadata/properties/metaAttributes" ct:_="" ma:_="" ma:contentTypeName="Document" ma:contentTypeID="0x010100F435C96DF1861540B352135167333E85" ma:contentTypeVersion="14" ma:contentTypeDescription="Create a new document." ma:contentTypeScope="" ma:versionID="cf415b9f7894842bcc0cfa1dacda2ebb">
  <xsd:schema xmlns:xsd="http://www.w3.org/2001/XMLSchema" xmlns:xs="http://www.w3.org/2001/XMLSchema" xmlns:p="http://schemas.microsoft.com/office/2006/metadata/properties" xmlns:ns2="7026da8a-83fa-4a58-9100-341f4c866374" xmlns:ns3="36f9e90e-0b81-4238-b554-7fd63d5e11f6" targetNamespace="http://schemas.microsoft.com/office/2006/metadata/properties" ma:root="true" ma:fieldsID="b69e69066756b8e93af790d86997436e" ns2:_="" ns3:_="">
    <xsd:import namespace="7026da8a-83fa-4a58-9100-341f4c866374"/>
    <xsd:import namespace="36f9e90e-0b81-4238-b554-7fd63d5e11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6da8a-83fa-4a58-9100-341f4c866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3d2c8be-d72f-4b94-8f30-53398adfdcc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f9e90e-0b81-4238-b554-7fd63d5e11f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a75e634-ec24-457e-a066-11280272d46a}" ma:internalName="TaxCatchAll" ma:showField="CatchAllData" ma:web="36f9e90e-0b81-4238-b554-7fd63d5e11f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ns30:Sources xmlns:r="http://schemas.openxmlformats.org/officeDocument/2006/relationships"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le>

<file path=customXml/item5.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6.xml><?xml version="1.0" encoding="utf-8"?>
<p:properties xmlns:p="http://schemas.microsoft.com/office/2006/metadata/properties" xmlns:xsi="http://www.w3.org/2001/XMLSchema-instance" xmlns:pc="http://schemas.microsoft.com/office/infopath/2007/PartnerControls">
  <documentManagement>
    <TaxCatchAll xmlns="36f9e90e-0b81-4238-b554-7fd63d5e11f6" xsi:nil="true"/>
    <lcf76f155ced4ddcb4097134ff3c332f xmlns="7026da8a-83fa-4a58-9100-341f4c866374">
      <Terms xmlns="http://schemas.microsoft.com/office/infopath/2007/PartnerControls"/>
    </lcf76f155ced4ddcb4097134ff3c332f>
  </documentManagement>
</p:properties>
</file>

<file path=customXml/item7.xml><?xml version="1.0" encoding="utf-8"?>
<n-document xmlns:xsd="http://www.w3.org/2001/XMLSchema" xmlns:xsi="http://www.w3.org/2001/XMLSchema-instance" guid="0" synced="true" validated="true">
  <n-docbody>
    <standard.doc precedenttype="agreement">
      <prelim>
        <product.name>product.name0</product.name>
        <title>Procurement Act 2023: invitation to tender</title>
        <author>
          <link href="http://uk.practicallaw.com/about/our-team/uk-public-sector" style="ACTLinkURL">
            <ital>Practical Law Public Sector</ital>
          </link>
        </author>
        <resource.type>Standard documents</resource.type>
        <juris>juris0</juris>
        <juris>juris1</juris>
      </prelim>
      <abstract>
        <para>
          <paratext>A standard invitation to tender (ITT) document that can be used by a contracting authority purchasing services using the competitive flexible procedure in accordance with the Procurement Act 2023.</paratext>
        </para>
        <para>
          <paratext>.</paratext>
        </para>
      </abstract>
      <toc.identifier hasToc="true"/>
      <body>
        <cover.sheet>
          <head align="left" preservecase="true">
            <headtext>Invitation to tender</headtext>
          </head>
        </cover.sheet>
        <operative xrefname="paragraph">
          <drafting.note id="a616979" jurisdiction="">
            <head align="left" preservecase="true">
              <headtext>About this document</headtext>
            </head>
            <division id="a000002" level="1">
              <para>
                <paratext>
                  This invitation to tender (ITT) is intended for use by public sector bodies for procurements that are regulated by the 
                  <link href="w-041-5998" style="ACTLinkPLCtoPLC">
                    <ital>Procurement Act 2023</ital>
                  </link>
                   (PA 2023). Specifically, the ITT assumes that the contracting authority is using the competitive flexible procedure to purchase services, though it could be adapted for use in goods and works procurements.
                </paratext>
              </para>
              <para>
                <paratext>This document contains public sector information licensed under the Open Government Licence v3.0.</paratext>
              </para>
              <division id="a915338" level="2">
                <head align="left" preservecase="true">
                  <headtext>Using this document</headtext>
                </head>
                <para>
                  <paratext>Contracting authorities have considerable flexibility when designing a competitive flexible procedure, so it is difficult to be prescriptive. No two procedures may look entirely the same. This ITT is therefore intended as a starting template for contracting authorities to populate and adapt to suit the specifics of any individual procurement.</paratext>
                </para>
                <para>
                  <paratext>
                    Depending on the contracting authority's intentions, some of sections in this ITT may not be relevant or may require amendment to suit how it is being used within the procurement design. For example, 
                    <internal.reference refid="a257729">
                      <ital>paragraph 2</ital>
                    </internal.reference>
                     gives an example timetable and stages within the procurement process, such as presentations, written submissions and site visits. But authorities may choose to structure their procurement differently, for example by inviting initial tenders and having a period of dialogue or negotiation, before inviting final tender submissions. Contracting authorities will therefore need to review and amend the ITT, as appropriate, to suit their procurement design.
                  </paratext>
                </para>
                <para>
                  <paratext>
                    While the ITT is intended for a competitive flexible procedure procurement, it could be adapted for use in the open procedure (
                    <link href="w-042-1582" style="ACTLinkPLCtoPLC">
                      <ital>section 12(2)(a)</ital>
                    </link>
                    <ital>, PA 2023</ital>
                    ). Authorities would need to ensure that they include any conditions of participation and questions relating to the assessment of these and supplier exclusions, as discussed in 
                    <link anchor="a798899" href="w-044-2332" style="ACTLinkPLCtoPLC">
                      <ital>Practice notes, Procurement Act 2023: competitive tendering procedures: Conditions of participation (CP)</ital>
                    </link>
                     and 
                    <link anchor="a427147" href="w-044-0905" style="ACTLinkPLCtoPLC">
                      <ital>Procurement Act 2023: supplier exclusion and debarment: Assessing exclusions: practical steps</ital>
                    </link>
                    .
                  </paratext>
                </para>
                <para>
                  <paratext>
                    For more on the open and competitive flexible procedures, see 
                    <link href="w-044-2332" style="ACTLinkPLCtoPLC">
                      <ital>Practice note, Procurement Act 2023: competitive tendering procedures</ital>
                    </link>
                    .
                  </paratext>
                </para>
                <para>
                  <paratext>The ITT could also be used as a starting point for:</paratext>
                </para>
                <list type="bulleted">
                  <list.item>
                    <para>
                      <paratext>
                        Below-threshold procurements (
                        <link href="w-044-2986" style="ACTLinkPLCtoPLC">
                          <ital>sections 81 to 88</ital>
                        </link>
                        <ital>, PA 2023</ital>
                        ). See 
                        <link href="w-044-4071" style="ACTLinkPLCtoPLC">
                          <ital>Practice note, Procurement Act 2023: below-threshold contracts.</ital>
                        </link>
                      </paratext>
                    </para>
                  </list.item>
                  <list.item>
                    <para>
                      <paratext>
                        Light touch procurements (
                        <link href="w-042-2050" style="ACTLinkPLCtoPLC">
                          <ital>section 9</ital>
                        </link>
                        <ital>, PA 2023</ital>
                        ). See 
                        <link href="w-044-2589" style="ACTLinkPLCtoPLC">
                          <ital>Practice note, Procurement Act 2023: utilities, concession and light touch contracts</ital>
                        </link>
                        .
                      </paratext>
                    </para>
                  </list.item>
                </list>
                <para>
                  <paratext>However, if using for light touch and below-threshold arrangements, contracting authorities should amend and adapt the standard document to ensure that it incorporates any specific requirements for such procurements or contracts as set out in the PA 2023.</paratext>
                </para>
              </division>
              <division id="a348953" level="2">
                <head align="left" preservecase="true">
                  <headtext>Drafting assumptions</headtext>
                </head>
                <para>
                  <paratext>This template ITT is drafted on the following assumptions:</paratext>
                </para>
                <list type="bulleted">
                  <list.item>
                    <para>
                      <paratext>
                        <bold>Competitive flexible procedure. </bold>
                        The contracting authority is used the competitive flexible procedure under the PA 2023.
                      </paratext>
                    </para>
                  </list.item>
                  <list.item>
                    <para>
                      <paratext>
                        <bold>Services.</bold>
                         The contracting authorities is seeking to appoint a services provider.
                      </paratext>
                    </para>
                  </list.item>
                  <list.item>
                    <para>
                      <paratext>
                        <bold>Initial tenders following short-listing. </bold>
                        The ITT is being sent to tenderers that have been short-listed to continue in the process following receipt of requests to participate and assessment. It assumes that tenderers will be asked to submit one written tender, with possible site visits and presentations.
                      </paratext>
                    </para>
                  </list.item>
                </list>
              </division>
            </division>
          </drafting.note>
          <clause id="a000003">
            <para>
              <paratext>
                <table frame="all" pgwide="1">
                  <tgroup cols="1">
                    <colspec colname="1" colnum="1" colwidth="100"/>
                    <tbody>
                      <row>
                        <entry valign="top">
                          <para align="center">
                            <paratext>NAME OF THE CONTRACTING AUTHORITY (AUTHORITY):</paratext>
                          </para>
                        </entry>
                      </row>
                      <row>
                        <entry valign="top">
                          <para align="center">
                            <paratext>TENDER FOR: [TITLE OF THE PROCUREMENT]:</paratext>
                          </para>
                        </entry>
                      </row>
                      <row>
                        <entry valign="top">
                          <para align="center">
                            <paratext>UNIQUE IDENTIFIER FOR THE PROCUREMENT</paratext>
                          </para>
                        </entry>
                      </row>
                      <row>
                        <entry valign="top">
                          <para align="center">
                            <paratext>TENDER RETURN DATE AND TIME (DEADLINE): [DATE AND TIME]</paratext>
                          </para>
                        </entry>
                      </row>
                    </tbody>
                  </tgroup>
                </table>
              </paratext>
            </para>
          </clause>
          <clause id="a1033551">
            <identifier>1.</identifier>
            <head align="left" preservecase="true">
              <headtext>Introduction and background</headtext>
            </head>
            <subclause1 id="a770563">
              <identifier>1.1</identifier>
              <para>
                <paratext>
                  <bold>Contents of the ITT</bold>
                </paratext>
              </para>
              <para>
                <paratext>
                  This invitation to tender (
                  <defn.term>ITT</defn.term>
                  ) comprises:
                </paratext>
              </para>
              <list type="bulleted">
                <list.item>
                  <para>
                    <paratext>Tender completion requirements, evaluation model, specification and schedules.</paratext>
                  </para>
                </list.item>
                <list.item>
                  <para>
                    <paratext>
                      [Draft contract (
                      <bold>Contract</bold>
                      ) and schedules.]
                    </paratext>
                  </para>
                </list.item>
                <list.item>
                  <para>
                    <paratext>[Technical and commercial questions.]</paratext>
                  </para>
                </list.item>
              </list>
            </subclause1>
            <subclause1 id="a293949">
              <identifier>1.2</identifier>
              <para>
                <paratext>
                  <bold>Introduction </bold>
                </paratext>
              </para>
              <para>
                <paratext>
                  The Authority is conducting the procurement using the competitive flexible procedure in accordance with the requirements of the Procurement Act 2023 (
                  <bold>PA 2023</bold>
                  ) for the purpose of procuring the services described in the Specification (
                  <defn.term>Services</defn.term>
                  ).
                </paratext>
              </para>
              <para>
                <paratext>
                  Interested parties completed the procurement specific questionnaire (
                  <bold>P</bold>
                  <defn.term>SQ</defn.term>
                  ), which sought responses in relation to their technical ability to perform the contract, and their legal and financial standing. The Authority evaluated the PSQ responses and selected the [NUMBER] highest ranking qualified candidates. This ITT should be completed by those suppliers (
                  <defn.term>Tenderers</defn.term>
                  ).
                </paratext>
              </para>
              <para>
                <paratext>
                  This ITT contains further information about the procurement process, including the timetable, how to submit a response (
                  <bold>Tender</bold>
                  ), and criteria by which Tenders will be judged (
                  <bold>Award Criteria</bold>
                  ).
                </paratext>
              </para>
              <para>
                <paratext>
                  <bold>Please read this document carefully, as failure to comply may result in exclusion from the procurement or rejection of a Tender.</bold>
                </paratext>
              </para>
            </subclause1>
            <subclause1 id="a926689">
              <identifier>1.3</identifier>
              <head align="left" preservecase="true">
                <headtext>Introduction to the Authority</headtext>
              </head>
              <drafting.note id="a655832" jurisdiction="">
                <head align="left" preservecase="true">
                  <headtext>Introduction to the authority</headtext>
                </head>
                <division id="a000004" level="1">
                  <para>
                    <paratext>This section of the ITT is an opportunity for the authority to sell itself to the supplier market. It should show that it has an understanding of the market and its drivers and, if there is restricted capacity in the market or another supply block, the authority should tailor its description of the services to appeal to the market.</paratext>
                  </para>
                  <para>
                    <paratext>
                      For information on consulting the market, see 
                      <link href="5-519-8003" style="ACTLinkPLCtoPLC">
                        <ital>Standard document, Procurement Act 2023: preliminary market engagement questions for the supplier market</ital>
                      </link>
                      .
                    </paratext>
                  </para>
                </division>
              </drafting.note>
              <para>
                <paratext>[DESCRIBE THE BACKGROUND TO THE AUTHORITY, AND ITS ACTIVITIES AND ORGANISATION. EXPLAIN THE AUTHORITY'S VISION, VALUES AND STRATEGIC OBJECTIVES]</paratext>
              </para>
            </subclause1>
            <subclause1 id="a240542">
              <identifier>1.4</identifier>
              <para>
                <paratext>
                  <bold>Overview of the Services requirements</bold>
                </paratext>
              </para>
              <drafting.note id="a867808" jurisdiction="">
                <head align="left" preservecase="true">
                  <headtext>Providing for future changes</headtext>
                </head>
                <division id="a000005" level="1">
                  <para>
                    <paratext>The authority should consider describing both its settled requirements, and those requirements that may become necessary during the life of the contract and which it may wish to include in the contract at a future date.</paratext>
                  </para>
                  <para>
                    <paratext>
                      <link href="w-042-1801" style="ACTLinkPLCtoPLC">
                        <ital>Section 74</ital>
                      </link>
                       of the PA 2023 permits public contracts to be varied on certain grounds, including where the modification was "unambiguously" provided for in the initial procurement documents, which may include price revision clauses or options, provided such clauses:
                    </paratext>
                  </para>
                  <list type="bulleted">
                    <list.item>
                      <para>
                        <paratext>State the scope and nature of possible modifications or options as well as the conditions under which they may be used.</paratext>
                      </para>
                    </list.item>
                    <list.item>
                      <para>
                        <paratext>Do not provide for modifications or options that would alter the overall nature of the contract.</paratext>
                      </para>
                    </list.item>
                  </list>
                  <para>
                    <paratext>
                      (
                      <ital>Section 74 and </ital>
                      <link href="w-042-2163" style="ACTLinkPLCtoPLC">
                        <ital>paragraph 1 of Schedule 8</ital>
                      </link>
                      <ital>, PA 2023</ital>
                      .)
                    </paratext>
                  </para>
                  <para>
                    <paratext>
                      For more information, see 
                      <link href="w-045-5725" style="ACTLinkPLCtoPLC">
                        <ital>Practice note, Procurement Act 2023: modifying contracts</ital>
                      </link>
                      .
                    </paratext>
                  </para>
                  <division id="a537822" level="2">
                    <head align="left" preservecase="true">
                      <headtext>Materialisation of a known risk</headtext>
                    </head>
                    <para>
                      <paratext>
                        Future variation is also permitted where a "known risk" materialises that jeopardises performance but could not, due to its nature, be identified in the contract at the outset. Reliance on the ground to modify a contract is subject to various cumulative conditions, including that the risk be identified in the tender notice, along within the possibility that it may lead to a contract modification. Where contracting authorities plan to reserve the right to rely on this modification ground, they may want to also refer to it or expand on it in any ITT, as well as the tender notice. For more information, see 
                        <link anchor="a938800" href="w-045-5725" style="ACTLinkPLCtoPLC">
                          <ital>Practice note, Procurement Act 2023: modifying contracts: Materialisation of a known risk</ital>
                        </link>
                        .
                      </paratext>
                    </para>
                  </division>
                </division>
              </drafting.note>
              <para>
                <paratext>[DETAILS OF SERVICE OBJECTIVES OR OUTCOMES]</paratext>
              </para>
              <drafting.note id="a884012" jurisdiction="">
                <head align="left" preservecase="true">
                  <headtext>Providing details of existing service or current arrangements</headtext>
                </head>
                <division id="a000006" level="1">
                  <para>
                    <paratext>It can be difficult to determine how much information to give about the existing service, particularly if the service is already outsourced and the information the authority wants to provide may be commercially sensitive to the incumbent supplier.</paratext>
                  </para>
                  <para>
                    <paratext>
                      <internal.reference refid="a437533">
                        <ital>Schedule 3</ital>
                      </internal.reference>
                       assumes that the authority is able to provide some detail of the current service levels.
                    </paratext>
                  </para>
                  <para>
                    <paratext>
                      The authority may take the view that it is entitled to disclose any information that it would be obliged to disclose if it received a request for the same under the 
                      <link href="4-505-6037" style="ACTLinkPLCtoPLC">
                        <ital>Freedom of Information Act 2000</ital>
                      </link>
                       (FOIA) (see 
                      <link href="0-200-9452" style="ACTLinkPLCtoPLC">
                        <ital>Practice note, Freedom of information</ital>
                      </link>
                      ). However, it should check whether any disclosure would breach any confidentiality obligations it has with its existing supplier and, if it is in any doubt, discuss its intentions with its existing supplier. If the authority receives a freedom of information (FOI) request relating to the contract, it could find itself in the unenviable position of breaching the contract or the FOIA. For more information see 
                      <link href="w-011-6127" style="ACTLinkPLCtoPLC">
                        <ital>Practice note, The application of FOIA exemptions and EIR exceptions to public procurement and public contracts information</ital>
                      </link>
                      .
                    </paratext>
                  </para>
                  <para>
                    <paratext>
                      For a standard clause covering disclosures of supplier information, see 
                      <link href="4-501-5075" style="ACTLinkPLCtoPLC">
                        <ital>Standard clause, Public sector boilerplate: Freedom of information</ital>
                      </link>
                      .
                    </paratext>
                  </para>
                </division>
              </drafting.note>
              <para>
                <paratext>[DETAILS OF CURRENT ARRANGEMENTS]</paratext>
              </para>
            </subclause1>
            <subclause1 id="a948100">
              <identifier>1.5</identifier>
              <para>
                <paratext>
                  <bold>Value of the contract</bold>
                </paratext>
              </para>
              <drafting.note id="a558688" jurisdiction="">
                <head align="left" preservecase="true">
                  <headtext>Specifying a contract value and pricing evaluation</headtext>
                </head>
                <division id="a000007" level="1">
                  <para>
                    <paratext>Contracting authorities may be reluctant to specify an anticipated contract price for fear of attracting bids that are above, at, or just below that value. However, the estimated contract value must be disclosed in the tender notice. And an anticipated price must be disclosed if bids are to be evaluated against it.</paratext>
                  </para>
                  <para>
                    <paratext>There are two common methods of evaluating price, though these two basic models have many variants:</paratext>
                  </para>
                  <list type="bulleted">
                    <list.item>
                      <para>
                        <paratext>The authority sets a benchmark price, with all bids scored on a comparative basis against that price.</paratext>
                      </para>
                    </list.item>
                    <list.item>
                      <para>
                        <paratext>No benchmark is set and the lowest bid price scores the maximum marks available for the pricing element. All other prices are awarded scores depending on what percentage the lowest price is of their price.</paratext>
                      </para>
                    </list.item>
                  </list>
                  <para>
                    <paratext>Where the authority has a fixed budget, it may want to state that bids exceeding a specified limit will be deemed non-compliant and will be rejected. Otherwise, it must rely on the award criteria to ensure it does not end up with a technically superior but unaffordable solution.</paratext>
                  </para>
                  <para>
                    <paratext>
                      For more on pricing evaluation, see 
                      <link anchor="a907132" href="2-386-8761" style="ACTLinkPLCtoPLC">
                        <ital>Practice note, PCR 2015: evaluation of tenders: Use of scoring model to evaluate price</ital>
                      </link>
                      . Although this practice note discusses the evaluation of tenders under the legislation that preceded the PA 2023, the content is equally relevant to PA 2023 procurements.
                    </paratext>
                  </para>
                  <para>
                    <paratext>The risk of encouraging bids that come in close to the specific value can be somewhat mitigated by:</paratext>
                  </para>
                  <list type="bulleted">
                    <list.item>
                      <para>
                        <paratext>Weighting the award criteria more on price than on the technical solution.</paratext>
                      </para>
                    </list.item>
                    <list.item>
                      <para>
                        <paratext>Including evaluation criteria relating to efficiencies and cost reduction.</paratext>
                      </para>
                    </list.item>
                  </list>
                  <para>
                    <paratext>
                      These criteria could either form part of the technical or the price evaluation, depending upon how they are phrased. The contract terms could also encourage efficiencies by operating a gain-share mechanism through which savings will be shared between the parties (for examples, see 
                      <link href="0-202-4551#a326019" style="ACTLinkPLCtoPLC">
                        <ital>Standard documents, Outsourcing agreement: long form: 15. Service improvement and technology refresh</ital>
                      </link>
                       and 
                      <link anchor="a675283" href="2-501-1525" style="ACTLinkPLCtoPLC">
                        <ital>Services agreement for use by public sector bodies: 18. Change control, benchmarking and continuous improvement</ital>
                      </link>
                      ).
                    </paratext>
                  </para>
                  <para>
                    <paratext>
                      If the authority proposes to use a life cycle costing approach to assessing value for money, it must provide details of its approach in the procurement documents (see 
                      <link anchor="a651340" href="2-386-8761" style="ACTLinkPLCtoPLC">
                        <ital>Practice note, PCR 2015: evaluation of tenders: Life cycle costing</ital>
                      </link>
                      ).
                    </paratext>
                  </para>
                </division>
              </drafting.note>
              <para>
                <paratext>The current service handles work to a value of £[AMOUNT] in [TIME FRAME].</paratext>
              </para>
              <para>
                <paratext>The anticipated value of the Services is approximately [DETAILS OF FORECAST SPEND].</paratext>
              </para>
              <para>
                <paratext>[DETAILS OF ANY ANTICIPATED SAVINGS.]</paratext>
              </para>
              <para>
                <paratext>Details of current expenditure or potential future uptake are given in good faith as a guide to past purchasing and current planning to assist you in submitting your Tender. They should not be interpreted as an undertaking to purchase any goods or services to any particular value and do not form part of the Contract.</paratext>
              </para>
            </subclause1>
            <subclause1 id="a296540">
              <identifier>1.6</identifier>
              <para>
                <paratext>
                  <bold>Contract duration</bold>
                </paratext>
              </para>
              <drafting.note id="a862963" jurisdiction="">
                <head align="left" preservecase="true">
                  <headtext>Contract term</headtext>
                </head>
                <division id="a000008" level="1">
                  <para>
                    <paratext>The appropriate duration of the contract is a key issue. Check that the term is appropriate for the particular service to optimise value for money. If the contract term will allow for extensions, be aware that tenderers are likely to propose cost models that are more favourable to the authority during the extension period and, therefore, encourage them to extend. In this way, savings may only be made in the latter years of the contract</paratext>
                  </para>
                </division>
              </drafting.note>
              <para>
                <paratext>
                  The Authority proposes to enter into one [or more] Contract(s) for a maximum period of [NUMBER] [months 
                  <bold>OR</bold>
                   years] with the successful Tenderer (
                  <defn.term>Service Provider</defn.term>
                  ).
                </paratext>
              </para>
              <para>
                <paratext>The anticipated service commencement date is [DATE].</paratext>
              </para>
            </subclause1>
            <subclause1 condition="optional" id="a429033">
              <identifier>1.7</identifier>
              <para>
                <paratext>
                  <bold>Lots</bold>
                </paratext>
              </para>
              <drafting.note id="a834465" jurisdiction="">
                <head align="left" preservecase="true">
                  <headtext>Lots (optional clause)</headtext>
                </head>
                <division id="a000009" level="1">
                  <para>
                    <paratext>
                      The authority may decide to divide the scope of the contract into different lots, for example, based on value or geographical area (
                      <link href="w-044-3708" style="ACTLinkPLCtoPLC">
                        <ital>section 18</ital>
                      </link>
                      <ital>, PA 2023</ital>
                      ). This approach is common where either:
                    </paratext>
                  </para>
                  <list type="bulleted">
                    <list.item>
                      <para>
                        <paratext>The subject of the contract does not lend itself to economies of scale.</paratext>
                      </para>
                    </list.item>
                    <list.item>
                      <para>
                        <paratext>The optimum conditions for such economies of scale are already met in the lots.</paratext>
                      </para>
                    </list.item>
                    <list.item>
                      <para>
                        <paratext>A single provider is unlikely to be able to absorb the volumes to be purchased under the contract.</paratext>
                      </para>
                    </list.item>
                    <list.item>
                      <para>
                        <paratext>The authority requires more than one provider for reasons of service continuity or choice.</paratext>
                      </para>
                    </list.item>
                  </list>
                  <para>
                    <paratext>
                      If the authority considers the contract could reasonably be subdivided into lots but decides not to do so, it must provide reasons for its decision (
                      <ital>section 18(2)(b), PA 2023</ital>
                      ).
                    </paratext>
                  </para>
                  <para>
                    <paratext>Although dividing the services in this way means the authority could end up managing a number of different contracts and (at worst) receiving a disjointed service, it may also permit smaller businesses to enter the market and provide the authority with a contingency should one of the contracts fail. All these considerations will contribute to an assessment of the model that represents best value for money to the authority.</paratext>
                  </para>
                  <para>
                    <paratext>It is worth remembering as well that the reduction of barriers to entry for small and medium-sized enterprises is one of the procurement objectives enshrined in section 12 of the PA 2023.</paratext>
                  </para>
                  <para>
                    <paratext>
                      If the authority does divide the contract into lots, it can limit the number of lots for which a single tenderer can bid (
                      <link href="w-042-1610" style="ACTLinkPLCtoPLC">
                        <ital>section 20(7)</ital>
                      </link>
                      <ital>, PA 2023</ital>
                      ). However, in doing so, contracting authorities may want to consider the risk of receiving multiple bids for one or more lots and few or no bids for less attractive lots. It may be more in keeping with the procurement objectives, and make more sense, to have a diversity of suppliers, and simply limit the number of lots that can be 
                      <bold>won</bold>
                       by one supplier.
                    </paratext>
                  </para>
                  <para>
                    <paratext>
                      <link href="w-044-3723" style="ACTLinkPLCtoPLC">
                        <ital>Regulation 18</ital>
                      </link>
                       of the Procurement Regulations 2024 (
                      <ital>SI 2024/692</ital>
                      ) (PR 2024) sets out the information that must be given when the contract is to be awarded by reference to lots. If the authority wishes to limit the number of lots a single tenderer can win, it should consider and specify how lots will be allocated in the event that a tenderer is the highest scorer for more lots than it is permitted to win. These rules must be transparent and non-discriminatory (
                      <link href="w-042-1582" style="ACTLinkPLCtoPLC">
                        <ital>section 12</ital>
                      </link>
                      <ital>, PA 2023</ital>
                      ).
                    </paratext>
                  </para>
                  <para>
                    <paratext>
                      Where the authority permits bidders to bid for a combination of lots, it should make this clear, and should consider its approach to evaluation carefully, particularly if it wants to enable tenderers to score marks for any additional benefits they can offer the authority, if the tenderer were to win more than one lot. The tender notice must disclose whether this is intended, and a summary of the criteria that the authority intends to apply (
                      <ital>regulation18(2)(p), PR 2024</ital>
                      ). Unless these issues are included in the evaluation criteria, which are disclosed to all tenderers, the authority must not consider them at the evaluation stage.
                    </paratext>
                  </para>
                </division>
              </drafting.note>
              <subclause2 id="a822641">
                <identifier>(a)</identifier>
                <para>
                  <paratext>
                    The Services have been divided into the following work packages (
                    <defn.term>Lots</defn.term>
                    ):
                  </paratext>
                </para>
                <subclause3 id="a380834">
                  <identifier>(i)</identifier>
                  <para>
                    <paratext>[DETAILS OF ANY LOTS]</paratext>
                  </para>
                </subclause3>
              </subclause2>
              <subclause2 condition="optional" id="a475141">
                <identifier>(b)</identifier>
                <para>
                  <paratext>Tenderers are invited to bid for [all or any of] the following Lots:</paratext>
                </para>
                <para>
                  <paratext>[DETAILS OF ANY LOTS AND ANY RESTRICTIONS ON THE NUMBER OF LOTS THAT A SINGLE TENDERER CAN WIN]</paratext>
                </para>
                <para>
                  <paratext>[Tenderers are asked to specify any financial benefit accruing to the Authority if the Tenderer is successful in its bid for more than one Lot.]</paratext>
                </para>
              </subclause2>
            </subclause1>
            <subclause1 id="a862650">
              <identifier>1.8</identifier>
              <para>
                <paratext>
                  <bold>Purpose and scope of this ITT</bold>
                </paratext>
              </para>
              <para>
                <paratext>This ITT:</paratext>
              </para>
              <list type="bulleted">
                <list.item>
                  <para>
                    <paratext>Asks Tenderers to submit their Tenders in accordance with the instructions set out in the remainder of this ITT.</paratext>
                  </para>
                </list.item>
                <list.item>
                  <para>
                    <paratext>Sets out the overall timetable and process for the procurement of Tenders.</paratext>
                  </para>
                </list.item>
                <list.item>
                  <para>
                    <paratext>Provides Tenderers with sufficient information to enable them to submit a compliant Tender (including providing templates where relevant).</paratext>
                  </para>
                </list.item>
                <list.item>
                  <para>
                    <paratext>
                      Sets out the Award Criteria and the model that will be used to evaluate the Tenders (
                      <bold>Tender Evaluation Model</bold>
                      ).
                    </paratext>
                  </para>
                </list.item>
                <list.item>
                  <para>
                    <paratext>Explains the administrative arrangements for the receipt of Tenders.</paratext>
                  </para>
                </list.item>
              </list>
            </subclause1>
            <subclause1 id="a817202">
              <identifier>1.9</identifier>
              <para>
                <paratext>
                  <bold>Requests for clarification </bold>
                </paratext>
              </para>
              <drafting.note id="a381320" jurisdiction="">
                <head align="left" preservecase="true">
                  <headtext>E-tendering portals</headtext>
                </head>
                <division id="a000010" level="1">
                  <para>
                    <paratext>The wording below assumes the authority is using an e-tendering tool to run the procurement and communicate with tenderers. However, the precise terminology should be checked for conformity with the specific e-tendering product being used.</paratext>
                  </para>
                </division>
              </drafting.note>
              <para>
                <paratext>
                  Any clarifications relating to this ITT must be submitted through the e-tendering portal (
                  <bold>Portal</bold>
                  ).
                </paratext>
              </para>
              <para>
                <paratext>
                  The Authority will respond to all reasonable clarifications as soon as possible through publishing the Tenderers' questions and the Authority's response to them on the Portal (
                  <defn.term>Clarifications Log</defn.term>
                  ).
                </paratext>
              </para>
              <para>
                <paratext>If a Tenderer wishes the Authority to treat a clarification as confidential and not issue the response to all Tenderers, it must state this when submitting the clarification. If, in the opinion of the Authority, the clarification is not confidential, the Authority will inform the Tenderer and it will have an opportunity to withdraw it. If the clarification is not withdrawn, the response will be issued to all Tenderers. If the original clarification is withdrawn, the Tenderer may either submit an amended request for the clarification to be treated as confidential, which would be considered by the Authority in the same manner as the original request, or raise a new request to be treated as a non-confidential request.</paratext>
              </para>
              <para>
                <paratext>
                  The deadline for receipt of clarifications relating to the Services or this ITT is set out in 
                  <internal.reference refid="a257729">
                    <ital>paragraph 2</ital>
                  </internal.reference>
                  . The Authority reserves the right not to answer any requests for clarification submitted after this date, or submitted via any means other than the Portal.
                </paratext>
              </para>
              <para>
                <paratext>Tenderers are advised not to rely on communications from the Authority in respect of the Services or ITT unless they are made in accordance with these instructions.</paratext>
              </para>
            </subclause1>
            <subclause1 id="a229730">
              <identifier>1.10</identifier>
              <para>
                <paratext>
                  <bold>Clarifications about the contents of the Tender</bold>
                </paratext>
              </para>
              <drafting.note id="a722375" jurisdiction="">
                <head align="left" preservecase="true">
                  <headtext>Clarifications</headtext>
                </head>
                <division id="a000011" level="1">
                  <para>
                    <paratext>
                      For information on clarifying tenders, see 
                      <link href="2-386-8761#a600050" style="ACTLinkPLCtoPLC">
                        <ital>Practice note, Evaluation of tenders: Clarification if bid is unclear</ital>
                      </link>
                      . Although this practice note discusses the evaluation of tenders under the legislation that preceded the PA 2023, much of its content is equally relevant to PA 2023 procurements.
                    </paratext>
                  </para>
                </division>
              </drafting.note>
              <para>
                <paratext>The Authority reserves the right (but is not obliged) to seek clarification of any aspect of a Tenderer's Tender during the evaluation phase where necessary for the purposes of carrying out a fair evaluation. Tenderers are asked to respond to such requests promptly. Vague or ambiguous answers are likely to score poorly or render the Tender non-compliant.</paratext>
              </para>
            </subclause1>
          </clause>
          <clause id="a257729">
            <identifier>2.</identifier>
            <head align="left" preservecase="true">
              <headtext>Tender Timetable</headtext>
            </head>
            <drafting.note id="a139128" jurisdiction="">
              <head align="left" preservecase="true">
                <headtext>Timetable</headtext>
              </head>
              <division id="a000012" level="1">
                <para>
                  <paratext>The timetable below contains entries for various possible stages in a competitive flexible procedure but will require review and tailoring for the specific procurement in hand. Not all stages will be relevant to every procurement, so authorities should add, delete and move stages depending on the design of their particular procedure. For example, an authority may wish to add in a stage for an ITT for initial tenders, move the presentation stage to earlier in the procedure, or delete the site visit stage.</paratext>
                </para>
              </division>
            </drafting.note>
            <subclause1 id="a977995">
              <identifier>2.1</identifier>
              <para>
                <paratext>
                  <bold>Key dates</bold>
                </paratext>
              </para>
              <para>
                <paratext>This procurement will follow a clear, structured and transparent process to ensure a fair and level playing field is maintained at all times, and that all Tenderers are treated equally.</paratext>
              </para>
              <para>
                <paratext>
                  The key dates for this procurement (
                  <defn.term>Timetable</defn.term>
                  ) are currently anticipated to be as follows:
                </paratext>
              </para>
              <para>
                <paratext>
                  <table frame="all" pgwide="1">
                    <tgroup cols="2">
                      <colspec colname="1" colnum="1" colwidth="50"/>
                      <colspec colname="2" colnum="2" colwidth="50"/>
                      <tbody>
                        <row>
                          <entry valign="top">
                            <para align="left">
                              <paratext>
                                <bold>Event</bold>
                              </paratext>
                            </para>
                          </entry>
                          <entry valign="top">
                            <para align="left">
                              <paratext>
                                <bold>Date</bold>
                              </paratext>
                            </para>
                          </entry>
                        </row>
                        <row>
                          <entry valign="top">
                            <para align="left">
                              <paratext>Notification of outcome of the PSQ evaluation and identification of Tenderers to receive the ITT</paratext>
                            </para>
                          </entry>
                          <entry valign="top">
                            <para align="left">
                              <paratext>[DATE]</paratext>
                            </para>
                          </entry>
                        </row>
                        <row>
                          <entry valign="top">
                            <para align="left">
                              <paratext>Notification of attendance at Tenderers' workshop</paratext>
                            </para>
                          </entry>
                          <entry valign="top">
                            <para align="left">
                              <paratext>[DATE]</paratext>
                            </para>
                          </entry>
                        </row>
                        <row>
                          <entry valign="top">
                            <para align="left">
                              <paratext>Tenderers' workshop</paratext>
                            </para>
                          </entry>
                          <entry valign="top">
                            <para align="left">
                              <paratext>[DATE], [TIME], [VENUE]</paratext>
                            </para>
                          </entry>
                        </row>
                        <row>
                          <entry valign="top">
                            <para align="left">
                              <paratext>Deadline for receipt of requests for clarification</paratext>
                            </para>
                          </entry>
                          <entry valign="top">
                            <para align="left">
                              <paratext>[DATE]</paratext>
                            </para>
                          </entry>
                        </row>
                        <row>
                          <entry valign="top">
                            <para align="left">
                              <paratext>Target date for responses to clarification requests</paratext>
                            </para>
                          </entry>
                          <entry valign="top">
                            <para align="left">
                              <paratext>[DATE]</paratext>
                            </para>
                          </entry>
                        </row>
                        <row>
                          <entry valign="top">
                            <para align="left">
                              <paratext>Notification of site visits and presentations</paratext>
                            </para>
                          </entry>
                          <entry valign="top">
                            <para align="left">
                              <paratext>[DATE]</paratext>
                            </para>
                          </entry>
                        </row>
                        <row>
                          <entry valign="top">
                            <para align="left">
                              <paratext>Deadline for receipt of Tenders</paratext>
                            </para>
                          </entry>
                          <entry valign="top">
                            <para align="left">
                              <paratext>[DATE], [TIME]</paratext>
                            </para>
                          </entry>
                        </row>
                        <row>
                          <entry valign="top">
                            <para align="left">
                              <paratext>Site visits</paratext>
                            </para>
                          </entry>
                          <entry valign="top">
                            <para align="left">
                              <paratext>[DATE]</paratext>
                            </para>
                          </entry>
                        </row>
                        <row>
                          <entry valign="top">
                            <para align="left">
                              <paratext>Presentations</paratext>
                            </para>
                          </entry>
                          <entry valign="top">
                            <para align="left">
                              <paratext>[DATE], [VENUE]</paratext>
                            </para>
                          </entry>
                        </row>
                        <row>
                          <entry valign="top">
                            <para align="left">
                              <paratext>Evaluation of Tenders</paratext>
                            </para>
                          </entry>
                          <entry valign="top">
                            <para align="left">
                              <paratext>[DATE]</paratext>
                            </para>
                          </entry>
                        </row>
                        <row>
                          <entry valign="top">
                            <para align="left">
                              <paratext>Publication of contract award notice</paratext>
                            </para>
                          </entry>
                          <entry valign="top">
                            <para align="left">
                              <paratext>[DATE]</paratext>
                            </para>
                          </entry>
                        </row>
                        <row>
                          <entry valign="top">
                            <para align="left">
                              <paratext>Notification of contract award decision to Tenderers and standstill period</paratext>
                            </para>
                          </entry>
                          <entry valign="top">
                            <para align="left">
                              <paratext>From [DATE] to [DATE]</paratext>
                            </para>
                          </entry>
                        </row>
                        <row>
                          <entry valign="top">
                            <para align="left">
                              <paratext>Confirm contract award</paratext>
                            </para>
                          </entry>
                          <entry valign="top">
                            <para align="left">
                              <paratext>[DATE]</paratext>
                            </para>
                          </entry>
                        </row>
                        <row>
                          <entry valign="top">
                            <para align="left">
                              <paratext>Contract start [and start of mobilisation period]</paratext>
                            </para>
                          </entry>
                          <entry valign="top">
                            <para align="left">
                              <paratext>[DATE]</paratext>
                            </para>
                          </entry>
                        </row>
                        <row>
                          <entry valign="top">
                            <para align="left">
                              <paratext>Target service commencement date</paratext>
                            </para>
                          </entry>
                          <entry valign="top">
                            <para align="left">
                              <paratext>[DATE]</paratext>
                            </para>
                          </entry>
                        </row>
                      </tbody>
                    </tgroup>
                  </table>
                </paratext>
              </para>
              <para>
                <paratext>Any changes to the procurement Timetable shall be notified to all Tenderers as soon as practicable.</paratext>
              </para>
            </subclause1>
            <subclause1 condition="optional" id="a562068">
              <identifier>2.2</identifier>
              <para>
                <paratext>
                  <bold>Tenderers' workshop</bold>
                </paratext>
              </para>
              <drafting.note id="a597547" jurisdiction="">
                <head align="left" preservecase="true">
                  <headtext>Tenderer' workshop (optional clause)</headtext>
                </head>
                <division id="a000013" level="1">
                  <para>
                    <paratext>To allow tenderers to put forward initial questions on the ITT, authorities may want to hold a bidders' conference or a supplier open day to which all tenderers are invited. This has the advantage for the authority of clarifying initial matters raised by tenderers in front of all suppliers at the same time. This will need to be carefully orchestrated and will inevitably mean that tenderers will find out which other tenderers have been shortlisted and are interested in responding. The authority should circulate the questions and answers raised at the Tenderers' workshop to all of the Tenderers after the event (particularly where a Tenderer may end up not being able to attend the workshop for whatever reason).</paratext>
                  </para>
                </division>
              </drafting.note>
              <para>
                <paratext>A workshop for Tenderers will be held as detailed in the Timetable. All Tenderers are recommended to attend. Please confirm who will be representing your organisation (name and status) by the above stated date in order for the Authority to make the appropriate arrangements.</paratext>
              </para>
              <para>
                <paratext>Please send any questions to the address for the Clarifications Log three days before the workshop to ensure they can be answered at the workshop.</paratext>
              </para>
              <para>
                <paratext>[The following [officers OR representatives] from the following departments will attend the workshop: [DETAILS, NAMES AND POSITIONS] OR Further details of the Tenderers' workshop shall be provided on confirmation of attendance].</paratext>
              </para>
            </subclause1>
            <subclause1 id="a894315">
              <identifier>2.3</identifier>
              <para>
                <paratext>
                  <bold>Deadline for receipt of Tenders</bold>
                </paratext>
              </para>
              <drafting.note id="a534351" jurisdiction="">
                <head align="left" preservecase="true">
                  <headtext>Electronic tendering systems</headtext>
                </head>
                <division id="a000014" level="1">
                  <para>
                    <paratext>It is important that the ITT provides clear instructions on the method and timing of tender submission. Suppliers may be unfamiliar with electronic tendering systems and may need additional support with, for example, uploading documents. It is wise to advise all Tenderers to leave enough time to submit their Tenders.</paratext>
                  </para>
                  <division id="a181489" level="2">
                    <head align="left" preservecase="true">
                      <headtext>Extending the deadline</headtext>
                    </head>
                    <para>
                      <paratext>
                        The authority may wish to extend the deadline where significant changes are made to the procurement documents (
                        <link href="w-042-1615" style="ACTLinkPLCtoPLC">
                          <ital>section 54(1)(d)</ital>
                        </link>
                        <ital>, PA 2023</ital>
                        ).
                      </paratext>
                    </para>
                    <para>
                      <paratext>The length of the extension should be proportionate to the nature and complexity of the change.</paratext>
                    </para>
                  </division>
                </division>
              </drafting.note>
              <para>
                <paratext>
                  Responses to this ITT must arrive at the address and in the manner prescribed under 
                  <internal.reference refid="a103584">
                    <ital>paragraph 3.1</ital>
                  </internal.reference>
                   no later than the Deadline.
                </paratext>
              </para>
              <para>
                <paratext>Any Tender received after the Deadline shall not be opened or considered, unless there are exceptional mitigating circumstances such as a technical failure in connection with the Portal, which shall be considered by the Authority in its absolute discretion.</paratext>
              </para>
              <para>
                <paratext>The Authority may, however, in its own absolute discretion extend the Deadline and in such circumstances the Authority will notify all Tenderers of any change.</paratext>
              </para>
            </subclause1>
            <subclause1 id="a369628">
              <identifier>2.4</identifier>
              <para>
                <paratext>
                  <bold>References</bold>
                </paratext>
              </para>
              <drafting.note id="a703392" jurisdiction="">
                <head align="left" preservecase="true">
                  <headtext>References</headtext>
                </head>
                <division id="a000015" level="1">
                  <para>
                    <paratext>References verifying a bidder's past experience (a condition of participation, rather than an award criterion) should be obtained at the PSQ stage.</paratext>
                  </para>
                  <para>
                    <paratext>
                      However, references may be relevant at award stage to support the Tenderers' written submissions (that is, evidence that their solutions are deliverable). For more information, see 
                      <internal.reference refid="a178652">
                        <ital>Drafting note, Presentations (optional clause)</ital>
                      </internal.reference>
                      <ital>.</ital>
                    </paratext>
                  </para>
                  <para>
                    <paratext>
                      For more information on the distinction between conditions of participation and award criteria, see 
                      <link anchor="a798899" href="w-044-2332" style="ACTLinkPLCtoPLC">
                        <ital>Practice note, Procurement Act 2023: competitive tendering procedures: Conditions of participation</ital>
                      </link>
                      .
                    </paratext>
                  </para>
                </division>
              </drafting.note>
              <para>
                <paratext>Tenderers are requested to supply [NUMBER] references. References will be used to verify the technical proposals put forward in the Tender and will not be scored.</paratext>
              </para>
              <para>
                <paratext>[The Authority reserves the right to seek references from any of the Tenderer's customers, including the Authority, whether or not the Tenderer has listed such customers as referees.]</paratext>
              </para>
            </subclause1>
            <subclause1 condition="optional" id="a525285">
              <identifier>2.5</identifier>
              <para>
                <paratext>
                  <bold>Site visits</bold>
                </paratext>
              </para>
              <drafting.note id="a873361" jurisdiction="">
                <head align="left" preservecase="true">
                  <headtext>Site visits and presentations (optional clause)</headtext>
                </head>
                <division id="a000016" level="1">
                  <para>
                    <paratext>Site visits can be used to score specific criteria (provided this is not an assessment of the tenderers' past experience) or to moderate written scores.</paratext>
                  </para>
                  <para>
                    <paratext>The authority may want to visit sites or hear presentations from only those tenderers who stand a chance of winning the work, following evaluation of their written submissions. However, there is potentially some legal risk attached to this approach. There are three possibilities:</paratext>
                  </para>
                  <list type="bulleted">
                    <list.item>
                      <para>
                        <paratext>The authority visits sites or hears presentations from all tenderers.</paratext>
                      </para>
                    </list.item>
                    <list.item>
                      <para>
                        <paratext>The authority invites only the top scorers who are way ahead of their competitors to proceed. The risk of challenge is likely to be low if the authority rejects only those tenderers who are so far behind their competitors that even if they scored maximum available marks for this part of the process, they could not win.</paratext>
                      </para>
                    </list.item>
                    <list.item>
                      <para>
                        <paratext>Alternatively, the authority may want to impose a cut-off, for example, that it reserves the right to take only the top three scoring tenderers through (irrespective of how close their scores are) to a second round of assessment.</paratext>
                      </para>
                    </list.item>
                  </list>
                  <para>
                    <paratext>Presentations and site visits are not, in themselves, evaluation criteria. They can be used to evaluate technical criteria and, if so, these should be specified. Alternatively, they can also be used to moderate the written submissions and attract no separate marks. Either way, the authority must specify how the presentations or site visits are being used and which of the evaluation criteria will be scored or moderated in this way.</paratext>
                  </para>
                  <para>
                    <paratext>If the authority chooses to only visit sites or hear presentations from the top-scoring tenderers, it must ensure that:</paratext>
                  </para>
                  <list type="bulleted">
                    <list.item>
                      <para>
                        <paratext>If the site visits or presentations attract specific marks, all those tenderers who could have a chance of winning the work are invited (taking into account that the lowest-scoring tenderers following evaluation of the written submission may score highly and the highest-scoring tenderers poorly).</paratext>
                      </para>
                    </list.item>
                    <list.item>
                      <para>
                        <paratext>If the site visits or presentations are used to moderate specific marks, all those tenderers who could have a chance of winning the work are invited (taking into account that the scores of the lowest-scoring tenderers could be moderated upwards and the highest scoring tenderers downwards). This exercise is further complicated if a large number of criteria are capable of moderation.</paratext>
                      </para>
                    </list.item>
                  </list>
                  <para>
                    <paratext>If the presentations or site visits attract their own marks, the marks from the written submission can be added to those allocated for the site visits or presentation to provide the overall score.</paratext>
                  </para>
                </division>
              </drafting.note>
              <para>
                <paratext>All Tenderers are asked to make available [NUMBER] site[s] [as identified in your response to the PSQ]. The site visits will be required to [score the Evaluation Criteria as OR moderate the scores obtained from your written submissions on the Evaluation Criteria] identified in the Tender Evaluation Model.</paratext>
              </para>
              <para>
                <paratext>Site visits are planned to take place on the dates set out in the Timetable. You should keep these dates free in case you are asked to make a site available.</paratext>
              </para>
              <para>
                <paratext>[The Authority reserves the right to visit the sites of the top [NUMBER] scoring Tenderers or more, although, where the scores which are being [evaluated OR moderated] by the visits are close enough that the [evaluation OR moderation] could make a difference to the contract award, the authority will visit all relevant Tenderers' sites.]</paratext>
              </para>
            </subclause1>
            <subclause1 condition="optional" id="a620646">
              <identifier>2.6</identifier>
              <para>
                <paratext>
                  <bold>Software or product demonstration</bold>
                </paratext>
              </para>
              <drafting.note id="a161709" jurisdiction="">
                <head align="left" preservecase="true">
                  <headtext>Software or product demonstration (optional clause)</headtext>
                </head>
                <division id="a000017" level="1">
                  <para>
                    <paratext>The wording below can be adapted for use where the tenderers must carry out a demonstration of software or other product, rather than provide access to a site.</paratext>
                  </para>
                </division>
              </drafting.note>
              <para>
                <paratext>
                  You will need to include a demonstration of the [software] solution proposed for the Contract [as part of the site visit (see 
                  <internal.reference refid="a535827">
                    <ital>paragraph 4</ital>
                  </internal.reference>
                   for more information)].
                </paratext>
              </para>
            </subclause1>
            <subclause1 condition="optional" id="a364657">
              <identifier>2.7</identifier>
              <para>
                <paratext>
                  <bold>Presentations</bold>
                </paratext>
              </para>
              <drafting.note id="a178652" jurisdiction="">
                <head align="left" preservecase="true">
                  <headtext>Presentations (optional clause)</headtext>
                </head>
                <division id="a000018" level="1">
                  <para>
                    <paratext>
                      For information on presentations and evaluation, see 
                      <internal.reference refid="a873361">
                        <ital>Drafting note, Site visits and presentations (optional clause)</ital>
                      </internal.reference>
                      <ital> (optional clause)</ital>
                      .
                    </paratext>
                  </para>
                  <para>
                    <paratext>The authority must notify tenderers of the criteria that will be evaluated or moderated at the presentation. However, they are not required to issue specific questions before the presentation.</paratext>
                  </para>
                </division>
              </drafting.note>
              <para>
                <paratext>A maximum of the [top three scoring OR [NUMBER]] Tenderers will be invited to deliver a presentation to representatives of the Authority [and other organisations as appropriate] in support of their Tenders, as set out in the Timetable. You should keep this date free in case you are asked to attend.</paratext>
              </para>
              <para>
                <paratext>The presentations will be used to [evaluate the Evaluation Criteria OR moderate the written submissions for the Evaluation Criteria] specified in the Tender Evaluation Model.</paratext>
              </para>
              <para>
                <paratext>[The panel will consist of the following [officers OR representatives] from the following departments: [DETAILS, NAMES OR POSITIONS].</paratext>
              </para>
              <para>
                <paratext>
                  <bold>OR</bold>
                </paratext>
              </para>
              <para>
                <paratext>The names and positions of those attending from the Authority will be notified to all Tenderers in advance of the presentation.]</paratext>
              </para>
              <para>
                <paratext>[Topics for discussion for the presentation will be issued no later than [NUMBER] days before the presentation.]</paratext>
              </para>
            </subclause1>
            <subclause1 id="a639810">
              <identifier>2.8</identifier>
              <para>
                <paratext>
                  <bold>Contract award</bold>
                </paratext>
              </para>
              <drafting.note id="a207531" jurisdiction="">
                <head align="left" preservecase="true">
                  <headtext>Standstill period</headtext>
                </head>
                <division id="a000019" level="1">
                  <para>
                    <paratext>
                      The standstill period must be at least eight working days, starting with the day on which the contract award notice is published. Contracting authorities can adopt a longer period if desired (
                      <link href="w-042-2056" style="ACTLinkPLCtoPLC">
                        <ital>section 51</ital>
                      </link>
                      <ital>, PA 2023</ital>
                      ). In calculating the period of eight working days, contracting authorities must discount weekends and any day that is a bank holiday in 
                      <bold>any part</bold>
                       of the United Kingdom. For more information on the standstill period, see 
                      <link anchor="a731392" href="w-044-2332" style="ACTLinkPLCtoPLC">
                        <ital>Practice note, Procurement Act 2023: competitive tendering procedures: Standstill</ital>
                      </link>
                      .
                    </paratext>
                  </para>
                </division>
              </drafting.note>
              <para>
                <paratext>The Authority may award Contract(s) on the basis of a [Tender] submitted in accordance with the instructions below.</paratext>
              </para>
              <para>
                <paratext>Contract award is subject to the formal approval process of the Authority. Until all necessary approvals are obtained, a contract award notice published and the standstill period completed, no Contract(s) will be entered into.</paratext>
              </para>
              <para>
                <paratext>Once the Authority has reached a decision in respect of a contract award, it will notify all bidders of that decision and provide for a standstill period in accordance with the PA 2023 before entering into any Contract(s).</paratext>
              </para>
            </subclause1>
            <subclause1 id="a177160">
              <identifier>2.9</identifier>
              <para>
                <paratext>
                  <bold>Debrief</bold>
                </paratext>
              </para>
              <drafting.note id="a345128" jurisdiction="">
                <head align="left" preservecase="true">
                  <headtext>Debriefing requirements</headtext>
                </head>
                <division id="a000020" level="1">
                  <para>
                    <paratext>
                      For more information on what is required in the debrief, see 
                      <link anchor="a933507" href="w-044-2332" style="ACTLinkPLCtoPLC">
                        <ital>Practice note, Procurement Act 2023: competitive tendering procedures: Assessment summaries</ital>
                      </link>
                      .
                    </paratext>
                  </para>
                </division>
              </drafting.note>
              <para>
                <paratext>An assessment summary will be sent to each Tenderer. In its assessment summary the successful Tenderer will be told the scores it received against each award criterion and the reasons for those scores. Each unsuccessful Tenderer will receive its own scores and reasons for those scores, plus the equivalent information for the successful Tenderer.</paratext>
              </para>
            </subclause1>
          </clause>
          <clause id="a803841">
            <identifier>3.</identifier>
            <head align="left" preservecase="true">
              <headtext>Tender completion information</headtext>
            </head>
            <subclause1 id="a103584">
              <identifier>3.1</identifier>
              <para>
                <paratext>
                  <bold>Formalities</bold>
                </paratext>
              </para>
              <para>
                <paratext>[All documents comprising the Tender must be completed and uploaded to the Portal by [DATE] [TIME] [Deadline.]</paratext>
              </para>
              <para>
                <paratext>[INSERT ANY REQUIREMENTS SPECIFIC TO AUTHORITY'S E-TENDERING TOOL.]</paratext>
              </para>
              <para>
                <paratext>[The following requirements must be adhered to when submitting Tenders:</paratext>
              </para>
              <list type="bulleted">
                <list.item>
                  <para>
                    <paratext>The pages of the Tender documents must be numbered sequentially as "Page [x] of [xx]" and include the date and title of the document on each page of the main body.</paratext>
                  </para>
                </list.item>
                <list.item>
                  <para>
                    <paratext>Any additional pre-existing material that is necessary to support the Tender should be included as schedules with cross-references to this material in the main body of the Tender. Cross-references to this ITT should also be included in the Tender whenever this is relevant.</paratext>
                  </para>
                </list.item>
                <list.item>
                  <para>
                    <paratext>Where documents are embedded within other documents, Tenderers must upload separate copies of the embedded documents.</paratext>
                  </para>
                </list.item>
                <list.item>
                  <para>
                    <paratext>The Tender must be in English and drafted in accordance with the drafting guidance set out in this ITT.</paratext>
                  </para>
                </list.item>
                <list.item>
                  <para>
                    <paratext>A table of contents must be provided.</paratext>
                  </para>
                </list.item>
                <list.item>
                  <para>
                    <paratext>The Tender must be fully cross-referenced.</paratext>
                  </para>
                </list.item>
                <list.item>
                  <para>
                    <paratext>A list of supporting material must be supplied.</paratext>
                  </para>
                </list.item>
                <list.item>
                  <para>
                    <paratext>Tenderers should use [FONT TYPE AND SIZE].</paratext>
                  </para>
                </list.item>
                <list.item>
                  <para>
                    <paratext>Line spacing must be [SPACING SIZE] or more.</paratext>
                  </para>
                </list.item>
              </list>
              <para>
                <paratext>The Tender must be clear, concise and complete. The Authority reserves the right to mark a Tenderer down or exclude it from the procurement if its Tender contains any ambiguities or caveats or lacks clarity. Tenderers should submit only such information as is necessary to respond effectively to this ITT. Tenders will be evaluated on the basis of information submitted by the Deadline.</paratext>
              </para>
              <para>
                <paratext>
                  The Tenderer must upload a duly executed Form of Tender (
                  <internal.reference refid="a737736">
                    <ital>Schedule 12</ital>
                  </internal.reference>
                  ). Where the Tenderer is a company, the Tender must be signed by a duly authorised representative of that company. Where the Tenderer is a consortium, the Tender must be signed by the lead authorised representative of the consortium, which organisation shall be responsible for the performance of the Contract. In the case of a partnership, all the partners should sign or, alternatively, one only may sign, in which case they must have and should state that they have authority to sign on behalf of the other partner(s). The names of all the partners should be given in full together with the trading name of the partnership. In the case of a sole trader, they should sign and give their name in full together with the name under which they are trading.
                </paratext>
              </para>
            </subclause1>
            <subclause1 condition="optional" id="a878554">
              <identifier>3.2</identifier>
              <para>
                <paratext>
                  <bold>Executive summary</bold>
                </paratext>
              </para>
              <drafting.note id="a315737" jurisdiction="">
                <head align="left" preservecase="true">
                  <headtext>Executive summary</headtext>
                </head>
                <division id="a000021" level="1">
                  <para>
                    <paratext>Executive summaries of the Tender or covering letters will not be required in every case.</paratext>
                  </para>
                </division>
              </drafting.note>
              <para>
                <paratext>Each Tenderer must also provide an executive summary of its Tender. Each Tenderer must include in its executive summary:</paratext>
              </para>
              <list type="bulleted">
                <list.item>
                  <para>
                    <paratext>An outline of the way in which the Authority's requirements are to be met by its proposal.</paratext>
                  </para>
                </list.item>
                <list.item>
                  <para>
                    <paratext>A summary of all the services offered by the Tenderer in response to the ITT.</paratext>
                  </para>
                </list.item>
                <list.item>
                  <para>
                    <paratext>An overview of the Tenderer's overall costs and proposals in relation to pricing.</paratext>
                  </para>
                </list.item>
                <list.item>
                  <para>
                    <paratext>A clear statement of whether it is a consortium or similar.</paratext>
                  </para>
                </list.item>
                <list.item>
                  <para>
                    <paratext>A clear statement of the Tenderer's commitment to meet the Authority's requirements and the pricing, payment and performance model.</paratext>
                  </para>
                </list.item>
                <list.item>
                  <para>
                    <paratext>Confirmation that the Tender(s) will remain open for a period of [NUMBER] days.</paratext>
                  </para>
                </list.item>
                <list.item>
                  <para>
                    <paratext>Written confirmation of no adverse change since the PSQ stage in its financial standing and any other information provided at that stage.</paratext>
                  </para>
                </list.item>
                <list.item>
                  <para>
                    <paratext>Notification of any change in control, composition or membership (if any) that has taken place after the Tenderer's submission of its expression of interest.</paratext>
                  </para>
                </list.item>
                <list.item>
                  <para>
                    <paratext>[Any other requirements of the Authority (for example, certificates of non-collusion, non-canvassing and so on).]</paratext>
                  </para>
                </list.item>
              </list>
              <para>
                <paratext>If changes subsequently occur in relation to the statements set out in the executive summary, the Tenderer must promptly notify the Authority of them. The Authority reserves the right to disqualify any Tenderer that fails to notify the Authority. Tenderers are also reminded of the eligibility requirements that apply to the procurement process at all times. In particular, these include the exclusion provisions set out in sections 26 to 31 and Schedules 6 and 7 to the PA 2023, and the minimum standards set out in the PSQ. Any change in the eligibility of a Tenderer must be notified immediately to the Authority in writing and may result in that Tenderer being disqualified from any further participation in the procurement process.</paratext>
              </para>
            </subclause1>
            <subclause1 id="a348295">
              <identifier>3.3</identifier>
              <para>
                <paratext>
                  <bold>Submission of Tenders</bold>
                </paratext>
              </para>
              <para>
                <paratext>Each Tenderer:</paratext>
              </para>
              <list type="bulleted">
                <list.item>
                  <para>
                    <paratext>Must submit one Tender [in respect of each Lot that the Tenderer has been invited to respond to by the Authority and for which it wishes to make a bid].</paratext>
                  </para>
                </list.item>
                <list.item>
                  <para>
                    <paratext>[May submit one or more Tenders in respect of one or more combinations of Lots showing any financial benefits accruing to the Authority if the Tenderer were to win more than one Lot.]</paratext>
                  </para>
                </list.item>
              </list>
              <para>
                <paratext>
                  [The 
                  <bold>OR</bold>
                   Each] Tender must meet the Authority's minimum requirements, operate as a standalone bid and not be dependent on any other bid or any other factors external to the Tender itself. That is, [the 
                  <bold>OR</bold>
                   each] Tender must be capable of being accepted by the Authority in its own right.
                </paratext>
              </para>
            </subclause1>
            <subclause1 id="a305014">
              <identifier>3.4</identifier>
              <para>
                <paratext>
                  <bold>Contract</bold>
                </paratext>
              </para>
              <drafting.note id="a315279" jurisdiction="">
                <head align="left" preservecase="true">
                  <headtext>Evaluating the response to the contract terms</headtext>
                </head>
                <division id="a000022" level="1">
                  <para>
                    <paratext>This section of the template assumes that the authority is issuing a draft contract at this stage, and that its terms are non-negotiable. However, it is also possible to permit tenderers to mark up the draft contract. The authority then scores the commercial acceptability or risk allocation of the amended contract as part of the evaluation.</paratext>
                  </para>
                  <para>
                    <paratext>The potential problem with the latter approach is that a bidder may submit amendments to the terms that are unacceptable to the authority. Unless the authority reserves for itself the discretion to reject such a bid as non-compliant, it may be obliged to award the contract to that Tenderer, if its Tender otherwise represents best value for money. Alternatively, if the authority requires bids to be rejected as non-compliant where the contract has been marked up, this may have the effect of rejecting a good Tenderer who failed to understand the process and used the mark-up as a first attempt to engage in a negotiation.</paratext>
                  </para>
                  <para>
                    <paratext>It is, therefore, simpler, especially for straightforward contracts, for the authority to impose contract terms that are reasonable and reflect industry norms. If there are any significant difficulties with the Tenderers accepting those terms, they can raise the issue through the clarification process.</paratext>
                  </para>
                  <para>
                    <paratext>
                      For more information, see 
                      <link href="2-386-8761" style="ACTLinkPLCtoPLC">
                        <ital>Practice note, Evaluation of tenders; Evaluation of terms and conditions</ital>
                      </link>
                       (this practice note discusses the evaluation of tenders under the legislation that preceded the PA 2023, but contains material that is equally relevant to PA 2023 procurements).
                    </paratext>
                  </para>
                </division>
              </drafting.note>
              <para>
                <paratext>
                  The draft Contract that the Authority proposes to use is attached at 
                  <internal.reference refid="a472790">
                    <ital>Schedule 1</ital>
                  </internal.reference>
                  . By submitting a Tender, Tenderers are agreeing to be bound by the terms of this ITT and the Contract without further negotiation or amendment.
                </paratext>
              </para>
              <para>
                <paratext>
                  If the terms of the Contract render the proposals in the Tenderer's Tender unworkable, the Tenderer should submit a clarification in accordance with 
                  <internal.reference refid="a817202">
                    <ital>paragraph 1.9</ital>
                  </internal.reference>
                   and the Authority will consider whether any amendment to the Contract is required. Any amendments shall be published through the Clarifications Log and shall apply to all Tenderers. Where both the amendment and the original drafting are acceptable and workable to the Authority, the Authority shall publish the amendment as an alternative to the original drafting. Tenderers should indicate if they prefer the amendment; otherwise the original drafting shall apply. Any amendments that are proposed but not approved by the Authority through this process will not be acceptable and may be construed as a rejection of the terms, leading to the disqualification of the Tender.
                </paratext>
              </para>
            </subclause1>
            <subclause1 id="a966830">
              <identifier>3.5</identifier>
              <para>
                <paratext>
                  <bold>Documents forming the Contract</bold>
                </paratext>
              </para>
              <drafting.note id="a708697" jurisdiction="">
                <head align="left" preservecase="true">
                  <headtext>Documents forming the contract</headtext>
                </head>
                <division id="a000023" level="1">
                  <para>
                    <paratext>
                      The ITT envisages that its schedules will be included as schedules to the eventual contract, where relevant (see 
                      <link href="2-501-1525" style="ACTLinkPLCtoPLC">
                        <ital>Standard document, Services agreement for use by public sector bodies</ital>
                      </link>
                      ). The authority may also want to make the following information available to tenderers, where relevant:
                    </paratext>
                  </para>
                  <list type="bulleted">
                    <list.item>
                      <para>
                        <paratext>
                          <bold>Information about the current service. </bold>
                          This information enables the tenderers to understand the existing service. Except where it is included in the specification for the new contract, it should not form part of the final contract (see 
                          <internal.reference refid="a884012">
                            <ital>Drafting note, Providing details of existing service or current arrangements</ital>
                          </internal.reference>
                          .)
                        </paratext>
                      </para>
                    </list.item>
                    <list.item>
                      <para>
                        <paratext>
                          <bold>Site plans.</bold>
                           For inclusion in the final contract, if relevant.
                        </paratext>
                      </para>
                    </list.item>
                    <list.item>
                      <para>
                        <paratext>
                          <bold>Asset list.</bold>
                           For inclusion in the final contract if any authority or incumbent supplier assets are being transferred to or otherwise made available for use by the service provider.
                        </paratext>
                      </para>
                    </list.item>
                    <list.item>
                      <para>
                        <paratext>
                          <bold>Contracts list.</bold>
                           For inclusion in the final contract if any authority or incumbent supplier contracts (for example, software licences) are being assigned or novated to the new supplier.
                        </paratext>
                      </para>
                    </list.item>
                    <list.item>
                      <para>
                        <paratext>
                          <bold>Applicable policies.</bold>
                           The authority should include with the ITT any relevant policies that it requires the service provider to comply with (for example, on data security or health and safety). These policies will be incorporated into the final contract.
                        </paratext>
                      </para>
                    </list.item>
                    <list.item>
                      <para>
                        <paratext>
                          <bold>Commercially sensitive information.</bold>
                           The authority may give the tenderers the opportunity to identify their commercially sensitive information. Although the authority does not agree to keep the information confidential, it provides the authority with guidance on when it should consult the tenderer before disclosing any of the information supplied by it, where the authority is responding to an FOI request. This list may form part of the final contract. It may not be convenient to list commercially sensitive information in contracts, as such lists may soon be out of date. It may be preferable for the parties to agree to consult one another if an FOI request is received for any information that could reasonably be viewed as commercially sensitive. For more information, see 
                          <link href="w-011-6127" style="ACTLinkPLCtoPLC">
                            <ital>Practice note, The application of FOIA exemptions and EIR exceptions to public procurement and public contracts information</ital>
                          </link>
                          .
                        </paratext>
                      </para>
                    </list.item>
                    <list.item>
                      <para>
                        <paratext>
                          <bold>Deed of guarantee.</bold>
                           If the authority requires a guarantee, this will be included as a schedule to the final contract. For more information, see 
                          <link href="3-203-0923" style="ACTLinkPLCtoPLC">
                            <ital>Standard document, Parent company guarantee (outsourcing)</ital>
                          </link>
                          .
                        </paratext>
                      </para>
                    </list.item>
                    <list.item>
                      <para>
                        <paratext>
                          <bold>Provisional list of employees who may transfer under TUPE</bold>
                          , which should also be provided if the new service triggers a TUPE transfer under the 
                          <link href="2-505-5915" style="ACTLinkPLCtoPLC">
                            <ital>Transfer of Undertakings (Protection of Employment) Regulations 2006</ital>
                          </link>
                           (
                          <ital>SI 2006/246</ital>
                          ). A final list will be included in the final contract. However, the authority may not wish or be able to provide full details of the workforce at the date the tender notice is published. In that case, the authority should at least provide outline information. If the information is being withheld for reasons of confidentiality, the authority must inform tenderers about access arrangements. (If the transferring employees are former public sector employees, the draft contract should also include information about their current pension scheme and its conditions of participation, such as a draft admission agreement and, if necessary, a bond agreement.) This provisional list of transferring employees should be updated before the transfer date and the final list should be included in the contract.
                        </paratext>
                      </para>
                    </list.item>
                  </list>
                  <division id="a306741" level="2">
                    <head align="left" preservecase="true">
                      <headtext>Specification</headtext>
                    </head>
                    <para>
                      <paratext>
                        In the specification, the authority should set out the detailed requirements for (each of) the services. The more detail that can be included, the more comprehensive a response the authority is likely to receive from each tenderer and the easier it will be to compare tenderers' responses on a like-for-like basis. There is often a balancing act between wanting to be provided with a comprehensive and detailed proposal on the one hand, without defining and pre-determining the solution on the other. For information on specifications, see 
                        <link href="5-542-5406" style="ACTLinkPLCtoPLC">
                          <ital>Practice note, Drafting specifications for services contracts (public sector)</ital>
                        </link>
                         (this practice note discusses the drafting of specifications under the legislation that preceded the PA 2023, but contains material that is equally relevant to PA 2023 procurements).
                      </paratext>
                    </para>
                  </division>
                </division>
              </drafting.note>
              <para>
                <paratext>The following documents shall form part of the Contract between the Authority and the Service Provider(s):</paratext>
              </para>
              <list type="bulleted">
                <list.item>
                  <para>
                    <paratext>Contract and its schedules.</paratext>
                  </para>
                </list.item>
                <list.item>
                  <para>
                    <paratext>Specification.</paratext>
                  </para>
                </list.item>
                <list.item>
                  <para>
                    <paratext>Schedules (such as service levels, site plans, asset lists, contracts list, list of transferring employees, relevant policies and so on).</paratext>
                  </para>
                </list.item>
                <list.item>
                  <para>
                    <paratext>A pricing model (as completed by the Service Provider).</paratext>
                  </para>
                </list.item>
                <list.item>
                  <para>
                    <paratext>
                      [Responses to requirements 
                      <bold>OR</bold>
                       method statement questions] (as completed by the Service Provider).
                    </paratext>
                  </para>
                </list.item>
                <list.item>
                  <para>
                    <paratext>[A list of commercially sensitive information (as completed by the successful Tenderer).]</paratext>
                  </para>
                </list.item>
              </list>
            </subclause1>
            <subclause1 id="a572281">
              <identifier>3.6</identifier>
              <para>
                <paratext>
                  <bold>Consortia and subcontractors</bold>
                </paratext>
              </para>
              <drafting.note id="a509863" jurisdiction="">
                <head align="left" preservecase="true">
                  <headtext>Consortia arrangements</headtext>
                </head>
                <division id="a000024" level="1">
                  <para>
                    <paratext>This ITT envisages a wide range of consortium and sub-contracting arrangements, which the authority may wish to modify to meet its own requirements.</paratext>
                  </para>
                </division>
              </drafting.note>
              <para>
                <paratext>The Authority requires each Tenderer to identify whether any and, if so, which subcontracting or consortium arrangements apply in the case of its Tender, including the share (if any) of the Contract to be subcontracted, the identity of the proposed subcontractors, and which entity is proposed to be the Service Provider.</paratext>
              </para>
              <para>
                <paratext>For the purposes of this ITT, the following terms apply:</paratext>
              </para>
              <list type="bulleted">
                <list.item>
                  <para>
                    <paratext>
                      <bold>Consortium arrangement.</bold>
                       Where a number of economic operators come together to submit a bid for the Contract. The economic operators may already be part of an established consortium. Alternatively, the economic operators may constitute a temporary association which is intended to become a formalised structure (such as a special purpose vehicle (SPV) or a subcontracting arrangement) after the award of the Contract. Consortium structures may include a hub-and-spoke delivery model, a lead body model or an SPV.
                    </paratext>
                  </para>
                </list.item>
                <list.item>
                  <para>
                    <paratext>
                      <bold>Subcontracting arrangement.</bold>
                       Subcontracting could involve, for example, an economic operator bidding as a prime contractor and using a subcontractor or subcontractors to deliver some of the Services, or an economic operator bidding as a managing agent and using subcontractors to deliver all of the Services.
                    </paratext>
                  </para>
                </list.item>
              </list>
            </subclause1>
          </clause>
          <clause id="a535827">
            <identifier>4.</identifier>
            <head align="left" preservecase="true">
              <headtext>Procurement terms and conditions</headtext>
            </head>
            <subclause1 id="a557628">
              <identifier>4.1</identifier>
              <para>
                <paratext>
                  <bold>Warnings and disclaimers</bold>
                </paratext>
              </para>
              <para>
                <paratext>While the information contained in this ITT is believed to be correct at the time of issue, neither the Authority and its advisers, nor any other awarding authorities will accept any liability for its accuracy, adequacy or completeness, nor will any express or implied warranty be given. This exclusion extends to liability in relation to any statement, opinion or conclusion contained in or any omission from this ITT (including its appendices) and in respect of any other written or oral communication transmitted (or otherwise made available) to any Tenderer. This exclusion does not extend to any fraudulent misrepresentation made by or on behalf of the Authority.</paratext>
              </para>
              <para>
                <paratext>If a Tenderer proposes to enter into a Contract with the Authority, it must rely on its own enquiries and on the terms and conditions set out in the Contract(s) (as and when finally executed), subject to the limitations and restrictions specified in it.</paratext>
              </para>
              <para>
                <paratext>Neither the issue of this ITT, nor any of the information presented in it, should be regarded as a commitment or representation on the part of the Authority (or any other person) to enter into a contractual arrangement.</paratext>
              </para>
            </subclause1>
            <subclause1 id="a447638">
              <identifier>4.2</identifier>
              <para>
                <paratext>
                  <bold>Confidentiality and freedom of information</bold>
                </paratext>
              </para>
              <drafting.note id="a105207" jurisdiction="">
                <head align="left" preservecase="true">
                  <headtext>Confidentiality and freedom of information</headtext>
                </head>
                <division id="a000025" level="1">
                  <para>
                    <paratext>
                      Under 
                      <link href="w-044-3720" style="ACTLinkPLCtoPLC">
                        <ital>section 94</ital>
                      </link>
                       of the PA 2023, a contracting authority may withhold information forwarded to it by an economic operator if the Authority is satisfied that it is contrary to national security to disclose it, or that the information is sensitive commercial information and there is an overriding public interest in withholding it. Sensitive commercial information includes trade secrets and information that is likely to prejudice the commercial interests of any person if disclosed.
                    </paratext>
                  </para>
                  <para>
                    <paratext>The obligations under section 94 are subject to any disclosure obligations the public body has under FOIA, the EIR and any other provision of the PA 2023 relating to the publication of contract award notices, the contracts themselves and assessment summaries.</paratext>
                  </para>
                  <para>
                    <paratext>Tenderers should be made aware of the possibility that information submitted as part of their tender responses may need to be disclosed by virtue of the authority's transparency and disclosure obligations. Any decision to disclose will ultimately lie with the authority, but it is commonplace to give tenderers the option to designate certain information they submit as commercially sensitive for authorities to take into account when considering whether and what to disclose.</paratext>
                  </para>
                  <para>
                    <paratext>
                      For more information about contracting authorities' disclosure obligations under 
                      <link href="4-505-6037" style="ACTLinkPLCtoPLC">
                        <ital>FOIA</ital>
                      </link>
                      <ital> </ital>
                      and 
                      <link href="3-508-2782" style="ACTLinkPLCtoPLC">
                        <ital>EIR</ital>
                      </link>
                      , see:
                    </paratext>
                  </para>
                  <list type="bulleted">
                    <list.item>
                      <para>
                        <paratext>
                          <link href="w-007-8162" style="ACTLinkPLCtoPLC">
                            <ital>Practice note, Freedom of information in public procurement and public sector contracts: overview</ital>
                          </link>
                          .
                        </paratext>
                      </para>
                    </list.item>
                    <list.item>
                      <para>
                        <paratext>
                          <link href="w-011-6127" style="ACTLinkPLCtoPLC">
                            <ital>Practice note, The application of FOIA exemptions and EIR exceptions to public procurement and public contracts information</ital>
                          </link>
                          <ital>.</ital>
                        </paratext>
                      </para>
                    </list.item>
                    <list.item>
                      <para>
                        <paratext>
                          <link href="w-026-4537" style="ACTLinkPLCtoPLC">
                            <ital>Freedom of Information Act 2000: section 40 exemption for personal data (UK GDPR and DPA 2018)</ital>
                          </link>
                          <ital>.</ital>
                        </paratext>
                      </para>
                    </list.item>
                    <list.item>
                      <para>
                        <paratext>
                          <link href="w-013-0384" style="ACTLinkPLCtoPLC">
                            <ital>Checklist, Handling freedom of information requests for procurement and public contracts information</ital>
                          </link>
                          .
                        </paratext>
                      </para>
                    </list.item>
                  </list>
                  <division id="a168113" level="2">
                    <head align="left" preservecase="true">
                      <headtext>Tender responses containing personal data</headtext>
                    </head>
                    <para>
                      <paratext>
                        Tender responses (or other documents forming part of the response) may contain 
                        <link href="8-200-3413" style="ACTLinkPLCtoPLC">
                          <ital>personal data</ital>
                        </link>
                         relating to a tenderer's employees or contractors, such as their name, address or date of birth. Contracting authorities must comply with applicable data protection legislation when processing such data.
                      </paratext>
                    </para>
                    <para>
                      <paratext>
                        Given the nature of procurement exercises (and the fact that the contracting authority determines how to process such information), the contracting authority would most likely be acting as a 
                        <link href="5-107-5723" style="ACTLinkPLCtoPLC">
                          <ital>controller</ital>
                        </link>
                         and would therefore need to process any personal data contained in the tender responses submitted in accordance with UK data protection laws, including the 
                        <link href="w-026-8528" style="ACTLinkPLCtoPLC">
                          <ital>UK GPDR</ital>
                        </link>
                        .
                        <ital> </ital>
                        For more information see, 
                        <link href="w-013-3757" style="ACTLinkPLCtoPLC">
                          <ital>Practice note, Overview of UK GDPR</ital>
                        </link>
                        <ital>.</ital>
                      </paratext>
                    </para>
                    <para>
                      <paratext>Among other things, the UK GDPR requires controllers to:</paratext>
                    </para>
                    <list type="bulleted">
                      <list.item>
                        <para>
                          <paratext>
                            Process personal data lawfully (that is, relying on one of the legal grounds for processing). Processing in the context of a public procurement will most likely be justifiable in performance of a task carried out in the public interest, or in exercise of official authority. For more, see 
                            <link anchor="a903087" href="w-013-3757" style="ACTLinkPLCtoPLC">
                              <ital>Practice note, Overview of UK GDPR: Lawful processing</ital>
                            </link>
                            .
                          </paratext>
                        </para>
                      </list.item>
                      <list.item>
                        <para>
                          <paratext>
                            Notify individuals about how their personal data will be handled even if that data has not been collected directly from those individuals (as will usually be the case with tenders). Exemptions from this requirement are available, such as where providing the information would be impossible or involve disproportionate effort on the part of the contracting authority. For more information on this requirement and exceptions, see 
                            <link anchor="a760792" href="w-013-3757" style="ACTLinkPLCtoPLC">
                              <ital>Practice note, Overview of the UK GDPR: Fair processing: information notices</ital>
                            </link>
                            <ital> </ital>
                            and 
                            <link anchor="a397132" href="w-013-3757" style="ACTLinkPLCtoPLC">
                              <ital>Data collected by third parties</ital>
                            </link>
                            .
                          </paratext>
                        </para>
                      </list.item>
                    </list>
                    <para>
                      <paratext>
                        For further information on the two points above see 
                        <link anchor="a856964" href="w-011-6435" style="ACTLinkPLCtoPLC">
                          <ital>Practice note, UK GDPR and DPA 2018: implications for the public sector: First data protection principle: lawful, fair and transparent processing</ital>
                        </link>
                        .
                      </paratext>
                    </para>
                    <para>
                      <paratext>
                        Authorities will need to review how best to comply with the information requirements, insofar as relevant to their public procurement exercises. Options to consider include displaying a separate privacy notice for public procurement exercises on their website or including the required information within their general privacy policy. It would be unusual for an ITT to deal with data protection issues, but some authorities may want to include a link to the relevant privacy policy or notice. For sample privacy notices (which are for use by companies rather than public authorities), see 
                        <link href="w-013-3605" style="ACTLinkPLCtoPLC">
                          <ital>Standard documents, Website privacy policy (UK) </ital>
                        </link>
                        and 
                        <link href="w-014-8428" style="ACTLinkPLCtoPLC">
                          <ital>Short form privacy notice (UK)</ital>
                        </link>
                      </paratext>
                    </para>
                    <para>
                      <paratext>
                        For further information on the implications of the UK data protection regime for contracting authorities (including data security and dealing with data subject access requests), see 
                        <link href="w-011-6435" style="ACTLinkPLCtoPLC">
                          <ital>Practice notes, UK GDPR and DPA 2018: implications for the public sector</ital>
                        </link>
                         and 
                        <link href="w-017-0973" style="ACTLinkPLCtoPLC">
                          <ital>UK GDPR and DPA 2018 exemptions and conditions: public sector</ital>
                        </link>
                        .
                      </paratext>
                    </para>
                  </division>
                </division>
              </drafting.note>
              <para>
                <paratext>Save to the extent publicly available, all information supplied by the Authority to Tenderers (including this ITT and all other documents relating to the procurement), whether in writing or orally, is supplied on condition that it (including the fact that the Tenderer has received this ITT) be kept confidential by the Tenderer; it must not be copied, reproduced, distributed or passed to any other person at any time (except to professional advisers, consortium members or subcontractors for the sole purpose of enabling the Tenderer to submit a Tender) unless the information is already in the public domain.</paratext>
              </para>
              <para>
                <paratext>
                  As a public body, the Authority is subject to the provisions of the Freedom of Information Act 2000 (
                  <bold>FOIA</bold>
                  ) and Environmental Information Regulations 2004 (S
                  <ital>I 2004/3391</ital>
                  ) (
                  <bold>EIR</bold>
                  ) in respect of information it holds (including third-party information). Any member of the public or other interested party may make a request for information. The Authority is also subject to various public sector transparency policies and legal requirements, including the placing of contract award notices on the Central Digital Platform, which identify the Contract value and successful supplier, the publication of the Contract itself in certain circumstances, and the provision of information to Tenderers further to section 50 of the PA 2023.
                </paratext>
              </para>
              <para>
                <paratext>Tenderers should therefore be aware that information provided in connection with this procurement, or in connection with any contract awarded, may be disclosed by the Authority, unless the Authority decides (in its absolute discretion) that one of the statutory exemptions under the FOIA, the EIR or section 94 of the PA 2023 applies. Requests for information and application of any exemptions shall be considered on a case-by-case basis. By taking part in this procurement, Tenderers agree to such disclosure or publication by the Authority.</paratext>
              </para>
              <para>
                <paratext>
                  Tenderers may designate any information supplied as part of their tender response or otherwise in connection with the procurement as confidential or commercially sensitive by clearly identifying it as such to the Authority in the template provided at 
                  <internal.reference refid="a823738">
                    <ital>Schedule 9</ital>
                  </internal.reference>
                  . Blanket protective markings applied to the whole document will not be sufficient. While designating material as confidential or commercially sensitive or equivalent does not guarantee non-disclosure, the Authority will consider this as part of any disclosure decision.
                </paratext>
              </para>
            </subclause1>
            <subclause1 id="a589481">
              <identifier>4.3</identifier>
              <para>
                <paratext>
                  <bold>Publicity</bold>
                </paratext>
              </para>
              <para>
                <paratext>No publicity regarding the Services or the award of any Contract will be permitted unless and until the Authority has given prior express written consent to the relevant communication. For example, no statements may be made to the media regarding the nature of any Tender, its contents or any proposals relating to it without the prior written consent of the Authority.</paratext>
              </para>
            </subclause1>
            <subclause1 id="a383792">
              <identifier>4.4</identifier>
              <para>
                <paratext>
                  <bold>Central Digital Platform</bold>
                </paratext>
              </para>
              <para>
                <paratext>Tenderers that wish to participate in this procurement are responsible for ensuring that the Central Digital Platform contains complete, accurate and up-to-date information about their organisation and any associated persons who are relevant for the purposes of this procurement. Tenderers must notify the Authority immediately if they are unable to provide accurate and up-to-date information via the Central Digital Platform.</paratext>
              </para>
            </subclause1>
            <subclause1 id="a552859">
              <identifier>4.5</identifier>
              <head align="left" preservecase="true">
                <headtext>Supplier warranties</headtext>
              </head>
              <para>
                <paratext>In submitting a Tender and generally taking part in this procurement, the Tenderer warrants, represents and undertakes to the Authority that:</paratext>
              </para>
              <list type="bulleted">
                <list.item>
                  <para>
                    <paratext>It understands and has complied with the conditions set out in this ITT.</paratext>
                  </para>
                </list.item>
                <list.item>
                  <para>
                    <paratext>All information, representations and other matters of fact communicated (whether in writing or otherwise) to the Authority by the Tenderer, its staff or agents in connection with or arising out of the procurement are true, complete and accurate in all respects, both as at the date communicated and as at the date of the submission of the Tender.</paratext>
                  </para>
                </list.item>
                <list.item>
                  <para>
                    <paratext>It has made its own investigations and undertaken its own research and due diligence, and has satisfied itself in respect of all matters (whether actual or contingent) relating to the invitation and has not reliance on any information, representation or assumption which may have been made by or on behalf of the Authority (with the exception of any information which is expressly warranted by the Authority).</paratext>
                  </para>
                </list.item>
                <list.item>
                  <para>
                    <paratext>It has full power and authority to submit a Tender and to perform the obligations in relation to the contract and will, if requested, promptly produce evidence of such to the Authority.</paratext>
                  </para>
                </list.item>
              </list>
              <para>
                <paratext>Tenderers should note that the potential consequences of providing incomplete, inaccurate or misleading information include that:</paratext>
              </para>
              <list type="bulleted">
                <list.item>
                  <para>
                    <paratext>The Authority may exclude the Tenderer from participating in this procurement.</paratext>
                  </para>
                </list.item>
                <list.item>
                  <para>
                    <paratext>The Tenderer may be excluded from bidding for contracts under paragraph 13 of Schedule 7 to the PA 2023.</paratext>
                  </para>
                </list.item>
                <list.item>
                  <para>
                    <paratext>The Authority may rescind any resulting contract under the Misrepresentation Act 1967 and may sue the Tenderer for damages.</paratext>
                  </para>
                </list.item>
                <list.item>
                  <para>
                    <paratext>If fraud or fraudulent intent can be proved, the Tenderer may be prosecuted and convicted of the offence of fraud by false representation under section 2 of the Fraud Act 2006, which can carry a sentence of up to 10 years or a fine (or both). If there is a conviction, then the Tenderer may be excluded from bidding for contracts under paragraph 15 of Schedule 6 to the PA 2023 and may be added to the debarment list.</paratext>
                  </para>
                </list.item>
              </list>
            </subclause1>
            <subclause1 id="a567678">
              <identifier>4.6</identifier>
              <para>
                <paratext>
                  <bold>Anti-canvassing and collusion </bold>
                </paratext>
              </para>
              <para>
                <paratext>Any attempt by Tenderers or their advisers to influence the contract award process in any way may result in the Tenderer being disqualified. Specifically, Tenderers must not directly or indirectly at any time:</paratext>
              </para>
              <list type="bulleted">
                <list.item>
                  <para>
                    <paratext>Devise or amend the content of their Tender in accordance with any agreement or arrangement with any other person, other than in good faith with a person who is a proposed partner, supplier, consortium member or provider of finance.</paratext>
                  </para>
                </list.item>
                <list.item>
                  <para>
                    <paratext>Enter into any agreement or arrangement with any other person as to the form or content of any other Tender, or offer to pay any sum of money or valuable consideration to any person to effect changes to the form or content of any other Tender.</paratext>
                  </para>
                </list.item>
                <list.item>
                  <para>
                    <paratext>Enter into any agreement or arrangement with any other person that has the effect of prohibiting or excluding that person from submitting a Tender.</paratext>
                  </para>
                </list.item>
                <list.item>
                  <para>
                    <paratext>Canvass the Authority or any employees or agents of the Authority in relation to this procurement.</paratext>
                  </para>
                </list.item>
                <list.item>
                  <para>
                    <paratext>Offer, promise or give any person working for or engaged by the Authority a financial or other advantage as an inducement or reward for any improper performance of a function or activity relating to this procurement.</paratext>
                  </para>
                </list.item>
                <list.item>
                  <para>
                    <paratext>Attempt to obtain information from any of the employees or agents of the Authority or their advisers concerning another Tenderer or Tender.</paratext>
                  </para>
                </list.item>
              </list>
              <para>
                <paratext>[Tenderers must complete and return Schedule 10 (Certificate of non-collusion and non-canvassing) with their Tender.]</paratext>
              </para>
            </subclause1>
            <subclause1 id="a166104">
              <identifier>4.7</identifier>
              <head align="left" preservecase="true">
                <headtext>Conflicts of interest</headtext>
              </head>
              <para>
                <paratext>Tenderers are responsible for ensuring that no direct or indirect conflicts of interest exist (whether personal, financial or otherwise) between the Tenderer, its employees and advisers, and the Authority, its employees and advisers that may give the Tenderer an unfair advantage. Tenderers must notify the Authority immediately of any conflicts of interest whether potential, actual or perceived.</paratext>
              </para>
              <para>
                <paratext>The Authority reserves the right to:</paratext>
              </para>
              <para>
                <paratext>Exclude a Tenderer that fails to notify the Authority of a perceived, actual or potential conflict of interest, or where an actual conflict of interest exists that puts the Tenderer at an unavoidable unfair advantage vis a vis other Tenderers.</paratext>
              </para>
              <para>
                <paratext>Exclude a Tenderer that fails to take reasonably requested steps specified by the Authority to mitigate any conflict of interest, including entry into a conflict of interest agreement.</paratext>
              </para>
            </subclause1>
            <subclause1 id="a272550">
              <identifier>4.8</identifier>
              <para>
                <paratext>
                  <bold>Authority's rights to modify the procurement</bold>
                </paratext>
              </para>
              <para>
                <paratext>The Authority reserves the right at any time to:</paratext>
              </para>
              <list type="bulleted">
                <list.item>
                  <para>
                    <paratext>Seek clarification in respect of any part of a Tenderer's submission.</paratext>
                  </para>
                </list.item>
                <list.item>
                  <para>
                    <paratext>Request Tenderers to submit, supplement, clarify or complete relevant information or documentation where it appears to be incomplete, erroneous or missing.</paratext>
                  </para>
                </list.item>
                <list.item>
                  <para>
                    <paratext>Disqualify any Tenderer that does not submit a compliant Tender in accordance with the instructions in this ITT.</paratext>
                  </para>
                </list.item>
                <list.item>
                  <para>
                    <paratext>Disqualify any Tenderer that is guilty of serious misrepresentation or of negligently providing misleading information in relation to its Tender, expression of interest, the PSQ or the tender process.</paratext>
                  </para>
                </list.item>
                <list.item>
                  <para>
                    <paratext>Reject a Tender that is abnormally low.</paratext>
                  </para>
                </list.item>
                <list.item>
                  <para>
                    <paratext>Withdraw this ITT at any time, or re-invite Tenders on the same or any alternative basis.</paratext>
                  </para>
                </list.item>
                <list.item>
                  <para>
                    <paratext>Choose not to award any Contract [or Lot] as a result of the current procurement process or to abandon that process.</paratext>
                  </para>
                </list.item>
                <list.item>
                  <para>
                    <paratext>Issue changes, modifications or additional information (including to the Timetable) relating to the procurement, including to this ITT.</paratext>
                  </para>
                </list.item>
                <list.item>
                  <para>
                    <paratext>Alter the Timetable as it sees fit [including the right to award different Lots at different times].</paratext>
                  </para>
                </list.item>
                <list.item>
                  <para>
                    <paratext>Rewind or re-run any part of this procurement on the same or an alternative basis.</paratext>
                  </para>
                </list.item>
              </list>
            </subclause1>
            <subclause1 id="a970991">
              <identifier>4.9</identifier>
              <para>
                <paratext>
                  <bold>Bid costs</bold>
                </paratext>
              </para>
              <para>
                <paratext>The Authority will not be liable for any bid costs, expenditure, work or effort incurred by a Tenderer in proceeding with or participating in this procurement, including if the procurement process is terminated or amended by the Authority.</paratext>
              </para>
            </subclause1>
            <subclause1 id="a848826">
              <identifier>4.10</identifier>
              <para>
                <paratext>
                  <bold>Guarantees</bold>
                </paratext>
              </para>
              <para>
                <paratext>
                  Recipients of this ITT will note that 
                  <internal.reference refid="a777449">
                    <ital>Schedule 11</ital>
                  </internal.reference>
                   is a form of deed of guarantee. The Authority may have qualified the Tenderer on the assumption that, where the Tenderer is an operating company, it will be guaranteed by the parent company. As a result, the Authority may require each Tenderer to confirm the identity of the guarantor of its obligations under any Contract(s). This guarantor should be the ultimate parent company of the Tenderer, except in exceptional circumstances. In the case of consortia, the Authority will require confirmation that the consortium will provide either a parent company guarantee from the lead consortium member or its parent or an equivalent level of security.
                </paratext>
              </para>
            </subclause1>
          </clause>
          <clause id="a694999">
            <identifier>5.</identifier>
            <head align="left" preservecase="true">
              <headtext>Tender Evaluation Model</headtext>
            </head>
            <subclause1 id="a362884">
              <identifier>5.1</identifier>
              <para>
                <paratext>
                  <bold>Award Criteria and Evaluation Criteria</bold>
                </paratext>
              </para>
              <drafting.note id="a925763" jurisdiction="">
                <head align="left" preservecase="true">
                  <headtext>Evaluation criteria</headtext>
                </head>
                <division id="a000026" level="1">
                  <para>
                    <paratext>The evaluation criteria (and weightings) are project specific, and will vary depending on the authority's requirements and the nature of the services being procured.</paratext>
                  </para>
                  <para>
                    <paratext>
                      <internal.reference refid="a362884">
                        <ital>Paragraph 5.1</ital>
                      </internal.reference>
                       provides a starting point for authorities when developing the criteria and considering how it should be assessed.  Various methods can be used to evaluate the criteria, including written submissions (and answers to specific questions), references, presentations or site visits, but it should be clear to tenderers how different elements feed into their final score. Some generic example questions, grouped under broad headings, which could be used to evaluate against specific criteria can be found in the drafting notes to 
                      <link href="4-599-9626" style="ACTLinkPLCtoPLC">
                        <ital>Standard document, Invitation to tender (PCR 2015): questions for tenderers</ital>
                      </link>
                      .
                    </paratext>
                  </para>
                  <para>
                    <paratext>If you are applying a threshold to any of the evaluation criteria, you should ensure it is not set too high as this risks forcing the authority to discount an otherwise robust tender.</paratext>
                  </para>
                  <para>
                    <paratext>
                      For information on evaluating tenders (including what matters may be assessed and sample scoring models), see 
                      <link href="2-386-8761" style="ACTLinkPLCtoPLC">
                        <ital>Practice note, Evaluation of tenders</ital>
                      </link>
                      . Although this practice note discusses the evaluation of tenders under the legislation that preceded the PA 2023, it contains material that is equally relevant to PA 2023 procurements.
                    </paratext>
                  </para>
                </division>
              </drafting.note>
              <para>
                <paratext>Any Contract(s) awarded as a result of this procurement will be awarded on the basis of the offer that is the most advantageous to the Authority. The Award Criteria are:</paratext>
              </para>
              <list type="bulleted">
                <list.item>
                  <para>
                    <paratext>[PERCENTAGE]% technical or quality.</paratext>
                  </para>
                </list.item>
                <list.item>
                  <para>
                    <paratext>[PERCENTAGE]% cost.</paratext>
                  </para>
                </list.item>
              </list>
              <para>
                <paratext>
                  Scores are arrived at following the application of the Evaluation Criteria (
                  <bold>Evaluation Criteria</bold>
                  ) set out below to the Tenderer's Tender.
                </paratext>
              </para>
              <para>
                <paratext>Tenderers are required to submit a Tender strictly in accordance with the requirements set out in this ITT, to ensure the Authority has the correct information to make the evaluation. Evasive, unclear or hedged Tenders may be discounted in evaluation and may, at the Authority's discretion, be taken as a rejection by the Tenderer of the terms set out in this ITT.</paratext>
              </para>
              <para>
                <paratext>The Tender Evaluation Model showing the Evaluation Criteria and the maximum scores attributable to them is set out below.</paratext>
              </para>
              <para>
                <paratext>
                  [Where specified, a minimum pass mark (
                  <defn.term>Threshold</defn.term>
                  ) applies to the Evaluation Criteria. The Authority shall reject any Tender that does not meet the relevant Threshold in respect of one or more criteria.]
                </paratext>
              </para>
              <para>
                <paratext>
                  <table frame="all" pgwide="1">
                    <tgroup cols="6">
                      <colspec colname="1" colnum="1" colwidth="15"/>
                      <colspec colname="2" colnum="2" colwidth="19"/>
                      <colspec colname="3" colnum="3" colwidth="15"/>
                      <colspec colname="4" colnum="4" colwidth="19"/>
                      <colspec colname="5" colnum="5" colwidth="16"/>
                      <colspec colname="6" colnum="6" colwidth="13"/>
                      <tbody>
                        <row>
                          <entry valign="top">
                            <para align="left">
                              <paratext>
                                <bold>Evaluation Criteria: Commercial</bold>
                              </paratext>
                            </para>
                          </entry>
                          <entry valign="top">
                            <para align="left">
                              <paratext>
                                <bold>Threshold [PERCENTAGE]%</bold>
                              </paratext>
                            </para>
                          </entry>
                          <entry valign="top">
                            <para align="left">
                              <paratext>
                                <bold>Weighting [MULTIPLIER]</bold>
                              </paratext>
                            </para>
                          </entry>
                          <entry valign="top">
                            <para align="left">
                              <paratext>
                                <bold>[PERCENTAGE]%</bold>
                              </paratext>
                            </para>
                          </entry>
                          <entry valign="top">
                            <para align="left">
                              <paratext>
                                <bold>Means of evaluation</bold>
                              </paratext>
                            </para>
                          </entry>
                          <entry valign="top">
                            <para align="left">
                              <paratext>
                                <bold>Means of moderation</bold>
                              </paratext>
                            </para>
                          </entry>
                        </row>
                        <row>
                          <entry valign="top">
                            <para align="left">
                              <paratext>[Price-comparison of total cost]</paratext>
                            </para>
                          </entry>
                          <entry valign="top">
                            <para>
                              <paratext/>
                            </para>
                          </entry>
                          <entry valign="top">
                            <para>
                              <paratext/>
                            </para>
                          </entry>
                          <entry valign="top">
                            <para>
                              <paratext/>
                            </para>
                          </entry>
                          <entry valign="top">
                            <para align="left">
                              <paratext>[FOR EXAMPLE, COMPLETED PRICE BREAKDOWN]</paratext>
                            </para>
                          </entry>
                          <entry valign="top">
                            <para align="left">
                              <paratext>Not applicable</paratext>
                            </para>
                          </entry>
                        </row>
                        <row>
                          <entry valign="top">
                            <para align="left">
                              <paratext>[Profit sharing or gain share arrangements]</paratext>
                            </para>
                          </entry>
                          <entry valign="top">
                            <para>
                              <paratext/>
                            </para>
                          </entry>
                          <entry valign="top">
                            <para>
                              <paratext/>
                            </para>
                          </entry>
                          <entry valign="top">
                            <para>
                              <paratext/>
                            </para>
                          </entry>
                          <entry valign="top">
                            <para align="left">
                              <paratext>[FOR EXAMPLE, WRITTEN SUBMISSIONS]</paratext>
                            </para>
                          </entry>
                          <entry valign="top">
                            <para align="left">
                              <paratext>Not applicable</paratext>
                            </para>
                          </entry>
                        </row>
                        <row>
                          <entry valign="top">
                            <para align="left">
                              <paratext>[OTHER EVALUATION CRITERIA]</paratext>
                            </para>
                          </entry>
                          <entry valign="top">
                            <para>
                              <paratext/>
                            </para>
                          </entry>
                          <entry valign="top">
                            <para>
                              <paratext/>
                            </para>
                          </entry>
                          <entry valign="top">
                            <para>
                              <paratext/>
                            </para>
                          </entry>
                          <entry valign="top">
                            <para align="left">
                              <paratext>[DETAIL]</paratext>
                            </para>
                          </entry>
                          <entry valign="top">
                            <para align="left">
                              <paratext>Not applicable</paratext>
                            </para>
                          </entry>
                        </row>
                      </tbody>
                    </tgroup>
                  </table>
                </paratext>
              </para>
              <para>
                <paratext>
                  <table frame="all" pgwide="1">
                    <tgroup cols="6">
                      <colspec colname="1" colnum="1" colwidth="17"/>
                      <colspec colname="2" colnum="2" colwidth="17"/>
                      <colspec colname="3" colnum="3" colwidth="14"/>
                      <colspec colname="4" colnum="4" colwidth="17"/>
                      <colspec colname="5" colnum="5" colwidth="16"/>
                      <colspec colname="6" colnum="6" colwidth="16"/>
                      <tbody>
                        <row>
                          <entry valign="top">
                            <para align="left">
                              <paratext>
                                <bold>Evaluation Criteria: Technical</bold>
                              </paratext>
                            </para>
                          </entry>
                          <entry valign="top">
                            <para align="left">
                              <paratext>
                                <bold>Threshold [PERCENTAGE]%</bold>
                              </paratext>
                            </para>
                          </entry>
                          <entry valign="top">
                            <para align="left">
                              <paratext>
                                <bold>Weighting [MULTIPLIER]</bold>
                              </paratext>
                            </para>
                          </entry>
                          <entry valign="top">
                            <para align="left">
                              <paratext>
                                <bold>[PERCENTAGE]%</bold>
                              </paratext>
                            </para>
                          </entry>
                          <entry valign="top">
                            <para align="left">
                              <paratext>
                                <bold>Means of evaluation</bold>
                              </paratext>
                            </para>
                          </entry>
                          <entry valign="top">
                            <para align="left">
                              <paratext>
                                <bold>Means of moderation</bold>
                              </paratext>
                            </para>
                          </entry>
                        </row>
                        <row>
                          <entry valign="top">
                            <para align="left">
                              <paratext>[REQUIREMENTS BY CATEGORY]</paratext>
                            </para>
                          </entry>
                          <entry valign="top">
                            <para>
                              <paratext/>
                            </para>
                          </entry>
                          <entry valign="top">
                            <para>
                              <paratext/>
                            </para>
                          </entry>
                          <entry valign="top">
                            <para>
                              <paratext/>
                            </para>
                          </entry>
                          <entry valign="top">
                            <para align="left">
                              <paratext>[FOR EXAMPLE, WRITTEN SUBMISSIONS OR PRESENTATION]</paratext>
                            </para>
                          </entry>
                          <entry valign="top">
                            <para align="left">
                              <paratext>[FOR EXAMPLE, SITE VISIT OR PRESENTATION]</paratext>
                            </para>
                          </entry>
                        </row>
                        <row>
                          <entry valign="top">
                            <para align="left">
                              <paratext>[REQUIREMENTS BY CATEGORY]</paratext>
                            </para>
                          </entry>
                          <entry valign="top">
                            <para>
                              <paratext/>
                            </para>
                          </entry>
                          <entry valign="top">
                            <para>
                              <paratext/>
                            </para>
                          </entry>
                          <entry valign="top">
                            <para>
                              <paratext/>
                            </para>
                          </entry>
                          <entry valign="top">
                            <para align="left">
                              <paratext>[FOR EXAMPLE, WRITTEN SUBMISSIONS OR PRESENTATION]</paratext>
                            </para>
                          </entry>
                          <entry valign="top">
                            <para align="left">
                              <paratext>[FOR EXAMPLE, SITE VISIT OR PRESENTATION]</paratext>
                            </para>
                          </entry>
                        </row>
                        <row>
                          <entry valign="top">
                            <para align="left">
                              <paratext>[REQUIREMENTS BY CATEGORY]</paratext>
                            </para>
                          </entry>
                          <entry valign="top">
                            <para>
                              <paratext/>
                            </para>
                          </entry>
                          <entry valign="top">
                            <para>
                              <paratext/>
                            </para>
                          </entry>
                          <entry valign="top">
                            <para>
                              <paratext/>
                            </para>
                          </entry>
                          <entry valign="top">
                            <para align="left">
                              <paratext>[FOR EXAMPLE, WRITTEN SUBMISSIONS OR PRESENTATION]</paratext>
                            </para>
                          </entry>
                          <entry valign="top">
                            <para align="left">
                              <paratext>[FOR EXAMPLE, SITE VISIT OR PRESENTATION]</paratext>
                            </para>
                          </entry>
                        </row>
                        <row>
                          <entry valign="top">
                            <para align="left">
                              <paratext>[Staff transfer]</paratext>
                            </para>
                          </entry>
                          <entry valign="top">
                            <para>
                              <paratext/>
                            </para>
                          </entry>
                          <entry valign="top">
                            <para>
                              <paratext/>
                            </para>
                          </entry>
                          <entry valign="top">
                            <para>
                              <paratext/>
                            </para>
                          </entry>
                          <entry valign="top">
                            <para align="left">
                              <paratext>[FOR EXAMPLE, WRITTEN SUBMISSIONS OR PRESENTATION]</paratext>
                            </para>
                          </entry>
                          <entry valign="top">
                            <para align="left">
                              <paratext>[FOR EXAMPLE, SITE VISIT OR PRESENTATION]</paratext>
                            </para>
                          </entry>
                        </row>
                        <row>
                          <entry valign="top">
                            <para align="left">
                              <paratext>[OTHER EVALUATION CRITERIA]</paratext>
                            </para>
                          </entry>
                          <entry valign="top">
                            <para>
                              <paratext/>
                            </para>
                          </entry>
                          <entry valign="top">
                            <para>
                              <paratext/>
                            </para>
                          </entry>
                          <entry valign="top">
                            <para>
                              <paratext/>
                            </para>
                          </entry>
                          <entry valign="top">
                            <para>
                              <paratext/>
                            </para>
                          </entry>
                          <entry valign="top">
                            <para>
                              <paratext/>
                            </para>
                          </entry>
                        </row>
                      </tbody>
                    </tgroup>
                  </table>
                </paratext>
              </para>
            </subclause1>
            <subclause1 condition="optional" id="a632762">
              <identifier>5.2</identifier>
              <para>
                <paratext>
                  <bold>Evaluation of Lots</bold>
                </paratext>
              </para>
              <drafting.note id="a565360" jurisdiction="">
                <head align="left" preservecase="true">
                  <headtext>Scoring lots</headtext>
                </head>
                <division id="a000027" level="1">
                  <para>
                    <paratext>Unless the same service provider wins all lots, the authority may want the ability to score tenders based on their proposals for a joined-up service. If so, the authority should include evaluation criteria that enable it to assess the service providers' commitment and ability to work in partnership across the lots. However, if this issue is crucial to the authority, splitting the contract into lots in this way may be inappropriate.</paratext>
                  </para>
                </division>
              </drafting.note>
              <para>
                <paratext>[ANY RELEVANT INFORMATION ABOUT THE EVALUATION OF LOTS]</paratext>
              </para>
            </subclause1>
            <subclause1 id="a147495">
              <identifier>5.3</identifier>
              <para>
                <paratext>
                  <bold>Evaluation process</bold>
                </paratext>
              </para>
              <drafting.note id="a777111" jurisdiction="">
                <head align="left" preservecase="true">
                  <headtext>Scoring matrix for the technical and quality criteria</headtext>
                </head>
                <division id="a000028" level="1">
                  <para>
                    <paratext>The scoring matrix envisages that 20% of the available marks are awarded to proposals that offer more than the authority requires. This may or may not be appropriate, depending on the service. If the authority uses this model, it should provide information to tenderers on which additions or enhancements it would consider represent added value beyond its stated requirements. If it does not, the tender may include additional services, which are charged for, but which do not provide a real benefit to the authority. If no additions or enhancements are required, an alternative scoring system can be used, under which top marks are awarded for responses which meet the authority's requirements in full, but do not exceed them.</paratext>
                  </para>
                  <para>
                    <paratext>If the authority considers that a 0-5 scoring matrix is too restrictive, it could use a 0-10 scoring matrix with a range of marks for each description to provide more flexibility for evaluators.</paratext>
                  </para>
                  <para>
                    <paratext>
                      For an alternative scoring matrix and a worked example of scoring pricing, see 
                      <link href="2-386-8761#a335366" style="ACTLinkPLCtoPLC">
                        <ital>Practice note, Evaluation of tenders: Use of a scoring model to evaluate the financial element</ital>
                      </link>
                      . Although this practice note discusses the evaluation of tenders under the legislation that preceded the PA 2023, it contains material that is equally relevant to PA 2023 procurements.
                    </paratext>
                  </para>
                </division>
              </drafting.note>
              <para>
                <paratext>
                  <bold>Technical or quality evaluation</bold>
                </paratext>
              </para>
              <para>
                <paratext>The technical evaluation will be scored in accordance with the table below.</paratext>
              </para>
              <para>
                <paratext>
                  <bold>Scoring matrix for the technical and quality criteria</bold>
                </paratext>
              </para>
              <para>
                <paratext>
                  <table frame="all" pgwide="1">
                    <tgroup cols="2">
                      <colspec colname="1" colnum="1" colwidth="15"/>
                      <colspec colname="2" colnum="2" colwidth="85"/>
                      <tbody>
                        <row>
                          <entry valign="top">
                            <para align="left">
                              <paratext>0</paratext>
                            </para>
                          </entry>
                          <entry valign="top">
                            <para align="left">
                              <paratext>Completely fails to meet required standard or does not provide a proposal.</paratext>
                            </para>
                          </entry>
                        </row>
                        <row>
                          <entry valign="top">
                            <para align="left">
                              <paratext>1</paratext>
                            </para>
                          </entry>
                          <entry valign="top">
                            <para align="left">
                              <paratext>Proposal significantly fails to meet the standards required, contains significant shortcomings or is inconsistent with other proposals.</paratext>
                            </para>
                          </entry>
                        </row>
                        <row>
                          <entry valign="top">
                            <para align="left">
                              <paratext>2</paratext>
                            </para>
                          </entry>
                          <entry valign="top">
                            <para align="left">
                              <paratext>Proposal falls short of achieving expected standard in a number of identifiable respects.</paratext>
                            </para>
                          </entry>
                        </row>
                        <row>
                          <entry valign="top">
                            <para align="left">
                              <paratext>3</paratext>
                            </para>
                          </entry>
                          <entry valign="top">
                            <para align="left">
                              <paratext>Proposal meets the required standard in most material respects but is lacking or inconsistent in others.</paratext>
                            </para>
                          </entry>
                        </row>
                        <row>
                          <entry valign="top">
                            <para align="left">
                              <paratext>4</paratext>
                            </para>
                          </entry>
                          <entry valign="top">
                            <para align="left">
                              <paratext>Proposal meets the required standard in all material respects.</paratext>
                            </para>
                          </entry>
                        </row>
                        <row>
                          <entry valign="top">
                            <para align="left">
                              <paratext>5</paratext>
                            </para>
                          </entry>
                          <entry valign="top">
                            <para align="left">
                              <paratext>Proposal meets the required standard in all material respects and exceeds some or all of the major requirements.</paratext>
                            </para>
                          </entry>
                        </row>
                      </tbody>
                    </tgroup>
                  </table>
                </paratext>
              </para>
              <para>
                <paratext>
                  <bold>Pricing evaluation</bold>
                </paratext>
              </para>
              <drafting.note id="a247668" jurisdiction="">
                <head align="left" preservecase="true">
                  <headtext>Specifying a contract value and pricing evaluation</headtext>
                </head>
                <division id="a000029" level="1">
                  <para>
                    <paratext>Contracting authorities may be nervous of specifying a contract value for fear of attracting bids which are above, at or just below that value. However, this figure must be disclosed if bids are to be evaluated against it.</paratext>
                  </para>
                  <para>
                    <paratext>There are two common methods of evaluating price, though these two basic models have many variants:</paratext>
                  </para>
                  <para>
                    <paratext>The authority sets a benchmark price, usually a maximum or optimum price, with all bids scored on a comparative basis against that price.</paratext>
                  </para>
                  <list type="bulleted">
                    <list.item>
                      <para>
                        <paratext>No benchmark is set and the lowest bid price scores the maximum marks available for the price evaluation. All other prices are awarded scores depending on what percentage the lowest price is of their price.</paratext>
                      </para>
                    </list.item>
                  </list>
                  <para>
                    <paratext>The above wording will need to be amended to select the appropriate method or deleted and an alternative method inserted.</paratext>
                  </para>
                  <para>
                    <paratext>However, various issues and inconsistencies can arise through the use of formulae and it is therefore important to run dummy scores through the proposed model to eliminate any anomalies.</paratext>
                  </para>
                  <para>
                    <paratext>Where the authority has a fixed budget, it may want to state that bids exceeding a specified limit will be deemed non-compliant and will be rejected. Otherwise, it must rely on the award criteria to ensure it does not end up with a technically superior, but unaffordable solution.</paratext>
                  </para>
                  <para>
                    <paratext>
                      For more information and an alternative way of evaluating price, see 
                      <link href="2-386-8761" style="ACTLinkPLCtoPLC">
                        <ital>Practice note, Evaluation of tenders</ital>
                      </link>
                      . Although this practice note discusses the evaluation of tenders under the legislation that preceded the PA 2023, it contains material that is equally relevant to PA 2023 procurements.
                    </paratext>
                  </para>
                  <para>
                    <paratext>The risk of encouraging bids that come in close to the stated value can be somewhat mitigated by:</paratext>
                  </para>
                  <list type="bulleted">
                    <list.item>
                      <para>
                        <paratext>Weighting the award criteria more on price than on the technical solution.</paratext>
                      </para>
                    </list.item>
                    <list.item>
                      <para>
                        <paratext>Including evaluation criteria on efficiencies and cost reduction.</paratext>
                      </para>
                    </list.item>
                  </list>
                  <para>
                    <paratext>
                      These criteria could either form part of the technical or the price evaluation, depending how they are phrased. The contract terms could also encourage efficiencies by operating a gain-share mechanism through which savings will be shared between the parties (see 
                      <link href="0-202-4551#a326019" style="ACTLinkPLCtoPLC">
                        <ital>Standard documents, Outsourcing agreement: long form: Service improvement and technology refresh</ital>
                      </link>
                       and 
                      <link href="2-501-1525#a577926" style="ACTLinkPLCtoPLC">
                        <ital>Services agreement for use by public sector bodies: Change control, benchmarking and continuous improvement</ital>
                      </link>
                      ).
                    </paratext>
                  </para>
                  <division id="a131245" level="2">
                    <head align="left" preservecase="true">
                      <headtext>Life cycle costing</headtext>
                    </head>
                    <para>
                      <paratext>
                        If the authority proposes to use life cycle costing to assess value for money, its approach must be set out in the procurement documents. For information about life cycle costing, see 
                        <link href="2-386-8761" style="ACTLinkPLCtoPLC">
                          <ital>Practice note, Evaluation of tenders</ital>
                        </link>
                        . Although this practice note discusses the evaluation of tenders under the legislation that preceded the PA 2023, it contains material that is equally relevant to PA 2023 procurements.
                      </paratext>
                    </para>
                  </division>
                </division>
              </drafting.note>
              <para>
                <paratext>Bid prices will be scored:</paratext>
              </para>
              <para>
                <paratext>[On a comparative basis with the lowest bid receiving 100% of the available marks ([PERCENTAGE]% following weighting). All other bids will be compared [against that lowest bid]</paratext>
              </para>
              <para>
                <paratext>
                  <bold>OR</bold>
                </paratext>
              </para>
              <para>
                <paratext>Against the Authority's benchmark overall cost of £[AMOUNT] with the benchmark figure scoring 0%. Any bid which exceeds the Authority's benchmark shall be treated as non-compliant and rejected].</paratext>
              </para>
              <para>
                <paratext>[INSERT WORKED EXAMPLE OF FORMULA]</paratext>
              </para>
            </subclause1>
          </clause>
          <clause id="a819275">
            <identifier>6.</identifier>
            <head align="left" preservecase="true">
              <headtext>TUPE</headtext>
            </head>
            <drafting.note id="a397755" jurisdiction="">
              <head align="left" preservecase="true">
                <headtext>TUPE and pensions</headtext>
              </head>
              <division id="a000030" level="1">
                <para>
                  <paratext>
                    The drafting envisages that employees will transfer from the authority and/or the incumbent supplier, as reflected in 
                    <link href="2-501-1525" style="ACTLinkPLCtoPLC">
                      <ital>Standard document, Services agreement for use by public sector bodies</ital>
                    </link>
                    . This section and the relevant paragraphs can be amended to reflect the actual staff groups transferring. It is advisable to include a price variation provision in the contract to reflect any inaccuracies in the 
                    <link href="2-505-5915" style="ACTLinkPLCtoPLC">
                      <ital>TUPE</ital>
                    </link>
                     information provided in the ITT and the situation where, for any other reason, the costs associated with a TUPE transfer (including pensions costs) are subsequently found to be lower than envisaged. See also 
                    <link href="5-386-4771" style="ACTLinkPLCtoPLC">
                      <ital>Practice note, TUPE and tendering local authority services contracts</ital>
                    </link>
                    .
                  </paratext>
                </para>
              </division>
            </drafting.note>
            <subclause1 id="a722757">
              <identifier>6.1</identifier>
              <para>
                <paratext>
                  <bold>Transferring employees</bold>
                </paratext>
              </para>
              <para>
                <paratext>
                  The Authority envisages that the employees working on the current service shall transfer to the Service Provider or its subcontractors, under the Transfer of Undertakings (Protection of Employment) Regulations 2006 (
                  <ital>SI 2006/246</ital>
                  ) (
                  <bold>TUPE</bold>
                  ) along with the Services. These employees are currently employed by:
                </paratext>
              </para>
              <list type="bulleted">
                <list.item>
                  <para>
                    <paratext>
                      The Authority (
                      <bold>Transferring Employees</bold>
                      ).
                    </paratext>
                  </para>
                </list.item>
                <list.item>
                  <para>
                    <paratext>
                      The incumbent supplier (
                      <bold>Third Party Employees</bold>
                      ).
                    </paratext>
                  </para>
                </list.item>
              </list>
              <para>
                <paratext>
                  Provisional lists of the [Transferring Employees] [and the] [Third Party Employees] are contained in 
                  <internal.reference refid="a110538">
                    <ital>Schedule 7</ital>
                  </internal.reference>
                  .
                </paratext>
              </para>
              <para>
                <paratext>Tenderers' pricing models must include the costs associated with the TUPE transfer of these employees. [If the costs associated with a TUPE transfer (including pensions costs) are subsequently found to be lower than envisaged, the Service Provider shall make a corresponding reduction in the contract price.]</paratext>
              </para>
            </subclause1>
            <subclause1 id="a546588">
              <identifier>6.2</identifier>
              <para>
                <paratext>
                  <bold>Pension requirements</bold>
                </paratext>
              </para>
              <drafting.note id="a313772" jurisdiction="">
                <head align="left" preservecase="true">
                  <headtext>Requirements for transferring public sector employees</headtext>
                </head>
                <division id="a000031" level="1">
                  <para>
                    <paratext>
                      For information about pensions liabilities see 
                      <link anchor="a274276" href="5-386-4771" style="ACTLinkPLCtoPLC">
                        <ital>Practice note, TUPE and tendering local authority services contracts: Pensions liabilities</ital>
                      </link>
                      . For information relating to legacy public sector pension schemes see 
                      <link anchor="a772727" href="8-205-6270" style="ACTLinkPLCtoPLC">
                        <ital>Practice note, Public-sector pension schemes: outsourcing: Fair Deal 2013</ital>
                      </link>
                      <ital> </ital>
                      ,  
                      <link anchor="a549087" href="8-205-6270" style="ACTLinkPLCtoPLC">
                        <ital>Practice note, Public-sector pension schemes: outsourcing: Treatment of LGPS in outsourcing transactions</ital>
                      </link>
                       and 
                      <link anchor="a235524" href="8-205-6270" style="ACTLinkPLCtoPLC">
                        <ital>Practice note, Public-sector pension schemes: outsourcing: Becoming an admitted body in the LGPS</ital>
                      </link>
                      . See also 
                      <link href="5-382-4153" style="ACTLinkPLCtoPLC">
                        <ital>Practice note, Managing pensions risk in local authority outsourcing transactions</ital>
                      </link>
                      .
                    </paratext>
                  </para>
                </division>
              </drafting.note>
              <para>
                <paratext>[INSERT REQUIREMENTS IN RELATION TO PENSION PROVISION]</paratext>
              </para>
              <para>
                <paratext>Tenderers are required to include indicative costings of their proposed pension provisions.</paratext>
              </para>
            </subclause1>
          </clause>
          <clause id="a392533">
            <identifier>7.</identifier>
            <head align="left" preservecase="true">
              <headtext>Assessment questions for completion by tenderers</headtext>
            </head>
            <drafting.note id="a679035" jurisdiction="">
              <head align="left" preservecase="true">
                <headtext>Assessment questions for completion by tenderers</headtext>
              </head>
              <division id="a000032" level="1">
                <para>
                  <paratext>
                    Example questions for tenderers are contained in 
                    <link href="4-599-9626" style="ACTLinkPLCtoPLC">
                      <ital>Standard document, Invitation to tender (PCR 2015): questions for tenderers</ital>
                    </link>
                    . Although it was designed for use under the legislation preceding the PA 2023, much of it remains relevant. The document provides sample drafting only and should not be used without appropriate tailoring to the authority's specific requirements.
                  </paratext>
                </para>
              </division>
            </drafting.note>
            <drafting.note id="a567520" jurisdiction="">
              <head align="left" preservecase="true">
                <headtext>Schedules</headtext>
              </head>
              <division id="a000033" level="1">
                <para>
                  <paratext>The list of schedules below is purely indicative. Not all will be needed for every procurement, so authorities should tailor according to the design of their particular competition. For example, while a draft contract is likely to be included in most cases, it will not always be necessary to have site plans or asset lists.</paratext>
                </para>
                <para>
                  <paratext>
                    Many of the schedules to the ITT will form schedules to the contract. For information relating to the incorporation of these documents into the contract, see 
                    <internal.reference refid="a708697">
                      <ital>Drafting note, Documents forming the contract</ital>
                    </internal.reference>
                    .
                  </paratext>
                </para>
              </division>
            </drafting.note>
          </clause>
        </operative>
        <disclosure.schedule>
          <schedule id="a472790">
            <identifier>Schedule 1</identifier>
            <head align="left" preservecase="true">
              <headtext>Draft contract</headtext>
            </head>
            <drafting.note id="a162886" jurisdiction="">
              <head align="left" preservecase="true">
                <headtext>Draft contract</headtext>
              </head>
              <division id="a000034" level="1">
                <para>
                  <paratext>
                    See 
                    <link href="2-501-1525" style="ACTLinkPLCtoPLC">
                      <ital>Standard document, Services agreement for use by public sector bodies</ital>
                    </link>
                    .
                  </paratext>
                </para>
              </division>
            </drafting.note>
          </schedule>
          <schedule id="a231110">
            <identifier>Schedule 2</identifier>
            <head align="left" preservecase="true">
              <headtext>Specification</headtext>
            </head>
            <drafting.note id="a115421" jurisdiction="">
              <head align="left" preservecase="true">
                <headtext>Specification</headtext>
              </head>
              <division id="a000035" level="1">
                <para>
                  <paratext>
                    See 
                    <internal.reference refid="a306741">
                      <ital>Drafting note, Specification</ital>
                    </internal.reference>
                    .
                  </paratext>
                </para>
              </division>
            </drafting.note>
          </schedule>
          <schedule id="a437533">
            <identifier>Schedule 3</identifier>
            <head align="left" preservecase="true">
              <headtext>Information about the current service</headtext>
            </head>
          </schedule>
          <schedule id="a163018">
            <identifier>Schedule 4</identifier>
            <head align="left" preservecase="true">
              <headtext>Site plans</headtext>
            </head>
          </schedule>
          <schedule id="a714070">
            <identifier>Schedule 5</identifier>
            <head align="left" preservecase="true">
              <headtext>Asset list</headtext>
            </head>
          </schedule>
          <schedule id="a359449">
            <identifier>Schedule 6</identifier>
            <head align="left" preservecase="true">
              <headtext>Contracts list</headtext>
            </head>
          </schedule>
          <schedule id="a110538">
            <identifier>Schedule 7</identifier>
            <head align="left" preservecase="true">
              <headtext>Provisional list of transferring employees</headtext>
            </head>
          </schedule>
          <schedule id="a150328">
            <identifier>Schedule 8</identifier>
            <head align="left" preservecase="true">
              <headtext>Applicable policies</headtext>
            </head>
          </schedule>
          <schedule id="a823738">
            <identifier>Schedule 9</identifier>
            <head align="left" preservecase="true">
              <headtext>Commercially sensitive information.</headtext>
            </head>
            <para>
              <paratext>
                <bold>Commercially sensitive information</bold>
              </paratext>
            </para>
            <para>
              <paratext>I declare that I wish the following information to be designated as commercially sensitive [and to be appended to the Contract at Schedule [NUMBER]].</paratext>
            </para>
            <clause id="a000036">
              <para>
                <paratext>
                  <table frame="all" pgwide="1">
                    <tgroup cols="1">
                      <colspec colname="1" colnum="1" colwidth="100"/>
                      <tbody>
                        <row>
                          <entry valign="top">
                            <para>
                              <paratext/>
                            </para>
                          </entry>
                        </row>
                      </tbody>
                    </tgroup>
                  </table>
                </paratext>
              </para>
            </clause>
            <para>
              <paratext>The reason(s) it is considered that this information should be exempt under FOIA is:</paratext>
            </para>
            <clause id="a000037">
              <para>
                <paratext>
                  <table frame="all" pgwide="1">
                    <tgroup cols="1">
                      <colspec colname="1" colnum="1" colwidth="100"/>
                      <tbody>
                        <row>
                          <entry valign="top">
                            <para>
                              <paratext/>
                            </para>
                          </entry>
                        </row>
                      </tbody>
                    </tgroup>
                  </table>
                </paratext>
              </para>
            </clause>
            <para>
              <paratext>
                The period of time for which it is considered this information should be exempt is [until award of Contract 
                <bold>OR</bold>
                 during the period of the Contract 
                <bold>OR</bold>
                 for a period of [NUMBER] years until [MONTH], [YEAR]].
              </paratext>
            </para>
            <clause id="a000038">
              <para>
                <paratext>
                  <table frame="all" pgwide="1">
                    <tgroup cols="1">
                      <colspec colname="1" colnum="1" colwidth="100"/>
                      <tbody>
                        <row>
                          <entry valign="top">
                            <para>
                              <paratext/>
                            </para>
                          </entry>
                        </row>
                      </tbody>
                    </tgroup>
                  </table>
                </paratext>
              </para>
              <para>
                <paratext>
                  <table frame="none" pgwide="1">
                    <tgroup cols="2">
                      <colspec colname="1" colnum="1" colwidth="30"/>
                      <colspec colname="2" colnum="2" colwidth="70"/>
                      <tbody>
                        <row>
                          <entry valign="top">
                            <para align="left">
                              <paratext>SIGNATURE:</paratext>
                            </para>
                          </entry>
                          <entry valign="top">
                            <para align="left">
                              <paratext>_________________________________________</paratext>
                            </para>
                          </entry>
                        </row>
                        <row>
                          <entry valign="top">
                            <para align="left">
                              <paratext>NAME (PRINT):</paratext>
                            </para>
                          </entry>
                          <entry valign="top">
                            <para align="left">
                              <paratext>_________________________________________</paratext>
                            </para>
                          </entry>
                        </row>
                        <row>
                          <entry valign="top">
                            <para align="left">
                              <paratext>POSITION:</paratext>
                            </para>
                          </entry>
                          <entry valign="top">
                            <para align="left">
                              <paratext>_________________________________________</paratext>
                            </para>
                          </entry>
                        </row>
                        <row>
                          <entry valign="top">
                            <para align="left">
                              <paratext>COMPANY:</paratext>
                            </para>
                          </entry>
                          <entry valign="top">
                            <para align="left">
                              <paratext>_________________________________________</paratext>
                            </para>
                          </entry>
                        </row>
                        <row>
                          <entry valign="top">
                            <para align="left">
                              <paratext>DATE:</paratext>
                            </para>
                          </entry>
                          <entry valign="top">
                            <para align="left">
                              <paratext>_________________________________________</paratext>
                            </para>
                          </entry>
                        </row>
                      </tbody>
                    </tgroup>
                  </table>
                </paratext>
              </para>
            </clause>
          </schedule>
          <schedule id="a624299">
            <identifier>Schedule 10</identifier>
            <head align="left" preservecase="true">
              <headtext>Certificate of non-collusion and non-canvassing</headtext>
            </head>
            <para>
              <paratext>
                <bold>Statement of non-canvassing</bold>
              </paratext>
            </para>
            <para>
              <paratext>I hereby certify that I have not canvassed any minister, official, representative or adviser of the Authority in connection with this procurement and the proposed award of the contract by the Authority, and that no person employed by me or acting on my behalf, or advising me, has done any such act. I agree that the Authority may, in consideration of our tender, and in any subsequent actions, rely on the statements made in this certificate.</paratext>
            </para>
            <para>
              <paratext>I further hereby undertake that I will not canvass any minister, official, representative or adviser of the Authority in connection with the Procurement and/or award of the contract and that no person employed by me or acting on my behalf, or advising me, will do any such act.</paratext>
            </para>
            <para>
              <paratext>
                <bold>Statement of non-collusion</bold>
              </paratext>
            </para>
            <para>
              <paratext>The Authority must receive bona fide competitive tenders from all Tenderers.</paratext>
            </para>
            <para>
              <paratext>In recognition of this requirement, I certify that this is a bona fide offer, intended to be competitive and that I have not fixed or adjusted the amount of the offer or the price in accordance with any agreement or arrangement with any other person (except any associated person or subcontractor identified in this offer).</paratext>
            </para>
            <para>
              <paratext>I also certify that I have not done, and undertake that I will not do, at any time during the procurement or, in the event of my final tender being successful, during the term of the contract, any of the following acts:</paratext>
            </para>
            <list type="bulleted">
              <list.item>
                <para>
                  <paratext>Communicate to any person, other than the Authority, the amount or approximate amount of my proposed offer except where the disclosure in confidence was essential to obtain insurance premium quotations required for its preparation.</paratext>
                </para>
              </list.item>
              <list.item>
                <para>
                  <paratext>Enter into any agreement or agreements with any other person that they shall refrain from participating in the tendering process carried out by the Authority or as to the amount of any offer submitted by them during the course of this process.</paratext>
                </para>
              </list.item>
              <list.item>
                <para>
                  <paratext>Cause or induce any person to enter into such an agreement as is mentioned in the previous paragraph or to inform us of the amount or the approximate amount of any other tender for the contract.</paratext>
                </para>
              </list.item>
              <list.item>
                <para>
                  <paratext>Commit any offence under the Bribery Act 2010.</paratext>
                </para>
              </list.item>
              <list.item>
                <para>
                  <paratext>Offer or agree to pay or give or actually pay or give any sum of money, inducement or valuable consideration, directly or indirectly, to any person for doing or having done or having caused to be done in relation to any other tender or proposed tender for the performance of the contract.</paratext>
                </para>
              </list.item>
            </list>
            <para>
              <paratext>In this certificate, the word "person" includes any person, body or association, corporate or incorporate and "agreement" includes any arrangement whether formal or informal and whether legally binding or not.</paratext>
            </para>
            <para>
              <paratext>I agree that the Authority may, in its consideration of the Tender and in any subsequent actions, rely on the statements made in this certificate.</paratext>
            </para>
            <clause id="a000039">
              <para>
                <paratext>
                  <table frame="none" pgwide="1">
                    <tgroup cols="2">
                      <colspec colname="1" colnum="1" colwidth="30"/>
                      <colspec colname="2" colnum="2" colwidth="70"/>
                      <tbody>
                        <row>
                          <entry valign="top">
                            <para align="left">
                              <paratext>SIGNATURE:</paratext>
                            </para>
                          </entry>
                          <entry valign="top">
                            <para align="left">
                              <paratext>_________________________________________</paratext>
                            </para>
                          </entry>
                        </row>
                        <row>
                          <entry valign="top">
                            <para align="left">
                              <paratext>NAME (PRINT):</paratext>
                            </para>
                          </entry>
                          <entry valign="top">
                            <para align="left">
                              <paratext>_________________________________________</paratext>
                            </para>
                          </entry>
                        </row>
                        <row>
                          <entry valign="top">
                            <para align="left">
                              <paratext>POSITION:</paratext>
                            </para>
                          </entry>
                          <entry valign="top">
                            <para align="left">
                              <paratext>_________________________________________</paratext>
                            </para>
                          </entry>
                        </row>
                        <row>
                          <entry valign="top">
                            <para align="left">
                              <paratext>COMPANY:</paratext>
                            </para>
                          </entry>
                          <entry valign="top">
                            <para align="left">
                              <paratext>_________________________________________</paratext>
                            </para>
                          </entry>
                        </row>
                        <row>
                          <entry valign="top">
                            <para align="left">
                              <paratext>DATE:</paratext>
                            </para>
                          </entry>
                          <entry valign="top">
                            <para align="left">
                              <paratext>_________________________________________</paratext>
                            </para>
                          </entry>
                        </row>
                      </tbody>
                    </tgroup>
                  </table>
                </paratext>
              </para>
            </clause>
          </schedule>
          <schedule id="a777449">
            <identifier>Schedule 11</identifier>
            <head align="left" preservecase="true">
              <headtext>Deed of guarantee</headtext>
            </head>
          </schedule>
          <schedule id="a737736">
            <identifier>Schedule 12</identifier>
            <head align="left" preservecase="true">
              <headtext>Form of Tender</headtext>
            </head>
            <drafting.note id="a831032" jurisdiction="">
              <head align="left" preservecase="true">
                <headtext>Form of tender (optional)</headtext>
              </head>
              <division id="a000040" level="1">
                <para>
                  <paratext>The form of tender certificate can be included here in the ITT, or incorporated as part of the tender submission process within the tendering portal. It is also possible to provide for tenderers to indicate acceptance with a tick box or similar. Alternatively the certificate can be omitted altogether if not required.</paratext>
                </para>
              </division>
            </drafting.note>
            <clause id="a000041">
              <para>
                <paratext>
                  <table frame="none" pgwide="1">
                    <tgroup cols="2">
                      <colspec colname="1" colnum="1" colwidth="30"/>
                      <colspec colname="2" colnum="2" colwidth="70"/>
                      <tbody>
                        <row>
                          <entry nameend="2" namest="1" valign="top">
                            <para align="center">
                              <paratext>
                                <bold>FORM OF TENDER: TENDER CERTIFICATE</bold>
                              </paratext>
                            </para>
                          </entry>
                        </row>
                        <row>
                          <entry nameend="2" namest="1" valign="top">
                            <para align="left">
                              <paratext>TO: [NAME OF AUTHORITY]</paratext>
                            </para>
                          </entry>
                        </row>
                        <row>
                          <entry nameend="2" namest="1" valign="top">
                            <para align="left">
                              <paratext>DATE: [DATE]</paratext>
                            </para>
                          </entry>
                        </row>
                        <row>
                          <entry nameend="2" namest="1" valign="top">
                            <para align="left">
                              <paratext>PROVISION OF: [TITLE OF PROCUREMENT]</paratext>
                            </para>
                          </entry>
                        </row>
                        <row>
                          <entry nameend="2" namest="1" valign="top">
                            <para align="left">
                              <paratext>REFERENCE NUMBER: [UNIQUE IDENTIFIER FOR THE PROCUREMENT]</paratext>
                            </para>
                          </entry>
                        </row>
                        <row>
                          <entry nameend="2" namest="1" valign="top">
                            <para align="left">
                              <paratext>We [INSERT NAME[S]] the undersigned, having examined the ITT and all other schedules, do hereby offer to provide [CONTRACT SUBJECT MATTER] as specified in those documents and in accordance with the attached documentation to the Authority commencing [DATE] and continuing for the period specified in the Contract.</paratext>
                            </para>
                            <para align="left">
                              <paratext>If this offer is accepted, we will execute such documents in the form of the Contract within [NUMBER] days of being called on to do so.</paratext>
                            </para>
                            <para align="left">
                              <paratext>[We agree that before executing the Contract (and associated schedules) substantially in the form set out in the ITT, the formal acceptance of this Tender in writing by the Authority or such parts as may be specified, together with the contract documents attached hereto shall comprise a binding contract between the Authority and the [Tenderer]].</paratext>
                            </para>
                            <para align="left">
                              <paratext>
                                We further agree with the Authority in legally binding terms to comply with the provisions of confidentiality set out in 
                                <internal.reference refid="a447638">
                                  <ital>paragraph 4.2</ital>
                                </internal.reference>
                                 of the ITT.
                              </paratext>
                            </para>
                            <para align="left">
                              <paratext>We confirm that we have submitted the Schedule 10 certificate of non-collusion and non-canvassing, as required by paragraph 4.6 of the ITT.</paratext>
                            </para>
                            <para align="left">
                              <paratext>We warrant that we have all requisite authority to sign this Tender and confirm that we have complied with all the requirements of the ITT.</paratext>
                            </para>
                          </entry>
                        </row>
                        <row>
                          <entry valign="top">
                            <para align="left">
                              <paratext>Signature</paratext>
                            </para>
                          </entry>
                          <entry valign="top">
                            <para align="left">
                              <paratext>_________________________________________</paratext>
                            </para>
                          </entry>
                        </row>
                        <row>
                          <entry valign="top">
                            <para align="left">
                              <paratext>Name and status</paratext>
                            </para>
                          </entry>
                          <entry valign="top">
                            <para align="left">
                              <paratext>_________________________________________</paratext>
                            </para>
                          </entry>
                        </row>
                        <row>
                          <entry valign="top">
                            <para align="left">
                              <paratext>Signature</paratext>
                            </para>
                          </entry>
                          <entry valign="top">
                            <para align="left">
                              <paratext>_________________________________________</paratext>
                            </para>
                          </entry>
                        </row>
                        <row>
                          <entry valign="top">
                            <para align="left">
                              <paratext>Name and status</paratext>
                            </para>
                          </entry>
                          <entry valign="top">
                            <para align="left">
                              <paratext>_________________________________________</paratext>
                            </para>
                          </entry>
                        </row>
                        <row>
                          <entry valign="top">
                            <para align="left">
                              <paratext>For and on behalf of</paratext>
                            </para>
                          </entry>
                          <entry valign="top">
                            <para align="left">
                              <paratext>[NAME OF COMPANY, PARTNERS OR CONSORTIUM]</paratext>
                            </para>
                          </entry>
                        </row>
                      </tbody>
                    </tgroup>
                  </table>
                </paratext>
              </para>
            </clause>
          </schedule>
        </disclosure.schedule>
        <appendix id="a471807">
          <identifier>ANNEX A</identifier>
          <head align="left" preservecase="true">
            <headtext>[TITLE OF ANNEX]</headtext>
          </head>
          <drafting.note id="a907561" jurisdiction="">
            <head align="left" preservecase="true">
              <headtext>Glossary</headtext>
            </head>
            <division id="a000042" level="1">
              <para>
                <paratext>Authorities should update this table in accordance with any additions or deletions they make to the ITT.</paratext>
              </para>
            </division>
          </drafting.note>
          <para>
            <paratext>This agreement has been entered into on the date stated at the beginning of it</paratext>
          </para>
          <para>
            <paratext>
              <table frame="all" pgwide="1">
                <tgroup cols="2">
                  <colspec colname="1" colnum="1" colwidth="50"/>
                  <colspec colname="2" colnum="2" colwidth="50"/>
                  <tbody>
                    <row>
                      <entry valign="top">
                        <para align="left">
                          <paratext>
                            <bold>Defined term</bold>
                          </paratext>
                        </para>
                      </entry>
                      <entry valign="top">
                        <para align="left">
                          <paratext>
                            <bold>Where defined</bold>
                          </paratext>
                        </para>
                      </entry>
                    </row>
                    <row>
                      <entry valign="top">
                        <para align="left">
                          <paratext>Authority</paratext>
                        </para>
                      </entry>
                      <entry valign="top">
                        <para align="left">
                          <paratext>Document header</paratext>
                        </para>
                      </entry>
                    </row>
                    <row>
                      <entry valign="top">
                        <para align="left">
                          <paratext>Award Criteria</paratext>
                        </para>
                      </entry>
                      <entry valign="top">
                        <para align="left">
                          <paratext>1.2</paratext>
                        </para>
                      </entry>
                    </row>
                    <row>
                      <entry valign="top">
                        <para align="left">
                          <paratext>Clarifications Log</paratext>
                        </para>
                      </entry>
                      <entry valign="top">
                        <para align="left">
                          <paratext>1.8</paratext>
                        </para>
                      </entry>
                    </row>
                    <row>
                      <entry valign="top">
                        <para align="left">
                          <paratext>Contract</paratext>
                        </para>
                      </entry>
                      <entry valign="top">
                        <para align="left">
                          <paratext>1.1</paratext>
                        </para>
                      </entry>
                    </row>
                    <row>
                      <entry valign="top">
                        <para align="left">
                          <paratext>Deadline</paratext>
                        </para>
                      </entry>
                      <entry valign="top">
                        <para align="left">
                          <paratext>Document header</paratext>
                        </para>
                      </entry>
                    </row>
                    <row>
                      <entry valign="top">
                        <para align="left">
                          <paratext>EIR</paratext>
                        </para>
                      </entry>
                      <entry valign="top">
                        <para align="left">
                          <paratext>3.8</paratext>
                        </para>
                      </entry>
                    </row>
                    <row>
                      <entry valign="top">
                        <para align="left">
                          <paratext>Evaluation Criteria</paratext>
                        </para>
                      </entry>
                      <entry valign="top">
                        <para align="left">
                          <paratext>4.1</paratext>
                        </para>
                      </entry>
                    </row>
                    <row>
                      <entry valign="top">
                        <para align="left">
                          <paratext>FOIA</paratext>
                        </para>
                      </entry>
                      <entry valign="top">
                        <para align="left">
                          <paratext>3.8</paratext>
                        </para>
                      </entry>
                    </row>
                    <row>
                      <entry valign="top">
                        <para align="left">
                          <paratext>ITT</paratext>
                        </para>
                      </entry>
                      <entry valign="top">
                        <para align="left">
                          <paratext>1.1</paratext>
                        </para>
                      </entry>
                    </row>
                    <row>
                      <entry valign="top">
                        <para align="left">
                          <paratext>Lots</paratext>
                        </para>
                      </entry>
                      <entry valign="top">
                        <para align="left">
                          <paratext>1.6</paratext>
                        </para>
                      </entry>
                    </row>
                    <row>
                      <entry valign="top">
                        <para align="left">
                          <paratext>PA 2023</paratext>
                        </para>
                      </entry>
                      <entry valign="top">
                        <para align="left">
                          <paratext>1.2</paratext>
                        </para>
                      </entry>
                    </row>
                    <row>
                      <entry valign="top">
                        <para align="left">
                          <paratext>Portal</paratext>
                        </para>
                      </entry>
                      <entry valign="top">
                        <para align="left">
                          <paratext>1.8</paratext>
                        </para>
                      </entry>
                    </row>
                    <row>
                      <entry valign="top">
                        <para align="left">
                          <paratext>PSQ</paratext>
                        </para>
                      </entry>
                      <entry valign="top">
                        <para align="left">
                          <paratext>1.2</paratext>
                        </para>
                      </entry>
                    </row>
                    <row>
                      <entry valign="top">
                        <para align="left">
                          <paratext>Service Provider</paratext>
                        </para>
                      </entry>
                      <entry valign="top">
                        <para align="left">
                          <paratext>1.6</paratext>
                        </para>
                      </entry>
                    </row>
                    <row>
                      <entry valign="top">
                        <para align="left">
                          <paratext>Services</paratext>
                        </para>
                      </entry>
                      <entry valign="top">
                        <para align="left">
                          <paratext>1.2</paratext>
                        </para>
                      </entry>
                    </row>
                    <row>
                      <entry valign="top">
                        <para align="left">
                          <paratext>Tender</paratext>
                        </para>
                      </entry>
                      <entry valign="top">
                        <para align="left">
                          <paratext>1.2</paratext>
                        </para>
                      </entry>
                    </row>
                    <row>
                      <entry valign="top">
                        <para align="left">
                          <paratext>Tenderers</paratext>
                        </para>
                      </entry>
                      <entry valign="top">
                        <para align="left">
                          <paratext>1.2</paratext>
                        </para>
                      </entry>
                    </row>
                    <row>
                      <entry valign="top">
                        <para align="left">
                          <paratext>Tender Evaluation Model</paratext>
                        </para>
                      </entry>
                      <entry valign="top">
                        <para align="left">
                          <paratext>1.7</paratext>
                        </para>
                      </entry>
                    </row>
                    <row>
                      <entry valign="top">
                        <para align="left">
                          <paratext>Third Party Employees</paratext>
                        </para>
                      </entry>
                      <entry valign="top">
                        <para align="left">
                          <paratext>5.1</paratext>
                        </para>
                      </entry>
                    </row>
                    <row>
                      <entry valign="top">
                        <para align="left">
                          <paratext>Threshold</paratext>
                        </para>
                      </entry>
                      <entry valign="top">
                        <para align="left">
                          <paratext>4.1</paratext>
                        </para>
                      </entry>
                    </row>
                    <row>
                      <entry valign="top">
                        <para align="left">
                          <paratext>Timetable</paratext>
                        </para>
                      </entry>
                      <entry valign="top">
                        <para align="left">
                          <paratext>2.1</paratext>
                        </para>
                      </entry>
                    </row>
                    <row>
                      <entry valign="top">
                        <para align="left">
                          <paratext>Transferring Employees</paratext>
                        </para>
                      </entry>
                      <entry valign="top">
                        <para align="left">
                          <paratext>5.1</paratext>
                        </para>
                      </entry>
                    </row>
                    <row>
                      <entry valign="top">
                        <para align="left">
                          <paratext>TUPE</paratext>
                        </para>
                      </entry>
                      <entry valign="top">
                        <para align="left">
                          <paratext>5.1</paratext>
                        </para>
                      </entry>
                    </row>
                  </tbody>
                </tgroup>
              </table>
            </paratext>
          </para>
        </appendix>
      </body>
      <rev.history>
        <rev.item>
          <rev.title>Procurement Act 2023</rev.title>
          <rev.date>20250306</rev.date>
          <rev.author>Practical Law Public Sector</rev.author>
          <rev.body>
            <division id="a000001" level="1">
              <para>
                <paratext>Updated to reflect the coming into force of the Procurement Act 2023, on 24 February 2025.</paratext>
              </para>
            </division>
          </rev.body>
        </rev.item>
      </rev.history>
    </standard.doc>
  </n-docbody>
</n-document>
</file>

<file path=customXml/itemProps1.xml><?xml version="1.0" encoding="utf-8"?>
<ds:datastoreItem xmlns:ds="http://schemas.openxmlformats.org/officeDocument/2006/customXml" ds:itemID="{621CA209-A981-4B8F-A695-3A03F3AF231C}">
  <ds:schemaRefs>
    <ds:schemaRef ds:uri="http://schemas.microsoft.com/sharepoint/v3/contenttype/forms"/>
  </ds:schemaRefs>
</ds:datastoreItem>
</file>

<file path=customXml/itemProps2.xml><?xml version="1.0" encoding="utf-8"?>
<ds:datastoreItem xmlns:ds="http://schemas.openxmlformats.org/officeDocument/2006/customXml" ds:itemID="{A2DC01D0-0D15-41DA-BEE5-B0F5E8C7F460}">
  <ds:schemaRefs>
    <ds:schemaRef ds:uri="http://schemas.microsoft.com/2004/VisualStudio/Tools/Applications/CachedDataManifest.xsd"/>
  </ds:schemaRefs>
</ds:datastoreItem>
</file>

<file path=customXml/itemProps3.xml><?xml version="1.0" encoding="utf-8"?>
<ds:datastoreItem xmlns:ds="http://schemas.openxmlformats.org/officeDocument/2006/customXml" ds:itemID="{3AD6D96B-575D-4BD7-B257-C13452520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6da8a-83fa-4a58-9100-341f4c866374"/>
    <ds:schemaRef ds:uri="36f9e90e-0b81-4238-b554-7fd63d5e11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EB7E33-C700-4B03-94B3-A039FB6AB2FF}">
  <ds:schemaRefs>
    <ds:schemaRef ds:uri="http://schemas.openxmlformats.org/officeDocument/2006/relationships"/>
    <ds:schemaRef ds:uri="http://schemas.openxmlformats.org/wordprocessingml/2006/main"/>
    <ds:schemaRef ds:uri="http://schemas.microsoft.com/office/word/2012/wordml"/>
    <ds:schemaRef ds:uri="http://schemas.openxmlformats.org/officeDocument/2006/math"/>
    <ds:schemaRef ds:uri="http://schemas.microsoft.com/office/word/2010/wordml"/>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BD442842-C8DD-4A40-BF32-AB1FA25950AC}">
  <ds:schemaRefs>
    <ds:schemaRef ds:uri="http://schemas.microsoft.com/office/2006/customDocumentInformationPanel"/>
  </ds:schemaRefs>
</ds:datastoreItem>
</file>

<file path=customXml/itemProps6.xml><?xml version="1.0" encoding="utf-8"?>
<ds:datastoreItem xmlns:ds="http://schemas.openxmlformats.org/officeDocument/2006/customXml" ds:itemID="{79094C40-258F-4000-AE5F-EF3A4E0C0F61}">
  <ds:schemaRefs>
    <ds:schemaRef ds:uri="http://schemas.microsoft.com/office/2006/metadata/properties"/>
    <ds:schemaRef ds:uri="http://schemas.microsoft.com/office/infopath/2007/PartnerControls"/>
    <ds:schemaRef ds:uri="36f9e90e-0b81-4238-b554-7fd63d5e11f6"/>
    <ds:schemaRef ds:uri="7026da8a-83fa-4a58-9100-341f4c866374"/>
  </ds:schemaRefs>
</ds:datastoreItem>
</file>

<file path=customXml/itemProps7.xml><?xml version="1.0" encoding="utf-8"?>
<ds:datastoreItem xmlns:ds="http://schemas.openxmlformats.org/officeDocument/2006/customXml" ds:itemID="{422B8BA5-8FF3-4185-A9CC-289CDF455EA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38</Pages>
  <Words>7869</Words>
  <Characters>44859</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Procurement Act 2023: invitation to tender</vt:lpstr>
    </vt:vector>
  </TitlesOfParts>
  <Company/>
  <LinksUpToDate>false</LinksUpToDate>
  <CharactersWithSpaces>52623</CharactersWithSpaces>
  <SharedDoc>false</SharedDoc>
  <HLinks>
    <vt:vector size="48" baseType="variant">
      <vt:variant>
        <vt:i4>1572916</vt:i4>
      </vt:variant>
      <vt:variant>
        <vt:i4>44</vt:i4>
      </vt:variant>
      <vt:variant>
        <vt:i4>0</vt:i4>
      </vt:variant>
      <vt:variant>
        <vt:i4>5</vt:i4>
      </vt:variant>
      <vt:variant>
        <vt:lpwstr/>
      </vt:variant>
      <vt:variant>
        <vt:lpwstr>_Toc216178771</vt:lpwstr>
      </vt:variant>
      <vt:variant>
        <vt:i4>1572916</vt:i4>
      </vt:variant>
      <vt:variant>
        <vt:i4>38</vt:i4>
      </vt:variant>
      <vt:variant>
        <vt:i4>0</vt:i4>
      </vt:variant>
      <vt:variant>
        <vt:i4>5</vt:i4>
      </vt:variant>
      <vt:variant>
        <vt:lpwstr/>
      </vt:variant>
      <vt:variant>
        <vt:lpwstr>_Toc216178770</vt:lpwstr>
      </vt:variant>
      <vt:variant>
        <vt:i4>1638452</vt:i4>
      </vt:variant>
      <vt:variant>
        <vt:i4>32</vt:i4>
      </vt:variant>
      <vt:variant>
        <vt:i4>0</vt:i4>
      </vt:variant>
      <vt:variant>
        <vt:i4>5</vt:i4>
      </vt:variant>
      <vt:variant>
        <vt:lpwstr/>
      </vt:variant>
      <vt:variant>
        <vt:lpwstr>_Toc216178769</vt:lpwstr>
      </vt:variant>
      <vt:variant>
        <vt:i4>1638452</vt:i4>
      </vt:variant>
      <vt:variant>
        <vt:i4>26</vt:i4>
      </vt:variant>
      <vt:variant>
        <vt:i4>0</vt:i4>
      </vt:variant>
      <vt:variant>
        <vt:i4>5</vt:i4>
      </vt:variant>
      <vt:variant>
        <vt:lpwstr/>
      </vt:variant>
      <vt:variant>
        <vt:lpwstr>_Toc216178768</vt:lpwstr>
      </vt:variant>
      <vt:variant>
        <vt:i4>1638452</vt:i4>
      </vt:variant>
      <vt:variant>
        <vt:i4>20</vt:i4>
      </vt:variant>
      <vt:variant>
        <vt:i4>0</vt:i4>
      </vt:variant>
      <vt:variant>
        <vt:i4>5</vt:i4>
      </vt:variant>
      <vt:variant>
        <vt:lpwstr/>
      </vt:variant>
      <vt:variant>
        <vt:lpwstr>_Toc216178767</vt:lpwstr>
      </vt:variant>
      <vt:variant>
        <vt:i4>1638452</vt:i4>
      </vt:variant>
      <vt:variant>
        <vt:i4>14</vt:i4>
      </vt:variant>
      <vt:variant>
        <vt:i4>0</vt:i4>
      </vt:variant>
      <vt:variant>
        <vt:i4>5</vt:i4>
      </vt:variant>
      <vt:variant>
        <vt:lpwstr/>
      </vt:variant>
      <vt:variant>
        <vt:lpwstr>_Toc216178766</vt:lpwstr>
      </vt:variant>
      <vt:variant>
        <vt:i4>1638452</vt:i4>
      </vt:variant>
      <vt:variant>
        <vt:i4>8</vt:i4>
      </vt:variant>
      <vt:variant>
        <vt:i4>0</vt:i4>
      </vt:variant>
      <vt:variant>
        <vt:i4>5</vt:i4>
      </vt:variant>
      <vt:variant>
        <vt:lpwstr/>
      </vt:variant>
      <vt:variant>
        <vt:lpwstr>_Toc216178765</vt:lpwstr>
      </vt:variant>
      <vt:variant>
        <vt:i4>1638452</vt:i4>
      </vt:variant>
      <vt:variant>
        <vt:i4>2</vt:i4>
      </vt:variant>
      <vt:variant>
        <vt:i4>0</vt:i4>
      </vt:variant>
      <vt:variant>
        <vt:i4>5</vt:i4>
      </vt:variant>
      <vt:variant>
        <vt:lpwstr/>
      </vt:variant>
      <vt:variant>
        <vt:lpwstr>_Toc216178764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Act 2023: invitation to tender</dc:title>
  <dc:subject/>
  <dc:creator>Cane, Nicola (TR Product)</dc:creator>
  <cp:keywords/>
  <cp:lastModifiedBy>Leigh Hughes</cp:lastModifiedBy>
  <cp:revision>116</cp:revision>
  <dcterms:created xsi:type="dcterms:W3CDTF">2025-12-09T16:44:00Z</dcterms:created>
  <dcterms:modified xsi:type="dcterms:W3CDTF">2025-12-19T08:18:00Z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0x010100F435C96DF1861540B352135167333E85</vt:lpwstr>
  </property>
  <property fmtid="{D5CDD505-2E9C-101B-9397-08002B2CF9AE}" pid="3" name="MediaServiceImageTags">
    <vt:lpwstr/>
  </property>
</Properties>
</file>