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8503" w14:textId="77777777" w:rsidR="00997D0C" w:rsidRDefault="00997D0C" w:rsidP="00075E3C">
      <w:pPr>
        <w:jc w:val="center"/>
        <w:rPr>
          <w:rFonts w:ascii="Verdana" w:hAnsi="Verdana" w:cs="Calibri"/>
          <w:b/>
        </w:rPr>
      </w:pPr>
    </w:p>
    <w:p w14:paraId="6C45788A" w14:textId="77777777" w:rsidR="00997D0C" w:rsidRDefault="00997D0C" w:rsidP="00075E3C">
      <w:pPr>
        <w:jc w:val="center"/>
        <w:rPr>
          <w:rFonts w:ascii="Verdana" w:hAnsi="Verdana" w:cs="Calibri"/>
          <w:b/>
        </w:rPr>
      </w:pPr>
    </w:p>
    <w:p w14:paraId="402E25AB" w14:textId="77777777" w:rsidR="00075E3C" w:rsidRPr="00CE3A79" w:rsidRDefault="00075E3C" w:rsidP="00075E3C">
      <w:pPr>
        <w:jc w:val="center"/>
        <w:rPr>
          <w:rFonts w:asciiTheme="majorHAnsi" w:hAnsiTheme="majorHAnsi" w:cs="Calibri"/>
          <w:b/>
          <w:sz w:val="28"/>
          <w:szCs w:val="28"/>
        </w:rPr>
      </w:pPr>
      <w:r w:rsidRPr="00CE3A79">
        <w:rPr>
          <w:rFonts w:asciiTheme="majorHAnsi" w:hAnsiTheme="majorHAnsi" w:cs="Calibri"/>
          <w:b/>
          <w:sz w:val="28"/>
          <w:szCs w:val="28"/>
        </w:rPr>
        <w:t>INVITATION TO TENDER</w:t>
      </w:r>
    </w:p>
    <w:p w14:paraId="4567DB60" w14:textId="77777777" w:rsidR="00075E3C" w:rsidRPr="00CE3A79" w:rsidRDefault="00075E3C" w:rsidP="00075E3C">
      <w:pPr>
        <w:rPr>
          <w:rFonts w:asciiTheme="majorHAnsi" w:hAnsiTheme="majorHAnsi"/>
          <w:sz w:val="28"/>
          <w:szCs w:val="28"/>
        </w:rPr>
      </w:pPr>
    </w:p>
    <w:p w14:paraId="3C57CBF0" w14:textId="77777777" w:rsidR="008327AF" w:rsidRDefault="008327AF" w:rsidP="008327AF">
      <w:pPr>
        <w:spacing w:after="480" w:line="360" w:lineRule="auto"/>
        <w:contextualSpacing/>
        <w:rPr>
          <w:rFonts w:asciiTheme="majorHAnsi" w:hAnsiTheme="majorHAnsi"/>
          <w:b/>
          <w:sz w:val="28"/>
          <w:szCs w:val="28"/>
        </w:rPr>
      </w:pPr>
    </w:p>
    <w:p w14:paraId="47FDE9BE" w14:textId="77777777" w:rsidR="001D3758" w:rsidRPr="00A92048" w:rsidRDefault="001D3758" w:rsidP="001D3758">
      <w:pPr>
        <w:jc w:val="center"/>
        <w:rPr>
          <w:rFonts w:eastAsia="Arial" w:cs="Arial"/>
          <w:b/>
        </w:rPr>
      </w:pPr>
      <w:r>
        <w:rPr>
          <w:rFonts w:asciiTheme="majorHAnsi" w:hAnsiTheme="majorHAnsi"/>
          <w:b/>
          <w:sz w:val="28"/>
          <w:szCs w:val="28"/>
        </w:rPr>
        <w:t>Procurement of a</w:t>
      </w:r>
    </w:p>
    <w:p w14:paraId="72FD09B1" w14:textId="77777777" w:rsidR="001D3758" w:rsidRPr="00CE3A79" w:rsidRDefault="001D3758" w:rsidP="001D3758">
      <w:pPr>
        <w:spacing w:after="480" w:line="360" w:lineRule="auto"/>
        <w:contextualSpacing/>
        <w:jc w:val="center"/>
        <w:rPr>
          <w:rFonts w:asciiTheme="majorHAnsi" w:hAnsiTheme="majorHAnsi"/>
          <w:b/>
          <w:sz w:val="28"/>
          <w:szCs w:val="28"/>
        </w:rPr>
      </w:pPr>
      <w:r w:rsidRPr="006E0C21">
        <w:rPr>
          <w:rFonts w:eastAsia="Arial" w:cs="Arial"/>
          <w:b/>
        </w:rPr>
        <w:t>Crowd</w:t>
      </w:r>
      <w:r>
        <w:rPr>
          <w:rFonts w:eastAsia="Arial" w:cs="Arial"/>
          <w:b/>
        </w:rPr>
        <w:t>f</w:t>
      </w:r>
      <w:r w:rsidRPr="006E0C21">
        <w:rPr>
          <w:rFonts w:eastAsia="Arial" w:cs="Arial"/>
          <w:b/>
        </w:rPr>
        <w:t xml:space="preserve">unding </w:t>
      </w:r>
      <w:r>
        <w:rPr>
          <w:rFonts w:eastAsia="Arial" w:cs="Arial"/>
          <w:b/>
        </w:rPr>
        <w:t>Platform and Associated Services</w:t>
      </w:r>
    </w:p>
    <w:p w14:paraId="6385D83A" w14:textId="77777777" w:rsidR="00075E3C" w:rsidRPr="00CE3A79" w:rsidRDefault="00075E3C" w:rsidP="00075E3C">
      <w:pPr>
        <w:spacing w:after="480" w:line="360" w:lineRule="auto"/>
        <w:contextualSpacing/>
        <w:jc w:val="center"/>
        <w:rPr>
          <w:rFonts w:asciiTheme="majorHAnsi" w:hAnsiTheme="majorHAnsi"/>
          <w:b/>
          <w:sz w:val="28"/>
          <w:szCs w:val="28"/>
        </w:rPr>
      </w:pPr>
    </w:p>
    <w:p w14:paraId="20C51EC9" w14:textId="649E5CF9" w:rsidR="006744D2" w:rsidRDefault="001D3758" w:rsidP="00F906E7">
      <w:pPr>
        <w:spacing w:after="480" w:line="360" w:lineRule="auto"/>
        <w:contextualSpacing/>
        <w:jc w:val="center"/>
        <w:rPr>
          <w:rFonts w:asciiTheme="majorHAnsi" w:hAnsiTheme="majorHAnsi"/>
          <w:b/>
          <w:sz w:val="28"/>
          <w:szCs w:val="28"/>
        </w:rPr>
      </w:pPr>
      <w:r>
        <w:rPr>
          <w:rFonts w:asciiTheme="majorHAnsi" w:hAnsiTheme="majorHAnsi"/>
          <w:b/>
          <w:sz w:val="28"/>
          <w:szCs w:val="28"/>
        </w:rPr>
        <w:t>January 2026</w:t>
      </w:r>
    </w:p>
    <w:p w14:paraId="453AC635" w14:textId="77777777" w:rsidR="00075E3C" w:rsidRPr="007D42EC" w:rsidRDefault="00075E3C" w:rsidP="00075E3C"/>
    <w:p w14:paraId="7AD2BA23" w14:textId="77777777" w:rsidR="00075E3C" w:rsidRDefault="00075E3C" w:rsidP="00075E3C">
      <w:pPr>
        <w:rPr>
          <w:rFonts w:ascii="Verdana" w:hAnsi="Verdana"/>
          <w:sz w:val="20"/>
        </w:rPr>
      </w:pPr>
    </w:p>
    <w:p w14:paraId="013BDD96" w14:textId="77777777" w:rsidR="00075E3C" w:rsidRDefault="00075E3C" w:rsidP="00075E3C">
      <w:pPr>
        <w:rPr>
          <w:rFonts w:ascii="Verdana" w:hAnsi="Verdana"/>
          <w:sz w:val="20"/>
        </w:rPr>
      </w:pPr>
    </w:p>
    <w:p w14:paraId="70B0632F" w14:textId="77777777" w:rsidR="00075E3C" w:rsidRDefault="00075E3C" w:rsidP="00075E3C">
      <w:pPr>
        <w:rPr>
          <w:rFonts w:ascii="Verdana" w:hAnsi="Verdana"/>
          <w:sz w:val="20"/>
        </w:rPr>
      </w:pPr>
    </w:p>
    <w:p w14:paraId="39D9FBE9" w14:textId="77777777" w:rsidR="00075E3C" w:rsidRPr="007D42EC" w:rsidRDefault="00075E3C" w:rsidP="00075E3C">
      <w:pPr>
        <w:rPr>
          <w:rFonts w:ascii="Verdana" w:hAnsi="Verdana"/>
          <w:sz w:val="20"/>
        </w:rPr>
      </w:pPr>
    </w:p>
    <w:p w14:paraId="7AA1E5FE" w14:textId="77777777" w:rsidR="00075E3C" w:rsidRPr="007D42EC" w:rsidRDefault="00075E3C" w:rsidP="00075E3C">
      <w:pPr>
        <w:rPr>
          <w:rFonts w:ascii="Verdana" w:hAnsi="Verdana"/>
          <w:sz w:val="20"/>
        </w:rPr>
      </w:pPr>
      <w:r>
        <w:rPr>
          <w:rFonts w:ascii="Verdana" w:hAnsi="Verdana" w:cs="Calibri"/>
          <w:b/>
          <w:bCs/>
          <w:sz w:val="20"/>
          <w:szCs w:val="22"/>
        </w:rPr>
        <w:tab/>
      </w:r>
      <w:r>
        <w:rPr>
          <w:rFonts w:ascii="Verdana" w:hAnsi="Verdana" w:cs="Calibri"/>
          <w:b/>
          <w:bCs/>
          <w:sz w:val="20"/>
          <w:szCs w:val="22"/>
        </w:rPr>
        <w:tab/>
      </w:r>
    </w:p>
    <w:p w14:paraId="30014500" w14:textId="77777777" w:rsidR="00075E3C" w:rsidRDefault="00075E3C" w:rsidP="00075E3C">
      <w:pPr>
        <w:rPr>
          <w:rFonts w:ascii="Verdana" w:hAnsi="Verdana"/>
          <w:sz w:val="20"/>
        </w:rPr>
      </w:pPr>
    </w:p>
    <w:p w14:paraId="3BC0D110" w14:textId="77777777" w:rsidR="00075E3C" w:rsidRDefault="00075E3C" w:rsidP="00075E3C">
      <w:pPr>
        <w:rPr>
          <w:rFonts w:ascii="Verdana" w:hAnsi="Verdana"/>
          <w:sz w:val="20"/>
        </w:rPr>
      </w:pPr>
    </w:p>
    <w:p w14:paraId="6F213843" w14:textId="77777777" w:rsidR="00075E3C" w:rsidRDefault="00075E3C" w:rsidP="00075E3C">
      <w:pPr>
        <w:rPr>
          <w:rFonts w:ascii="Verdana" w:hAnsi="Verdana"/>
          <w:sz w:val="20"/>
        </w:rPr>
      </w:pPr>
    </w:p>
    <w:p w14:paraId="6878604B" w14:textId="77777777" w:rsidR="00075E3C" w:rsidRDefault="00075E3C" w:rsidP="00075E3C">
      <w:pPr>
        <w:rPr>
          <w:rFonts w:ascii="Verdana" w:hAnsi="Verdana"/>
          <w:sz w:val="20"/>
        </w:rPr>
      </w:pPr>
    </w:p>
    <w:p w14:paraId="6D13041F" w14:textId="77777777" w:rsidR="00041346" w:rsidRDefault="00041346" w:rsidP="00075E3C">
      <w:pPr>
        <w:rPr>
          <w:rFonts w:ascii="Verdana" w:hAnsi="Verdana"/>
          <w:sz w:val="20"/>
        </w:rPr>
      </w:pPr>
    </w:p>
    <w:p w14:paraId="0D92022A" w14:textId="77777777" w:rsidR="00041346" w:rsidRDefault="00041346" w:rsidP="00075E3C">
      <w:pPr>
        <w:rPr>
          <w:rFonts w:ascii="Verdana" w:hAnsi="Verdana"/>
          <w:sz w:val="20"/>
        </w:rPr>
      </w:pPr>
    </w:p>
    <w:p w14:paraId="3569C420" w14:textId="77777777" w:rsidR="00041346" w:rsidRDefault="00041346" w:rsidP="00075E3C">
      <w:pPr>
        <w:rPr>
          <w:rFonts w:ascii="Verdana" w:hAnsi="Verdana"/>
          <w:sz w:val="20"/>
        </w:rPr>
      </w:pPr>
    </w:p>
    <w:p w14:paraId="3595C250" w14:textId="77777777" w:rsidR="00041346" w:rsidRDefault="00041346" w:rsidP="00075E3C">
      <w:pPr>
        <w:rPr>
          <w:rFonts w:ascii="Verdana" w:hAnsi="Verdana"/>
          <w:sz w:val="20"/>
        </w:rPr>
      </w:pPr>
    </w:p>
    <w:p w14:paraId="4D4C43DD" w14:textId="77777777" w:rsidR="00041346" w:rsidRDefault="00041346" w:rsidP="00075E3C">
      <w:pPr>
        <w:rPr>
          <w:rFonts w:ascii="Verdana" w:hAnsi="Verdana"/>
          <w:sz w:val="20"/>
        </w:rPr>
      </w:pPr>
    </w:p>
    <w:p w14:paraId="01D45619" w14:textId="77777777" w:rsidR="00075E3C" w:rsidRDefault="00075E3C" w:rsidP="00075E3C">
      <w:pPr>
        <w:rPr>
          <w:rFonts w:ascii="Verdana" w:hAnsi="Verdana"/>
          <w:sz w:val="20"/>
        </w:rPr>
      </w:pPr>
    </w:p>
    <w:p w14:paraId="49F7A445" w14:textId="77777777" w:rsidR="00075E3C" w:rsidRDefault="00075E3C" w:rsidP="00075E3C">
      <w:pPr>
        <w:rPr>
          <w:rFonts w:ascii="Verdana" w:hAnsi="Verdana"/>
          <w:sz w:val="20"/>
        </w:rPr>
      </w:pPr>
    </w:p>
    <w:p w14:paraId="3C65C4D5" w14:textId="77777777" w:rsidR="00075E3C" w:rsidRPr="007D42EC" w:rsidRDefault="00075E3C" w:rsidP="00075E3C">
      <w:pPr>
        <w:rPr>
          <w:rFonts w:ascii="Verdana" w:hAnsi="Verdana"/>
          <w:sz w:val="20"/>
        </w:rPr>
      </w:pPr>
    </w:p>
    <w:p w14:paraId="273D0116" w14:textId="77777777" w:rsidR="00075E3C" w:rsidRPr="007D42EC" w:rsidRDefault="00075E3C" w:rsidP="00075E3C">
      <w:pPr>
        <w:rPr>
          <w:rFonts w:ascii="Verdana" w:hAnsi="Verdana"/>
          <w:sz w:val="20"/>
        </w:rPr>
      </w:pPr>
    </w:p>
    <w:p w14:paraId="6A5F7D6F" w14:textId="77777777" w:rsidR="00183810" w:rsidRDefault="00183810" w:rsidP="00183810">
      <w:pPr>
        <w:spacing w:after="480" w:line="360" w:lineRule="auto"/>
        <w:contextualSpacing/>
        <w:rPr>
          <w:rFonts w:ascii="Verdana" w:hAnsi="Verdana"/>
          <w:sz w:val="20"/>
        </w:rPr>
      </w:pPr>
    </w:p>
    <w:p w14:paraId="6C5C005C" w14:textId="77777777" w:rsidR="00183810" w:rsidRDefault="00183810" w:rsidP="00183810">
      <w:pPr>
        <w:spacing w:after="480" w:line="360" w:lineRule="auto"/>
        <w:contextualSpacing/>
        <w:rPr>
          <w:rFonts w:ascii="Verdana" w:hAnsi="Verdana"/>
          <w:sz w:val="20"/>
        </w:rPr>
      </w:pPr>
    </w:p>
    <w:p w14:paraId="2086BEFD" w14:textId="77777777" w:rsidR="00183810" w:rsidRDefault="00183810" w:rsidP="00183810">
      <w:pPr>
        <w:spacing w:after="480" w:line="360" w:lineRule="auto"/>
        <w:contextualSpacing/>
        <w:rPr>
          <w:rFonts w:ascii="Verdana" w:hAnsi="Verdana"/>
          <w:sz w:val="20"/>
        </w:rPr>
      </w:pPr>
    </w:p>
    <w:p w14:paraId="6C59A33C" w14:textId="77777777" w:rsidR="00183810" w:rsidRDefault="00183810" w:rsidP="00183810">
      <w:pPr>
        <w:spacing w:after="480" w:line="360" w:lineRule="auto"/>
        <w:contextualSpacing/>
        <w:rPr>
          <w:rFonts w:ascii="Verdana" w:hAnsi="Verdana"/>
          <w:sz w:val="20"/>
        </w:rPr>
      </w:pPr>
    </w:p>
    <w:p w14:paraId="45D81EE5" w14:textId="77777777" w:rsidR="00183810" w:rsidRDefault="00183810" w:rsidP="00183810">
      <w:pPr>
        <w:spacing w:after="480" w:line="360" w:lineRule="auto"/>
        <w:contextualSpacing/>
        <w:rPr>
          <w:rFonts w:ascii="Verdana" w:hAnsi="Verdana"/>
          <w:sz w:val="20"/>
        </w:rPr>
      </w:pPr>
    </w:p>
    <w:p w14:paraId="0F2618D4" w14:textId="77777777" w:rsidR="00183810" w:rsidRDefault="00183810" w:rsidP="00183810">
      <w:pPr>
        <w:spacing w:after="480" w:line="360" w:lineRule="auto"/>
        <w:contextualSpacing/>
        <w:rPr>
          <w:rFonts w:ascii="Verdana" w:hAnsi="Verdana"/>
          <w:sz w:val="20"/>
        </w:rPr>
      </w:pPr>
    </w:p>
    <w:p w14:paraId="43932421" w14:textId="77777777" w:rsidR="00183810" w:rsidRDefault="00183810" w:rsidP="00183810">
      <w:pPr>
        <w:spacing w:after="480" w:line="360" w:lineRule="auto"/>
        <w:contextualSpacing/>
        <w:rPr>
          <w:rFonts w:ascii="Verdana" w:hAnsi="Verdana"/>
          <w:sz w:val="20"/>
        </w:rPr>
      </w:pPr>
    </w:p>
    <w:p w14:paraId="7EDDD8C8" w14:textId="77777777" w:rsidR="00075E3C" w:rsidRPr="00CE3A79" w:rsidRDefault="0006680A" w:rsidP="00183810">
      <w:pPr>
        <w:spacing w:after="480" w:line="360" w:lineRule="auto"/>
        <w:contextualSpacing/>
        <w:rPr>
          <w:rFonts w:asciiTheme="majorHAnsi" w:hAnsiTheme="majorHAnsi"/>
        </w:rPr>
      </w:pPr>
      <w:r w:rsidRPr="00CE3A79">
        <w:rPr>
          <w:rFonts w:asciiTheme="majorHAnsi" w:hAnsiTheme="majorHAnsi" w:cs="Calibri"/>
          <w:u w:val="single" w:color="0000FF"/>
          <w:lang w:val="en-US"/>
        </w:rPr>
        <w:t xml:space="preserve"> </w:t>
      </w:r>
    </w:p>
    <w:p w14:paraId="1FD265D9" w14:textId="77777777" w:rsidR="00075E3C" w:rsidRDefault="00075E3C" w:rsidP="00075E3C"/>
    <w:p w14:paraId="6599EC9A" w14:textId="77777777" w:rsidR="009B637C" w:rsidRDefault="009B637C" w:rsidP="00CE3A79">
      <w:pPr>
        <w:jc w:val="right"/>
        <w:rPr>
          <w:rFonts w:asciiTheme="majorHAnsi" w:hAnsiTheme="majorHAnsi"/>
          <w:sz w:val="22"/>
          <w:szCs w:val="22"/>
        </w:rPr>
      </w:pPr>
    </w:p>
    <w:p w14:paraId="5D16C7AE" w14:textId="77777777" w:rsidR="007673B2" w:rsidRPr="00CE3A79" w:rsidRDefault="008327AF" w:rsidP="007673B2">
      <w:pPr>
        <w:rPr>
          <w:rFonts w:asciiTheme="majorHAnsi" w:hAnsiTheme="majorHAnsi"/>
          <w:b/>
          <w:sz w:val="22"/>
          <w:szCs w:val="22"/>
        </w:rPr>
      </w:pPr>
      <w:r>
        <w:rPr>
          <w:rFonts w:asciiTheme="majorHAnsi" w:hAnsiTheme="majorHAnsi"/>
          <w:b/>
          <w:sz w:val="22"/>
          <w:szCs w:val="22"/>
        </w:rPr>
        <w:t>Documents Compr</w:t>
      </w:r>
      <w:r w:rsidR="007673B2" w:rsidRPr="00CE3A79">
        <w:rPr>
          <w:rFonts w:asciiTheme="majorHAnsi" w:hAnsiTheme="majorHAnsi"/>
          <w:b/>
          <w:sz w:val="22"/>
          <w:szCs w:val="22"/>
        </w:rPr>
        <w:t>ising This Tender</w:t>
      </w:r>
    </w:p>
    <w:p w14:paraId="4DF74217" w14:textId="77777777" w:rsidR="007673B2" w:rsidRPr="00CE3A79" w:rsidRDefault="007673B2" w:rsidP="007673B2">
      <w:pPr>
        <w:rPr>
          <w:rFonts w:asciiTheme="majorHAnsi" w:hAnsiTheme="majorHAnsi" w:cs="Calibri"/>
          <w:sz w:val="22"/>
          <w:szCs w:val="22"/>
        </w:rPr>
      </w:pPr>
    </w:p>
    <w:p w14:paraId="21AF4B11" w14:textId="77777777" w:rsidR="007673B2" w:rsidRPr="00CE3A79" w:rsidRDefault="007673B2" w:rsidP="007673B2">
      <w:pPr>
        <w:rPr>
          <w:rFonts w:asciiTheme="majorHAnsi" w:hAnsiTheme="majorHAnsi"/>
          <w:sz w:val="22"/>
          <w:szCs w:val="22"/>
        </w:rPr>
      </w:pPr>
      <w:r>
        <w:rPr>
          <w:rFonts w:asciiTheme="majorHAnsi" w:hAnsiTheme="majorHAnsi"/>
          <w:sz w:val="22"/>
          <w:szCs w:val="22"/>
        </w:rPr>
        <w:t xml:space="preserve">Section 1: </w:t>
      </w:r>
      <w:r w:rsidR="002C3C10">
        <w:rPr>
          <w:rFonts w:asciiTheme="majorHAnsi" w:hAnsiTheme="majorHAnsi"/>
          <w:sz w:val="22"/>
          <w:szCs w:val="22"/>
        </w:rPr>
        <w:t>Introduction</w:t>
      </w:r>
    </w:p>
    <w:p w14:paraId="5CDF956E" w14:textId="5F613C33" w:rsidR="007673B2" w:rsidRPr="00CE3A79" w:rsidRDefault="007673B2" w:rsidP="007673B2">
      <w:pPr>
        <w:rPr>
          <w:rFonts w:asciiTheme="majorHAnsi" w:hAnsiTheme="majorHAnsi"/>
          <w:sz w:val="22"/>
          <w:szCs w:val="22"/>
        </w:rPr>
      </w:pPr>
      <w:r w:rsidRPr="00CE3A79">
        <w:rPr>
          <w:rFonts w:asciiTheme="majorHAnsi" w:hAnsiTheme="majorHAnsi"/>
          <w:sz w:val="22"/>
          <w:szCs w:val="22"/>
        </w:rPr>
        <w:t>Section 2: Information and Instructions</w:t>
      </w:r>
    </w:p>
    <w:p w14:paraId="08747707" w14:textId="77777777" w:rsidR="007673B2" w:rsidRDefault="007673B2" w:rsidP="007673B2">
      <w:pPr>
        <w:rPr>
          <w:rFonts w:asciiTheme="majorHAnsi" w:hAnsiTheme="majorHAnsi"/>
          <w:sz w:val="22"/>
          <w:szCs w:val="22"/>
        </w:rPr>
      </w:pPr>
      <w:r w:rsidRPr="00CE3A79">
        <w:rPr>
          <w:rFonts w:asciiTheme="majorHAnsi" w:hAnsiTheme="majorHAnsi"/>
          <w:sz w:val="22"/>
          <w:szCs w:val="22"/>
        </w:rPr>
        <w:t>Section 3: Conditions of Tender</w:t>
      </w:r>
    </w:p>
    <w:p w14:paraId="770707C1" w14:textId="77777777" w:rsidR="003B329C" w:rsidRPr="00CE3A79" w:rsidRDefault="003B329C" w:rsidP="007673B2">
      <w:pPr>
        <w:rPr>
          <w:rFonts w:asciiTheme="majorHAnsi" w:hAnsiTheme="majorHAnsi"/>
          <w:sz w:val="22"/>
          <w:szCs w:val="22"/>
        </w:rPr>
      </w:pPr>
      <w:r>
        <w:rPr>
          <w:rFonts w:asciiTheme="majorHAnsi" w:hAnsiTheme="majorHAnsi"/>
          <w:sz w:val="22"/>
          <w:szCs w:val="22"/>
        </w:rPr>
        <w:t>Section 4: Requirement Details &amp; Response</w:t>
      </w:r>
    </w:p>
    <w:p w14:paraId="63C16A80" w14:textId="77777777" w:rsidR="007673B2" w:rsidRDefault="007673B2" w:rsidP="00CE3A79">
      <w:pPr>
        <w:jc w:val="right"/>
        <w:rPr>
          <w:rFonts w:asciiTheme="majorHAnsi" w:hAnsiTheme="majorHAnsi"/>
          <w:b/>
          <w:sz w:val="22"/>
          <w:szCs w:val="22"/>
        </w:rPr>
      </w:pPr>
    </w:p>
    <w:p w14:paraId="0E1FA637" w14:textId="77777777" w:rsidR="007673B2" w:rsidRDefault="007673B2" w:rsidP="00CE3A79">
      <w:pPr>
        <w:jc w:val="right"/>
        <w:rPr>
          <w:rFonts w:asciiTheme="majorHAnsi" w:hAnsiTheme="majorHAnsi"/>
          <w:b/>
          <w:sz w:val="22"/>
          <w:szCs w:val="22"/>
        </w:rPr>
      </w:pPr>
    </w:p>
    <w:p w14:paraId="6F384D2A" w14:textId="77777777" w:rsidR="007673B2" w:rsidRDefault="007673B2" w:rsidP="00CE3A79">
      <w:pPr>
        <w:jc w:val="right"/>
        <w:rPr>
          <w:rFonts w:asciiTheme="majorHAnsi" w:hAnsiTheme="majorHAnsi"/>
          <w:b/>
          <w:sz w:val="22"/>
          <w:szCs w:val="22"/>
        </w:rPr>
      </w:pPr>
    </w:p>
    <w:p w14:paraId="5DF54582" w14:textId="7DA3BA4D" w:rsidR="00C65944" w:rsidRPr="00C56D59" w:rsidRDefault="00C65944" w:rsidP="00C65944">
      <w:pPr>
        <w:jc w:val="both"/>
        <w:rPr>
          <w:rFonts w:asciiTheme="majorHAnsi" w:eastAsia="Times New Roman" w:hAnsiTheme="majorHAnsi" w:cs="Calibri"/>
          <w:b/>
          <w:sz w:val="22"/>
          <w:szCs w:val="22"/>
        </w:rPr>
      </w:pPr>
      <w:r w:rsidRPr="00C56D59">
        <w:rPr>
          <w:rFonts w:asciiTheme="majorHAnsi" w:eastAsia="Times New Roman" w:hAnsiTheme="majorHAnsi" w:cs="Calibri"/>
          <w:b/>
          <w:sz w:val="22"/>
          <w:szCs w:val="22"/>
        </w:rPr>
        <w:t>SECTION 1: INTRODUCTION</w:t>
      </w:r>
    </w:p>
    <w:p w14:paraId="4587215D" w14:textId="77777777" w:rsidR="00BE52FB" w:rsidRDefault="00BE52FB" w:rsidP="00C65944">
      <w:pPr>
        <w:jc w:val="both"/>
        <w:rPr>
          <w:rFonts w:ascii="Verdana" w:eastAsia="Times New Roman" w:hAnsi="Verdana" w:cs="Calibri"/>
          <w:b/>
          <w:bCs/>
          <w:sz w:val="20"/>
          <w:szCs w:val="20"/>
        </w:rPr>
      </w:pPr>
    </w:p>
    <w:p w14:paraId="257872CE" w14:textId="3C23D3F5" w:rsidR="00C65944" w:rsidRPr="00D161D9" w:rsidRDefault="00C65944" w:rsidP="00C65944">
      <w:pPr>
        <w:jc w:val="both"/>
        <w:rPr>
          <w:rFonts w:ascii="Verdana" w:eastAsia="Times New Roman" w:hAnsi="Verdana" w:cs="Calibri"/>
          <w:b/>
          <w:bCs/>
          <w:sz w:val="20"/>
          <w:szCs w:val="20"/>
        </w:rPr>
      </w:pPr>
      <w:r w:rsidRPr="00D161D9">
        <w:rPr>
          <w:rFonts w:ascii="Verdana" w:eastAsia="Times New Roman" w:hAnsi="Verdana" w:cs="Calibri"/>
          <w:b/>
          <w:bCs/>
          <w:sz w:val="20"/>
          <w:szCs w:val="20"/>
        </w:rPr>
        <w:t>BACKGROUND</w:t>
      </w:r>
    </w:p>
    <w:p w14:paraId="18D915DD" w14:textId="77777777" w:rsidR="00C65944" w:rsidRPr="00D161D9" w:rsidRDefault="00C65944" w:rsidP="00C65944">
      <w:pPr>
        <w:jc w:val="both"/>
        <w:rPr>
          <w:rFonts w:ascii="Verdana" w:eastAsia="Times New Roman" w:hAnsi="Verdana" w:cs="Calibri"/>
          <w:sz w:val="20"/>
          <w:szCs w:val="20"/>
        </w:rPr>
      </w:pPr>
    </w:p>
    <w:p w14:paraId="5B288EA2" w14:textId="77777777" w:rsidR="00C65944" w:rsidRPr="00C65944" w:rsidRDefault="00C65944" w:rsidP="00C65944">
      <w:pPr>
        <w:rPr>
          <w:rFonts w:asciiTheme="majorHAnsi" w:eastAsia="Times New Roman" w:hAnsiTheme="majorHAnsi" w:cs="Calibri"/>
          <w:sz w:val="22"/>
          <w:szCs w:val="22"/>
        </w:rPr>
      </w:pPr>
      <w:r w:rsidRPr="00C65944">
        <w:rPr>
          <w:rFonts w:asciiTheme="majorHAnsi" w:eastAsia="Times New Roman" w:hAnsiTheme="majorHAnsi" w:cs="Calibri"/>
          <w:sz w:val="22"/>
          <w:szCs w:val="22"/>
        </w:rP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3DF4C467" w14:textId="77777777" w:rsidR="00C65944" w:rsidRDefault="00C65944" w:rsidP="00C65944">
      <w:pPr>
        <w:rPr>
          <w:rFonts w:ascii="Verdana" w:eastAsia="Times New Roman" w:hAnsi="Verdana" w:cs="Calibri"/>
          <w:sz w:val="20"/>
          <w:szCs w:val="20"/>
        </w:rPr>
      </w:pPr>
    </w:p>
    <w:p w14:paraId="721F7E4E" w14:textId="13E1FF3F" w:rsidR="00E46017" w:rsidRDefault="00C65944" w:rsidP="00C65944">
      <w:pPr>
        <w:rPr>
          <w:rFonts w:asciiTheme="majorHAnsi" w:hAnsiTheme="majorHAnsi"/>
          <w:sz w:val="22"/>
          <w:szCs w:val="22"/>
        </w:rPr>
      </w:pPr>
      <w:r w:rsidRPr="00CE3A79">
        <w:rPr>
          <w:rFonts w:asciiTheme="majorHAnsi" w:hAnsiTheme="majorHAnsi"/>
          <w:sz w:val="22"/>
          <w:szCs w:val="22"/>
        </w:rPr>
        <w:t xml:space="preserve">Sport Wales </w:t>
      </w:r>
      <w:r>
        <w:rPr>
          <w:rFonts w:asciiTheme="majorHAnsi" w:hAnsiTheme="majorHAnsi"/>
          <w:sz w:val="22"/>
          <w:szCs w:val="22"/>
        </w:rPr>
        <w:t>is</w:t>
      </w:r>
      <w:r w:rsidRPr="00CE3A79">
        <w:rPr>
          <w:rFonts w:asciiTheme="majorHAnsi" w:hAnsiTheme="majorHAnsi"/>
          <w:sz w:val="22"/>
          <w:szCs w:val="22"/>
        </w:rPr>
        <w:t xml:space="preserve"> the national organisation responsible for developing and promoting sport and physical activity in Wales</w:t>
      </w:r>
      <w:r>
        <w:rPr>
          <w:rFonts w:asciiTheme="majorHAnsi" w:hAnsiTheme="majorHAnsi"/>
          <w:sz w:val="22"/>
          <w:szCs w:val="22"/>
        </w:rPr>
        <w:t xml:space="preserve"> at both community and elite levels</w:t>
      </w:r>
      <w:r w:rsidRPr="00CE3A79">
        <w:rPr>
          <w:rFonts w:asciiTheme="majorHAnsi" w:hAnsiTheme="majorHAnsi"/>
          <w:sz w:val="22"/>
          <w:szCs w:val="22"/>
        </w:rPr>
        <w:t xml:space="preserve">.  </w:t>
      </w:r>
      <w:r>
        <w:rPr>
          <w:rFonts w:asciiTheme="majorHAnsi" w:hAnsiTheme="majorHAnsi"/>
          <w:sz w:val="22"/>
          <w:szCs w:val="22"/>
        </w:rPr>
        <w:t>It</w:t>
      </w:r>
      <w:r w:rsidRPr="00CE3A79">
        <w:rPr>
          <w:rFonts w:asciiTheme="majorHAnsi" w:hAnsiTheme="majorHAnsi"/>
          <w:sz w:val="22"/>
          <w:szCs w:val="22"/>
        </w:rPr>
        <w:t xml:space="preserve"> is also responsible for the distribution of significant amounts of grant funding across a broad portfolio of sports activity in Wales</w:t>
      </w:r>
      <w:r w:rsidR="001B366D">
        <w:rPr>
          <w:rFonts w:asciiTheme="majorHAnsi" w:hAnsiTheme="majorHAnsi"/>
          <w:sz w:val="22"/>
          <w:szCs w:val="22"/>
        </w:rPr>
        <w:t>.</w:t>
      </w:r>
    </w:p>
    <w:p w14:paraId="3D3D5CD7" w14:textId="77777777" w:rsidR="00E46017" w:rsidRDefault="00E46017" w:rsidP="00C65944">
      <w:pPr>
        <w:rPr>
          <w:rFonts w:asciiTheme="majorHAnsi" w:hAnsiTheme="majorHAnsi"/>
          <w:sz w:val="22"/>
          <w:szCs w:val="22"/>
        </w:rPr>
      </w:pPr>
    </w:p>
    <w:p w14:paraId="761F6A29" w14:textId="4F41A4B9" w:rsidR="00C65944" w:rsidRPr="00CE3A79" w:rsidRDefault="00E46017" w:rsidP="50E117F3">
      <w:pPr>
        <w:rPr>
          <w:rFonts w:asciiTheme="majorHAnsi" w:hAnsiTheme="majorHAnsi"/>
          <w:sz w:val="22"/>
          <w:szCs w:val="22"/>
        </w:rPr>
      </w:pPr>
      <w:r w:rsidRPr="50E117F3">
        <w:rPr>
          <w:rFonts w:asciiTheme="majorHAnsi" w:hAnsiTheme="majorHAnsi"/>
          <w:sz w:val="22"/>
          <w:szCs w:val="22"/>
        </w:rPr>
        <w:t xml:space="preserve">Sport Wales is one of </w:t>
      </w:r>
      <w:r w:rsidR="42BD378D" w:rsidRPr="50E117F3">
        <w:rPr>
          <w:rFonts w:asciiTheme="majorHAnsi" w:hAnsiTheme="majorHAnsi"/>
          <w:sz w:val="22"/>
          <w:szCs w:val="22"/>
        </w:rPr>
        <w:t>56</w:t>
      </w:r>
      <w:r w:rsidRPr="50E117F3">
        <w:rPr>
          <w:rFonts w:asciiTheme="majorHAnsi" w:hAnsiTheme="majorHAnsi"/>
          <w:sz w:val="22"/>
          <w:szCs w:val="22"/>
        </w:rPr>
        <w:t xml:space="preserve"> public sector bodies in Wales wh</w:t>
      </w:r>
      <w:r w:rsidR="000D0809" w:rsidRPr="50E117F3">
        <w:rPr>
          <w:rFonts w:asciiTheme="majorHAnsi" w:hAnsiTheme="majorHAnsi"/>
          <w:sz w:val="22"/>
          <w:szCs w:val="22"/>
        </w:rPr>
        <w:t>ich</w:t>
      </w:r>
      <w:r w:rsidRPr="50E117F3">
        <w:rPr>
          <w:rFonts w:asciiTheme="majorHAnsi" w:hAnsiTheme="majorHAnsi"/>
          <w:sz w:val="22"/>
          <w:szCs w:val="22"/>
        </w:rPr>
        <w:t xml:space="preserve"> are subject to Welsh Government’s </w:t>
      </w:r>
      <w:r w:rsidRPr="50E117F3">
        <w:rPr>
          <w:rFonts w:asciiTheme="majorHAnsi" w:hAnsiTheme="majorHAnsi"/>
          <w:i/>
          <w:iCs/>
          <w:sz w:val="22"/>
          <w:szCs w:val="22"/>
        </w:rPr>
        <w:t>Well-being of Future Generations (Wales) Act 2015</w:t>
      </w:r>
      <w:r w:rsidRPr="50E117F3">
        <w:rPr>
          <w:rFonts w:asciiTheme="majorHAnsi" w:hAnsiTheme="majorHAnsi"/>
          <w:sz w:val="22"/>
          <w:szCs w:val="22"/>
        </w:rPr>
        <w:t xml:space="preserve">. Accordingly, Sport Wales has developed its own well-being objectives. </w:t>
      </w:r>
      <w:r w:rsidR="001B366D" w:rsidRPr="50E117F3">
        <w:rPr>
          <w:rFonts w:asciiTheme="majorHAnsi" w:hAnsiTheme="majorHAnsi"/>
          <w:sz w:val="22"/>
          <w:szCs w:val="22"/>
        </w:rPr>
        <w:t>Audit Wales</w:t>
      </w:r>
      <w:r w:rsidRPr="50E117F3">
        <w:rPr>
          <w:rFonts w:asciiTheme="majorHAnsi" w:hAnsiTheme="majorHAnsi"/>
          <w:sz w:val="22"/>
          <w:szCs w:val="22"/>
        </w:rPr>
        <w:t xml:space="preserve"> </w:t>
      </w:r>
      <w:r w:rsidR="00E30576" w:rsidRPr="50E117F3">
        <w:rPr>
          <w:rFonts w:asciiTheme="majorHAnsi" w:hAnsiTheme="majorHAnsi"/>
          <w:sz w:val="22"/>
          <w:szCs w:val="22"/>
        </w:rPr>
        <w:t>is</w:t>
      </w:r>
      <w:r w:rsidRPr="50E117F3">
        <w:rPr>
          <w:rFonts w:asciiTheme="majorHAnsi" w:hAnsiTheme="majorHAnsi"/>
          <w:sz w:val="22"/>
          <w:szCs w:val="22"/>
        </w:rPr>
        <w:t xml:space="preserve"> charged with auditing these organisations to assess the extent to which well-being objectives and the five ways of working that the Act promotes, have been delivered. </w:t>
      </w:r>
    </w:p>
    <w:p w14:paraId="2E38A0BB" w14:textId="77777777" w:rsidR="00C65944" w:rsidRPr="00CE3A79" w:rsidRDefault="00C65944" w:rsidP="00C65944">
      <w:pPr>
        <w:rPr>
          <w:rFonts w:asciiTheme="majorHAnsi" w:hAnsiTheme="majorHAnsi"/>
          <w:sz w:val="22"/>
          <w:szCs w:val="22"/>
        </w:rPr>
      </w:pPr>
    </w:p>
    <w:p w14:paraId="4D7AE6E5" w14:textId="6009C2A4" w:rsidR="00C65944" w:rsidRDefault="00C65944" w:rsidP="00C65944">
      <w:pPr>
        <w:rPr>
          <w:rFonts w:asciiTheme="majorHAnsi" w:hAnsiTheme="majorHAnsi" w:cs="MetaPro-Normal"/>
          <w:sz w:val="22"/>
          <w:szCs w:val="22"/>
          <w:lang w:eastAsia="en-GB"/>
        </w:rPr>
      </w:pPr>
      <w:r w:rsidRPr="00CE3A79">
        <w:rPr>
          <w:rFonts w:asciiTheme="majorHAnsi" w:hAnsiTheme="majorHAnsi"/>
          <w:sz w:val="22"/>
          <w:szCs w:val="22"/>
        </w:rPr>
        <w:t xml:space="preserve">We aim to not only improve the level of sports </w:t>
      </w:r>
      <w:r w:rsidRPr="00E46017">
        <w:rPr>
          <w:rFonts w:asciiTheme="majorHAnsi" w:hAnsiTheme="majorHAnsi"/>
          <w:sz w:val="22"/>
          <w:szCs w:val="22"/>
        </w:rPr>
        <w:t>participation at grassroots level but also provide our aspiring athletes with the support required to compete</w:t>
      </w:r>
      <w:r w:rsidRPr="00CE3A79">
        <w:rPr>
          <w:rFonts w:asciiTheme="majorHAnsi" w:hAnsiTheme="majorHAnsi"/>
          <w:sz w:val="22"/>
          <w:szCs w:val="22"/>
        </w:rPr>
        <w:t xml:space="preserve"> successfully on the world stage. </w:t>
      </w:r>
    </w:p>
    <w:p w14:paraId="7EF8CB89" w14:textId="77777777" w:rsidR="00C65944" w:rsidRPr="00D161D9" w:rsidRDefault="00C65944" w:rsidP="00C65944">
      <w:pPr>
        <w:rPr>
          <w:rFonts w:ascii="Verdana" w:eastAsia="Times New Roman" w:hAnsi="Verdana" w:cs="Calibri"/>
          <w:sz w:val="20"/>
          <w:szCs w:val="20"/>
        </w:rPr>
      </w:pPr>
    </w:p>
    <w:p w14:paraId="29A539A3" w14:textId="519DF930" w:rsidR="00C65944" w:rsidRDefault="00C65944" w:rsidP="00C65944">
      <w:pPr>
        <w:rPr>
          <w:rFonts w:asciiTheme="majorHAnsi" w:eastAsia="Times New Roman" w:hAnsiTheme="majorHAnsi" w:cs="Calibri"/>
          <w:sz w:val="22"/>
          <w:szCs w:val="22"/>
        </w:rPr>
      </w:pPr>
      <w:r w:rsidRPr="00C65944">
        <w:rPr>
          <w:rFonts w:asciiTheme="majorHAnsi" w:eastAsia="Times New Roman" w:hAnsiTheme="majorHAnsi" w:cs="Calibri"/>
          <w:sz w:val="22"/>
          <w:szCs w:val="22"/>
        </w:rPr>
        <w:t xml:space="preserve">Sport Wales </w:t>
      </w:r>
      <w:r w:rsidR="00E30576">
        <w:rPr>
          <w:rFonts w:asciiTheme="majorHAnsi" w:eastAsia="Times New Roman" w:hAnsiTheme="majorHAnsi" w:cs="Calibri"/>
          <w:sz w:val="22"/>
          <w:szCs w:val="22"/>
        </w:rPr>
        <w:t xml:space="preserve">currently </w:t>
      </w:r>
      <w:r w:rsidRPr="00C65944">
        <w:rPr>
          <w:rFonts w:asciiTheme="majorHAnsi" w:eastAsia="Times New Roman" w:hAnsiTheme="majorHAnsi" w:cs="Calibri"/>
          <w:sz w:val="22"/>
          <w:szCs w:val="22"/>
        </w:rPr>
        <w:t xml:space="preserve">operates over </w:t>
      </w:r>
      <w:r w:rsidR="00E30576">
        <w:rPr>
          <w:rFonts w:asciiTheme="majorHAnsi" w:eastAsia="Times New Roman" w:hAnsiTheme="majorHAnsi" w:cs="Calibri"/>
          <w:sz w:val="22"/>
          <w:szCs w:val="22"/>
        </w:rPr>
        <w:t>four</w:t>
      </w:r>
      <w:r w:rsidRPr="00C65944">
        <w:rPr>
          <w:rFonts w:asciiTheme="majorHAnsi" w:eastAsia="Times New Roman" w:hAnsiTheme="majorHAnsi" w:cs="Calibri"/>
          <w:sz w:val="22"/>
          <w:szCs w:val="22"/>
        </w:rPr>
        <w:t xml:space="preserve"> locations in Wales; the sites include our two National Centres, situated in Sophia Gardens, Cardiff and Plas Menai</w:t>
      </w:r>
      <w:r w:rsidR="00C418B1">
        <w:rPr>
          <w:rFonts w:asciiTheme="majorHAnsi" w:eastAsia="Times New Roman" w:hAnsiTheme="majorHAnsi" w:cs="Calibri"/>
          <w:sz w:val="22"/>
          <w:szCs w:val="22"/>
        </w:rPr>
        <w:t>, Ca</w:t>
      </w:r>
      <w:r w:rsidR="001B3E98">
        <w:rPr>
          <w:rFonts w:asciiTheme="majorHAnsi" w:eastAsia="Times New Roman" w:hAnsiTheme="majorHAnsi" w:cs="Calibri"/>
          <w:sz w:val="22"/>
          <w:szCs w:val="22"/>
        </w:rPr>
        <w:t>ernarfon</w:t>
      </w:r>
      <w:r w:rsidR="00295D04">
        <w:rPr>
          <w:rFonts w:asciiTheme="majorHAnsi" w:eastAsia="Times New Roman" w:hAnsiTheme="majorHAnsi" w:cs="Calibri"/>
          <w:sz w:val="22"/>
          <w:szCs w:val="22"/>
        </w:rPr>
        <w:t xml:space="preserve"> (in partnership with Parkwood &amp; </w:t>
      </w:r>
      <w:r w:rsidR="00EA679C">
        <w:rPr>
          <w:rFonts w:asciiTheme="majorHAnsi" w:eastAsia="Times New Roman" w:hAnsiTheme="majorHAnsi" w:cs="Calibri"/>
          <w:sz w:val="22"/>
          <w:szCs w:val="22"/>
        </w:rPr>
        <w:t>Legacy Leisure)</w:t>
      </w:r>
      <w:r w:rsidRPr="00C65944">
        <w:rPr>
          <w:rFonts w:asciiTheme="majorHAnsi" w:eastAsia="Times New Roman" w:hAnsiTheme="majorHAnsi" w:cs="Calibri"/>
          <w:sz w:val="22"/>
          <w:szCs w:val="22"/>
        </w:rPr>
        <w:t>; and</w:t>
      </w:r>
      <w:r w:rsidR="00CC4EBB">
        <w:rPr>
          <w:rFonts w:asciiTheme="majorHAnsi" w:eastAsia="Times New Roman" w:hAnsiTheme="majorHAnsi" w:cs="Calibri"/>
          <w:sz w:val="22"/>
          <w:szCs w:val="22"/>
        </w:rPr>
        <w:t xml:space="preserve"> </w:t>
      </w:r>
      <w:r w:rsidRPr="00C65944">
        <w:rPr>
          <w:rFonts w:asciiTheme="majorHAnsi" w:eastAsia="Times New Roman" w:hAnsiTheme="majorHAnsi" w:cs="Calibri"/>
          <w:sz w:val="22"/>
          <w:szCs w:val="22"/>
        </w:rPr>
        <w:t>satellite office</w:t>
      </w:r>
      <w:r w:rsidR="00FF2C57">
        <w:rPr>
          <w:rFonts w:asciiTheme="majorHAnsi" w:eastAsia="Times New Roman" w:hAnsiTheme="majorHAnsi" w:cs="Calibri"/>
          <w:sz w:val="22"/>
          <w:szCs w:val="22"/>
        </w:rPr>
        <w:t>s</w:t>
      </w:r>
      <w:r w:rsidR="00CC4EBB">
        <w:rPr>
          <w:rFonts w:asciiTheme="majorHAnsi" w:eastAsia="Times New Roman" w:hAnsiTheme="majorHAnsi" w:cs="Calibri"/>
          <w:sz w:val="22"/>
          <w:szCs w:val="22"/>
        </w:rPr>
        <w:t xml:space="preserve"> </w:t>
      </w:r>
      <w:r w:rsidRPr="00C65944">
        <w:rPr>
          <w:rFonts w:asciiTheme="majorHAnsi" w:eastAsia="Times New Roman" w:hAnsiTheme="majorHAnsi" w:cs="Calibri"/>
          <w:sz w:val="22"/>
          <w:szCs w:val="22"/>
        </w:rPr>
        <w:t>located in Deeside</w:t>
      </w:r>
      <w:r w:rsidR="00FF2C57">
        <w:rPr>
          <w:rFonts w:asciiTheme="majorHAnsi" w:eastAsia="Times New Roman" w:hAnsiTheme="majorHAnsi" w:cs="Calibri"/>
          <w:sz w:val="22"/>
          <w:szCs w:val="22"/>
        </w:rPr>
        <w:t xml:space="preserve"> and Llanelli.</w:t>
      </w:r>
    </w:p>
    <w:p w14:paraId="750622A6" w14:textId="77777777" w:rsidR="00C65944" w:rsidRPr="00D161D9" w:rsidRDefault="00C65944" w:rsidP="00C65944">
      <w:pPr>
        <w:jc w:val="both"/>
        <w:rPr>
          <w:rFonts w:ascii="Verdana" w:eastAsia="Times New Roman" w:hAnsi="Verdana" w:cs="Calibri"/>
          <w:sz w:val="20"/>
          <w:szCs w:val="20"/>
        </w:rPr>
      </w:pPr>
    </w:p>
    <w:p w14:paraId="076C3D95" w14:textId="77777777" w:rsidR="00FC6318" w:rsidRDefault="00FC6318" w:rsidP="00FC6318">
      <w:pPr>
        <w:rPr>
          <w:rFonts w:asciiTheme="majorHAnsi" w:hAnsiTheme="majorHAnsi"/>
          <w:sz w:val="22"/>
          <w:szCs w:val="22"/>
        </w:rPr>
      </w:pPr>
      <w:r w:rsidRPr="00CE3A79">
        <w:rPr>
          <w:rFonts w:asciiTheme="majorHAnsi" w:hAnsiTheme="majorHAnsi"/>
          <w:sz w:val="22"/>
          <w:szCs w:val="22"/>
        </w:rPr>
        <w:t>For further information ab</w:t>
      </w:r>
      <w:r w:rsidR="00B572C9">
        <w:rPr>
          <w:rFonts w:asciiTheme="majorHAnsi" w:hAnsiTheme="majorHAnsi"/>
          <w:sz w:val="22"/>
          <w:szCs w:val="22"/>
        </w:rPr>
        <w:t xml:space="preserve">out Sport Wales, please visit: </w:t>
      </w:r>
      <w:hyperlink r:id="rId12" w:history="1">
        <w:r w:rsidR="00B572C9" w:rsidRPr="00D71271">
          <w:rPr>
            <w:rStyle w:val="Hyperlink"/>
            <w:rFonts w:asciiTheme="majorHAnsi" w:hAnsiTheme="majorHAnsi"/>
            <w:sz w:val="22"/>
            <w:szCs w:val="22"/>
          </w:rPr>
          <w:t>www.sport.wales</w:t>
        </w:r>
      </w:hyperlink>
      <w:r w:rsidR="00B572C9">
        <w:rPr>
          <w:rFonts w:asciiTheme="majorHAnsi" w:hAnsiTheme="majorHAnsi"/>
          <w:sz w:val="22"/>
          <w:szCs w:val="22"/>
        </w:rPr>
        <w:t xml:space="preserve"> </w:t>
      </w:r>
    </w:p>
    <w:p w14:paraId="5E833998" w14:textId="77777777" w:rsidR="001A7E60" w:rsidRDefault="001A7E60" w:rsidP="00E46017">
      <w:pPr>
        <w:rPr>
          <w:rFonts w:asciiTheme="majorHAnsi" w:hAnsiTheme="majorHAnsi"/>
          <w:b/>
          <w:sz w:val="22"/>
          <w:szCs w:val="22"/>
        </w:rPr>
      </w:pPr>
    </w:p>
    <w:p w14:paraId="6B456C76" w14:textId="77777777" w:rsidR="001A7E60" w:rsidRDefault="001A7E60" w:rsidP="00E46017">
      <w:pPr>
        <w:rPr>
          <w:rFonts w:asciiTheme="majorHAnsi" w:hAnsiTheme="majorHAnsi"/>
          <w:b/>
          <w:sz w:val="22"/>
          <w:szCs w:val="22"/>
        </w:rPr>
      </w:pPr>
    </w:p>
    <w:p w14:paraId="615EC873" w14:textId="77777777" w:rsidR="00FA03E7" w:rsidRPr="00E46017" w:rsidRDefault="00E46017" w:rsidP="00E46017">
      <w:pPr>
        <w:rPr>
          <w:rFonts w:asciiTheme="majorHAnsi" w:hAnsiTheme="majorHAnsi" w:cs="Arial"/>
          <w:b/>
          <w:sz w:val="22"/>
          <w:szCs w:val="22"/>
          <w:u w:val="single"/>
        </w:rPr>
      </w:pPr>
      <w:r w:rsidRPr="00E46017">
        <w:rPr>
          <w:rFonts w:asciiTheme="majorHAnsi" w:hAnsiTheme="majorHAnsi"/>
          <w:b/>
          <w:sz w:val="22"/>
          <w:szCs w:val="22"/>
        </w:rPr>
        <w:t>REQUIREMENT OVERVIEW</w:t>
      </w:r>
    </w:p>
    <w:p w14:paraId="0C3CDF0A" w14:textId="77777777" w:rsidR="004F739D" w:rsidRDefault="004F739D" w:rsidP="004F739D">
      <w:pPr>
        <w:rPr>
          <w:rFonts w:ascii="Calibri" w:hAnsi="Calibri" w:cs="Arial"/>
          <w:sz w:val="22"/>
        </w:rPr>
      </w:pPr>
    </w:p>
    <w:p w14:paraId="7CE2E84D" w14:textId="57A7151F" w:rsidR="00476BF7" w:rsidRPr="000165A3" w:rsidRDefault="00476BF7" w:rsidP="00476BF7">
      <w:pPr>
        <w:rPr>
          <w:rFonts w:asciiTheme="majorHAnsi" w:hAnsiTheme="majorHAnsi" w:cstheme="majorHAnsi"/>
          <w:sz w:val="22"/>
          <w:szCs w:val="22"/>
        </w:rPr>
      </w:pPr>
      <w:r w:rsidRPr="000165A3">
        <w:rPr>
          <w:rFonts w:asciiTheme="majorHAnsi" w:hAnsiTheme="majorHAnsi" w:cstheme="majorHAnsi"/>
          <w:sz w:val="22"/>
          <w:szCs w:val="22"/>
        </w:rPr>
        <w:t xml:space="preserve">Sport </w:t>
      </w:r>
      <w:r>
        <w:rPr>
          <w:rFonts w:asciiTheme="majorHAnsi" w:hAnsiTheme="majorHAnsi" w:cstheme="majorHAnsi"/>
          <w:sz w:val="22"/>
          <w:szCs w:val="22"/>
        </w:rPr>
        <w:t>Wales</w:t>
      </w:r>
      <w:r w:rsidRPr="000165A3">
        <w:rPr>
          <w:rFonts w:asciiTheme="majorHAnsi" w:hAnsiTheme="majorHAnsi" w:cstheme="majorHAnsi"/>
          <w:sz w:val="22"/>
          <w:szCs w:val="22"/>
        </w:rPr>
        <w:t xml:space="preserve"> is seeking to appoint a Provider for a crowdfunding platform, providing coaching and support </w:t>
      </w:r>
      <w:r>
        <w:rPr>
          <w:rFonts w:asciiTheme="majorHAnsi" w:hAnsiTheme="majorHAnsi" w:cstheme="majorHAnsi"/>
          <w:sz w:val="22"/>
          <w:szCs w:val="22"/>
        </w:rPr>
        <w:t xml:space="preserve">to </w:t>
      </w:r>
      <w:r w:rsidRPr="000165A3">
        <w:rPr>
          <w:rFonts w:asciiTheme="majorHAnsi" w:hAnsiTheme="majorHAnsi" w:cstheme="majorHAnsi"/>
          <w:sz w:val="22"/>
          <w:szCs w:val="22"/>
        </w:rPr>
        <w:t xml:space="preserve">projects need to generate alternative sources of investment to sustain their </w:t>
      </w:r>
      <w:r>
        <w:rPr>
          <w:rFonts w:asciiTheme="majorHAnsi" w:hAnsiTheme="majorHAnsi" w:cstheme="majorHAnsi"/>
          <w:sz w:val="22"/>
          <w:szCs w:val="22"/>
        </w:rPr>
        <w:t xml:space="preserve">organisations. </w:t>
      </w:r>
      <w:r w:rsidR="005538F3">
        <w:rPr>
          <w:rFonts w:asciiTheme="majorHAnsi" w:hAnsiTheme="majorHAnsi" w:cstheme="majorHAnsi"/>
          <w:sz w:val="22"/>
          <w:szCs w:val="22"/>
        </w:rPr>
        <w:t xml:space="preserve">The platform must provide a rewards-based incentive approach. </w:t>
      </w:r>
      <w:r w:rsidRPr="000165A3">
        <w:rPr>
          <w:rFonts w:asciiTheme="majorHAnsi" w:hAnsiTheme="majorHAnsi" w:cstheme="majorHAnsi"/>
          <w:sz w:val="22"/>
          <w:szCs w:val="22"/>
        </w:rPr>
        <w:t>The high-level purpose of the crowdfunding platform is to deliver community rewards-based campaigns</w:t>
      </w:r>
      <w:r>
        <w:rPr>
          <w:rFonts w:asciiTheme="majorHAnsi" w:hAnsiTheme="majorHAnsi" w:cstheme="majorHAnsi"/>
          <w:sz w:val="22"/>
          <w:szCs w:val="22"/>
        </w:rPr>
        <w:t>, for not-for-profit organisations and clubs,</w:t>
      </w:r>
      <w:r w:rsidRPr="000165A3">
        <w:rPr>
          <w:rFonts w:asciiTheme="majorHAnsi" w:hAnsiTheme="majorHAnsi" w:cstheme="majorHAnsi"/>
          <w:sz w:val="22"/>
          <w:szCs w:val="22"/>
        </w:rPr>
        <w:t xml:space="preserve"> under the brand ‘</w:t>
      </w:r>
      <w:r w:rsidRPr="001A1F3E">
        <w:rPr>
          <w:rFonts w:asciiTheme="majorHAnsi" w:hAnsiTheme="majorHAnsi" w:cstheme="majorHAnsi"/>
          <w:i/>
          <w:iCs/>
          <w:sz w:val="22"/>
          <w:szCs w:val="22"/>
        </w:rPr>
        <w:t>A Place for Sport’</w:t>
      </w:r>
      <w:r w:rsidRPr="000165A3">
        <w:rPr>
          <w:rFonts w:asciiTheme="majorHAnsi" w:hAnsiTheme="majorHAnsi" w:cstheme="majorHAnsi"/>
          <w:sz w:val="22"/>
          <w:szCs w:val="22"/>
        </w:rPr>
        <w:t xml:space="preserve"> to:</w:t>
      </w:r>
    </w:p>
    <w:p w14:paraId="27F6C3F1" w14:textId="77777777" w:rsidR="00476BF7" w:rsidRPr="000165A3" w:rsidRDefault="00476BF7" w:rsidP="00476BF7">
      <w:pPr>
        <w:rPr>
          <w:rFonts w:asciiTheme="majorHAnsi" w:hAnsiTheme="majorHAnsi" w:cstheme="majorHAnsi"/>
          <w:sz w:val="22"/>
          <w:szCs w:val="22"/>
        </w:rPr>
      </w:pPr>
    </w:p>
    <w:p w14:paraId="40C7B2AB" w14:textId="45143D5D" w:rsidR="00476BF7" w:rsidRPr="000165A3" w:rsidRDefault="00476BF7" w:rsidP="00476BF7">
      <w:pPr>
        <w:numPr>
          <w:ilvl w:val="0"/>
          <w:numId w:val="9"/>
        </w:numPr>
        <w:rPr>
          <w:rFonts w:asciiTheme="majorHAnsi" w:hAnsiTheme="majorHAnsi" w:cstheme="majorHAnsi"/>
          <w:sz w:val="22"/>
          <w:szCs w:val="22"/>
        </w:rPr>
      </w:pPr>
      <w:r w:rsidRPr="000165A3">
        <w:rPr>
          <w:rFonts w:asciiTheme="majorHAnsi" w:hAnsiTheme="majorHAnsi" w:cstheme="majorHAnsi"/>
          <w:sz w:val="22"/>
          <w:szCs w:val="22"/>
        </w:rPr>
        <w:t>Raise awareness of crowdfunding as an alternative source of investment in the sport &amp; physical activity sectors</w:t>
      </w:r>
      <w:r w:rsidR="001A1F3E">
        <w:rPr>
          <w:rFonts w:asciiTheme="majorHAnsi" w:hAnsiTheme="majorHAnsi" w:cstheme="majorHAnsi"/>
          <w:sz w:val="22"/>
          <w:szCs w:val="22"/>
        </w:rPr>
        <w:t>.</w:t>
      </w:r>
    </w:p>
    <w:p w14:paraId="481E13DA" w14:textId="7B983B3E" w:rsidR="00476BF7" w:rsidRPr="000165A3" w:rsidRDefault="00476BF7" w:rsidP="00476BF7">
      <w:pPr>
        <w:numPr>
          <w:ilvl w:val="0"/>
          <w:numId w:val="9"/>
        </w:numPr>
        <w:rPr>
          <w:rFonts w:asciiTheme="majorHAnsi" w:hAnsiTheme="majorHAnsi" w:cstheme="majorHAnsi"/>
          <w:sz w:val="22"/>
          <w:szCs w:val="22"/>
        </w:rPr>
      </w:pPr>
      <w:r w:rsidRPr="000165A3">
        <w:rPr>
          <w:rFonts w:asciiTheme="majorHAnsi" w:hAnsiTheme="majorHAnsi" w:cstheme="majorHAnsi"/>
          <w:sz w:val="22"/>
          <w:szCs w:val="22"/>
        </w:rPr>
        <w:t>Build capacity &amp; capability in the sector</w:t>
      </w:r>
      <w:r w:rsidR="005538F3">
        <w:rPr>
          <w:rFonts w:asciiTheme="majorHAnsi" w:hAnsiTheme="majorHAnsi" w:cstheme="majorHAnsi"/>
          <w:sz w:val="22"/>
          <w:szCs w:val="22"/>
        </w:rPr>
        <w:t xml:space="preserve"> to </w:t>
      </w:r>
      <w:r w:rsidR="00D755E8">
        <w:rPr>
          <w:rFonts w:asciiTheme="majorHAnsi" w:hAnsiTheme="majorHAnsi" w:cstheme="majorHAnsi"/>
          <w:sz w:val="22"/>
          <w:szCs w:val="22"/>
        </w:rPr>
        <w:t>fundraise, secure grant investment and enhance volunteer skills</w:t>
      </w:r>
      <w:r w:rsidR="001A1F3E">
        <w:rPr>
          <w:rFonts w:asciiTheme="majorHAnsi" w:hAnsiTheme="majorHAnsi" w:cstheme="majorHAnsi"/>
          <w:sz w:val="22"/>
          <w:szCs w:val="22"/>
        </w:rPr>
        <w:t>.</w:t>
      </w:r>
    </w:p>
    <w:p w14:paraId="44EC61D8" w14:textId="201E24BA" w:rsidR="00476BF7" w:rsidRDefault="00476BF7" w:rsidP="00476BF7">
      <w:pPr>
        <w:numPr>
          <w:ilvl w:val="0"/>
          <w:numId w:val="9"/>
        </w:numPr>
        <w:rPr>
          <w:rFonts w:asciiTheme="majorHAnsi" w:hAnsiTheme="majorHAnsi" w:cstheme="majorHAnsi"/>
          <w:sz w:val="22"/>
          <w:szCs w:val="22"/>
        </w:rPr>
      </w:pPr>
      <w:r w:rsidRPr="000165A3">
        <w:rPr>
          <w:rFonts w:asciiTheme="majorHAnsi" w:hAnsiTheme="majorHAnsi" w:cstheme="majorHAnsi"/>
          <w:sz w:val="22"/>
          <w:szCs w:val="22"/>
        </w:rPr>
        <w:t>Develop understanding of social media as a tool to support organisations build resilience</w:t>
      </w:r>
      <w:r w:rsidR="001A1F3E">
        <w:rPr>
          <w:rFonts w:asciiTheme="majorHAnsi" w:hAnsiTheme="majorHAnsi" w:cstheme="majorHAnsi"/>
          <w:sz w:val="22"/>
          <w:szCs w:val="22"/>
        </w:rPr>
        <w:t>.</w:t>
      </w:r>
    </w:p>
    <w:p w14:paraId="3B727888" w14:textId="3F73C611" w:rsidR="00476BF7" w:rsidRPr="000165A3" w:rsidRDefault="00476BF7" w:rsidP="00476BF7">
      <w:pPr>
        <w:numPr>
          <w:ilvl w:val="0"/>
          <w:numId w:val="9"/>
        </w:numPr>
        <w:rPr>
          <w:rFonts w:asciiTheme="majorHAnsi" w:hAnsiTheme="majorHAnsi" w:cstheme="majorHAnsi"/>
          <w:sz w:val="22"/>
          <w:szCs w:val="22"/>
        </w:rPr>
      </w:pPr>
      <w:r>
        <w:rPr>
          <w:rFonts w:asciiTheme="majorHAnsi" w:hAnsiTheme="majorHAnsi" w:cstheme="majorHAnsi"/>
          <w:sz w:val="22"/>
          <w:szCs w:val="22"/>
        </w:rPr>
        <w:t>Amplify the use of public funding</w:t>
      </w:r>
      <w:r w:rsidR="001A1F3E">
        <w:rPr>
          <w:rFonts w:asciiTheme="majorHAnsi" w:hAnsiTheme="majorHAnsi" w:cstheme="majorHAnsi"/>
          <w:sz w:val="22"/>
          <w:szCs w:val="22"/>
        </w:rPr>
        <w:t>.</w:t>
      </w:r>
    </w:p>
    <w:p w14:paraId="3186C3D0" w14:textId="77777777" w:rsidR="00476BF7" w:rsidRPr="000165A3" w:rsidRDefault="00476BF7" w:rsidP="00476BF7">
      <w:pPr>
        <w:rPr>
          <w:rFonts w:asciiTheme="majorHAnsi" w:hAnsiTheme="majorHAnsi" w:cstheme="majorHAnsi"/>
          <w:sz w:val="22"/>
          <w:szCs w:val="22"/>
        </w:rPr>
      </w:pPr>
    </w:p>
    <w:p w14:paraId="1A12C434" w14:textId="77777777" w:rsidR="00476BF7" w:rsidRPr="000165A3" w:rsidRDefault="00476BF7" w:rsidP="00476BF7">
      <w:pPr>
        <w:rPr>
          <w:rFonts w:asciiTheme="majorHAnsi" w:hAnsiTheme="majorHAnsi" w:cstheme="majorHAnsi"/>
          <w:sz w:val="22"/>
          <w:szCs w:val="22"/>
        </w:rPr>
      </w:pPr>
      <w:r w:rsidRPr="000165A3">
        <w:rPr>
          <w:rFonts w:asciiTheme="majorHAnsi" w:hAnsiTheme="majorHAnsi" w:cstheme="majorHAnsi"/>
          <w:sz w:val="22"/>
          <w:szCs w:val="22"/>
        </w:rPr>
        <w:t xml:space="preserve">This will be done by working with Sport </w:t>
      </w:r>
      <w:r>
        <w:rPr>
          <w:rFonts w:asciiTheme="majorHAnsi" w:hAnsiTheme="majorHAnsi" w:cstheme="majorHAnsi"/>
          <w:sz w:val="22"/>
          <w:szCs w:val="22"/>
        </w:rPr>
        <w:t>Wales’s</w:t>
      </w:r>
      <w:r w:rsidRPr="000165A3">
        <w:rPr>
          <w:rFonts w:asciiTheme="majorHAnsi" w:hAnsiTheme="majorHAnsi" w:cstheme="majorHAnsi"/>
          <w:sz w:val="22"/>
          <w:szCs w:val="22"/>
        </w:rPr>
        <w:t xml:space="preserve"> selected cohort of projects to develop, design and deliver community-based rewards based crowdfunding campaigns, providing coaching and support to them, capture learning on the financial as well as non-financial benefits achieved.</w:t>
      </w:r>
    </w:p>
    <w:p w14:paraId="5CFDB6DC" w14:textId="77777777" w:rsidR="00476BF7" w:rsidRPr="000165A3" w:rsidRDefault="00476BF7" w:rsidP="00476BF7">
      <w:pPr>
        <w:jc w:val="both"/>
        <w:rPr>
          <w:rFonts w:asciiTheme="majorHAnsi" w:hAnsiTheme="majorHAnsi" w:cstheme="majorHAnsi"/>
          <w:sz w:val="22"/>
          <w:szCs w:val="22"/>
        </w:rPr>
      </w:pPr>
    </w:p>
    <w:p w14:paraId="0C5D0A10" w14:textId="77777777" w:rsidR="00476BF7" w:rsidRPr="000165A3" w:rsidRDefault="00476BF7" w:rsidP="00476BF7">
      <w:pPr>
        <w:rPr>
          <w:rFonts w:asciiTheme="majorHAnsi" w:hAnsiTheme="majorHAnsi" w:cstheme="majorHAnsi"/>
          <w:sz w:val="22"/>
          <w:szCs w:val="22"/>
        </w:rPr>
      </w:pPr>
      <w:r w:rsidRPr="000165A3">
        <w:rPr>
          <w:rFonts w:asciiTheme="majorHAnsi" w:hAnsiTheme="majorHAnsi" w:cstheme="majorHAnsi"/>
          <w:sz w:val="22"/>
          <w:szCs w:val="22"/>
        </w:rPr>
        <w:lastRenderedPageBreak/>
        <w:t>The Contract has an anticipated annual value of £</w:t>
      </w:r>
      <w:r w:rsidRPr="007939B3">
        <w:rPr>
          <w:rFonts w:asciiTheme="majorHAnsi" w:hAnsiTheme="majorHAnsi" w:cstheme="majorHAnsi"/>
          <w:sz w:val="22"/>
          <w:szCs w:val="22"/>
        </w:rPr>
        <w:t xml:space="preserve">30k </w:t>
      </w:r>
      <w:r w:rsidRPr="000165A3">
        <w:rPr>
          <w:rFonts w:asciiTheme="majorHAnsi" w:hAnsiTheme="majorHAnsi" w:cstheme="majorHAnsi"/>
          <w:sz w:val="22"/>
          <w:szCs w:val="22"/>
        </w:rPr>
        <w:t xml:space="preserve">pa for Sport </w:t>
      </w:r>
      <w:r>
        <w:rPr>
          <w:rFonts w:asciiTheme="majorHAnsi" w:hAnsiTheme="majorHAnsi" w:cstheme="majorHAnsi"/>
          <w:sz w:val="22"/>
          <w:szCs w:val="22"/>
        </w:rPr>
        <w:t>Wales</w:t>
      </w:r>
      <w:r w:rsidRPr="000165A3">
        <w:rPr>
          <w:rFonts w:asciiTheme="majorHAnsi" w:hAnsiTheme="majorHAnsi" w:cstheme="majorHAnsi"/>
          <w:sz w:val="22"/>
          <w:szCs w:val="22"/>
        </w:rPr>
        <w:t xml:space="preserve"> costs.</w:t>
      </w:r>
      <w:r>
        <w:rPr>
          <w:rFonts w:asciiTheme="majorHAnsi" w:hAnsiTheme="majorHAnsi" w:cstheme="majorHAnsi"/>
          <w:sz w:val="22"/>
          <w:szCs w:val="22"/>
        </w:rPr>
        <w:t xml:space="preserve"> Any additional ongoing service costs based on user numbers engaging successful with the platform should also be included in the tender submission.</w:t>
      </w:r>
    </w:p>
    <w:p w14:paraId="4B2803BD" w14:textId="592455C8" w:rsidR="009F39E1" w:rsidRDefault="009F39E1" w:rsidP="00CC4EBB">
      <w:pPr>
        <w:rPr>
          <w:rFonts w:asciiTheme="majorHAnsi" w:eastAsia="Times New Roman" w:hAnsiTheme="majorHAnsi" w:cs="Calibri"/>
          <w:sz w:val="22"/>
          <w:szCs w:val="22"/>
        </w:rPr>
      </w:pPr>
    </w:p>
    <w:p w14:paraId="3166EABD" w14:textId="77777777" w:rsidR="009F39E1" w:rsidRDefault="009F39E1" w:rsidP="00CC4EBB">
      <w:pPr>
        <w:rPr>
          <w:rFonts w:asciiTheme="majorHAnsi" w:eastAsia="Times New Roman" w:hAnsiTheme="majorHAnsi" w:cs="Calibri"/>
          <w:sz w:val="22"/>
          <w:szCs w:val="22"/>
        </w:rPr>
      </w:pPr>
    </w:p>
    <w:p w14:paraId="77118F29" w14:textId="0D20795F" w:rsidR="00CC4EBB" w:rsidRPr="00CC4EBB" w:rsidRDefault="00B14B58" w:rsidP="00CC4EBB">
      <w:pPr>
        <w:rPr>
          <w:rFonts w:asciiTheme="majorHAnsi" w:eastAsia="Times New Roman" w:hAnsiTheme="majorHAnsi" w:cs="Calibri"/>
          <w:sz w:val="22"/>
          <w:szCs w:val="22"/>
        </w:rPr>
      </w:pPr>
      <w:r>
        <w:rPr>
          <w:rFonts w:asciiTheme="majorHAnsi" w:eastAsia="Times New Roman" w:hAnsiTheme="majorHAnsi" w:cs="Calibri"/>
          <w:sz w:val="22"/>
          <w:szCs w:val="22"/>
        </w:rPr>
        <w:t xml:space="preserve"> </w:t>
      </w:r>
    </w:p>
    <w:p w14:paraId="77AE1A1E" w14:textId="77777777" w:rsidR="00CC4EBB" w:rsidRPr="00CC4EBB" w:rsidRDefault="00CC4EBB" w:rsidP="00CC4EBB">
      <w:pPr>
        <w:keepNext/>
        <w:ind w:left="360" w:hanging="360"/>
        <w:jc w:val="both"/>
        <w:outlineLvl w:val="7"/>
        <w:rPr>
          <w:rFonts w:asciiTheme="majorHAnsi" w:eastAsia="Times New Roman" w:hAnsiTheme="majorHAnsi" w:cs="Arial"/>
          <w:b/>
          <w:bCs/>
          <w:sz w:val="22"/>
          <w:szCs w:val="22"/>
        </w:rPr>
      </w:pPr>
      <w:r w:rsidRPr="00CC4EBB">
        <w:rPr>
          <w:rFonts w:asciiTheme="majorHAnsi" w:eastAsia="Times New Roman" w:hAnsiTheme="majorHAnsi" w:cs="Calibri"/>
          <w:b/>
          <w:bCs/>
          <w:color w:val="000000"/>
          <w:sz w:val="22"/>
          <w:szCs w:val="22"/>
        </w:rPr>
        <w:t>TENDER SPECIFICATION</w:t>
      </w:r>
    </w:p>
    <w:p w14:paraId="6D2CE569" w14:textId="77777777" w:rsidR="00CC4EBB" w:rsidRPr="00CC4EBB" w:rsidRDefault="00CC4EBB" w:rsidP="00CC4EBB">
      <w:pPr>
        <w:rPr>
          <w:rFonts w:asciiTheme="majorHAnsi" w:eastAsia="Times New Roman" w:hAnsiTheme="majorHAnsi" w:cs="Times New Roman"/>
          <w:sz w:val="22"/>
          <w:szCs w:val="22"/>
        </w:rPr>
      </w:pPr>
    </w:p>
    <w:p w14:paraId="0B7EEC17" w14:textId="685EF737" w:rsidR="003D67BD" w:rsidRDefault="003D67BD" w:rsidP="003D67BD">
      <w:pPr>
        <w:pStyle w:val="Heading1"/>
        <w:rPr>
          <w:rFonts w:asciiTheme="majorHAnsi" w:eastAsia="Arial" w:hAnsiTheme="majorHAnsi" w:cstheme="majorHAnsi"/>
          <w:b w:val="0"/>
          <w:bCs w:val="0"/>
          <w:sz w:val="22"/>
          <w:szCs w:val="22"/>
        </w:rPr>
      </w:pPr>
      <w:bookmarkStart w:id="0" w:name="_Toc69744303"/>
      <w:r w:rsidRPr="000165A3">
        <w:rPr>
          <w:rFonts w:asciiTheme="majorHAnsi" w:eastAsia="Arial" w:hAnsiTheme="majorHAnsi" w:cstheme="majorHAnsi"/>
          <w:b w:val="0"/>
          <w:bCs w:val="0"/>
          <w:sz w:val="22"/>
          <w:szCs w:val="22"/>
        </w:rPr>
        <w:t xml:space="preserve">We require a dedicated, Sport Wales branded sport &amp; physical activity crowdfunding platform, which </w:t>
      </w:r>
      <w:r>
        <w:rPr>
          <w:rFonts w:asciiTheme="majorHAnsi" w:eastAsia="Arial" w:hAnsiTheme="majorHAnsi" w:cstheme="majorHAnsi"/>
          <w:b w:val="0"/>
          <w:bCs w:val="0"/>
          <w:sz w:val="22"/>
          <w:szCs w:val="22"/>
        </w:rPr>
        <w:t xml:space="preserve">has the capacity to </w:t>
      </w:r>
      <w:r w:rsidRPr="000165A3">
        <w:rPr>
          <w:rFonts w:asciiTheme="majorHAnsi" w:eastAsia="Arial" w:hAnsiTheme="majorHAnsi" w:cstheme="majorHAnsi"/>
          <w:b w:val="0"/>
          <w:bCs w:val="0"/>
          <w:sz w:val="22"/>
          <w:szCs w:val="22"/>
        </w:rPr>
        <w:t xml:space="preserve">process and support a minimum of </w:t>
      </w:r>
      <w:r>
        <w:rPr>
          <w:rFonts w:asciiTheme="majorHAnsi" w:eastAsia="Arial" w:hAnsiTheme="majorHAnsi" w:cstheme="majorHAnsi"/>
          <w:b w:val="0"/>
          <w:bCs w:val="0"/>
          <w:sz w:val="22"/>
          <w:szCs w:val="22"/>
        </w:rPr>
        <w:t>10</w:t>
      </w:r>
      <w:r w:rsidRPr="000165A3">
        <w:rPr>
          <w:rFonts w:asciiTheme="majorHAnsi" w:eastAsia="Arial" w:hAnsiTheme="majorHAnsi" w:cstheme="majorHAnsi"/>
          <w:b w:val="0"/>
          <w:bCs w:val="0"/>
          <w:sz w:val="22"/>
          <w:szCs w:val="22"/>
        </w:rPr>
        <w:t>0 new applications per annum of which historically c.</w:t>
      </w:r>
      <w:r w:rsidR="00C01FEC">
        <w:rPr>
          <w:rFonts w:asciiTheme="majorHAnsi" w:eastAsia="Arial" w:hAnsiTheme="majorHAnsi" w:cstheme="majorHAnsi"/>
          <w:b w:val="0"/>
          <w:bCs w:val="0"/>
          <w:sz w:val="22"/>
          <w:szCs w:val="22"/>
        </w:rPr>
        <w:t>90</w:t>
      </w:r>
      <w:r w:rsidRPr="000165A3">
        <w:rPr>
          <w:rFonts w:asciiTheme="majorHAnsi" w:eastAsia="Arial" w:hAnsiTheme="majorHAnsi" w:cstheme="majorHAnsi"/>
          <w:b w:val="0"/>
          <w:bCs w:val="0"/>
          <w:sz w:val="22"/>
          <w:szCs w:val="22"/>
        </w:rPr>
        <w:t>%</w:t>
      </w:r>
      <w:r w:rsidR="00C01FEC">
        <w:rPr>
          <w:rFonts w:asciiTheme="majorHAnsi" w:eastAsia="Arial" w:hAnsiTheme="majorHAnsi" w:cstheme="majorHAnsi"/>
          <w:b w:val="0"/>
          <w:bCs w:val="0"/>
          <w:sz w:val="22"/>
          <w:szCs w:val="22"/>
        </w:rPr>
        <w:t>+ who are supported</w:t>
      </w:r>
      <w:r w:rsidRPr="000165A3">
        <w:rPr>
          <w:rFonts w:asciiTheme="majorHAnsi" w:eastAsia="Arial" w:hAnsiTheme="majorHAnsi" w:cstheme="majorHAnsi"/>
          <w:b w:val="0"/>
          <w:bCs w:val="0"/>
          <w:sz w:val="22"/>
          <w:szCs w:val="22"/>
        </w:rPr>
        <w:t xml:space="preserve"> have completed a successful campaign attracting c.</w:t>
      </w:r>
      <w:r w:rsidR="00752F00">
        <w:rPr>
          <w:rFonts w:asciiTheme="majorHAnsi" w:eastAsia="Arial" w:hAnsiTheme="majorHAnsi" w:cstheme="majorHAnsi"/>
          <w:b w:val="0"/>
          <w:bCs w:val="0"/>
          <w:sz w:val="22"/>
          <w:szCs w:val="22"/>
        </w:rPr>
        <w:t>8,</w:t>
      </w:r>
      <w:r w:rsidRPr="000165A3">
        <w:rPr>
          <w:rFonts w:asciiTheme="majorHAnsi" w:eastAsia="Arial" w:hAnsiTheme="majorHAnsi" w:cstheme="majorHAnsi"/>
          <w:b w:val="0"/>
          <w:bCs w:val="0"/>
          <w:sz w:val="22"/>
          <w:szCs w:val="22"/>
        </w:rPr>
        <w:t>000</w:t>
      </w:r>
      <w:r w:rsidR="00752F00">
        <w:rPr>
          <w:rFonts w:asciiTheme="majorHAnsi" w:eastAsia="Arial" w:hAnsiTheme="majorHAnsi" w:cstheme="majorHAnsi"/>
          <w:b w:val="0"/>
          <w:bCs w:val="0"/>
          <w:sz w:val="22"/>
          <w:szCs w:val="22"/>
        </w:rPr>
        <w:t>+</w:t>
      </w:r>
      <w:r w:rsidRPr="000165A3">
        <w:rPr>
          <w:rFonts w:asciiTheme="majorHAnsi" w:eastAsia="Arial" w:hAnsiTheme="majorHAnsi" w:cstheme="majorHAnsi"/>
          <w:b w:val="0"/>
          <w:bCs w:val="0"/>
          <w:sz w:val="22"/>
          <w:szCs w:val="22"/>
        </w:rPr>
        <w:t xml:space="preserve"> supporters. This platform will include the ability to create and submit an online application form, process this application through a dedicated workflow process, capturing relevant data during this process, as well as have the ability to trigger email notifications to applicants and/or Sport Wales.</w:t>
      </w:r>
      <w:bookmarkEnd w:id="0"/>
      <w:r w:rsidRPr="000165A3">
        <w:rPr>
          <w:rFonts w:asciiTheme="majorHAnsi" w:eastAsia="Arial" w:hAnsiTheme="majorHAnsi" w:cstheme="majorHAnsi"/>
          <w:b w:val="0"/>
          <w:bCs w:val="0"/>
          <w:sz w:val="22"/>
          <w:szCs w:val="22"/>
        </w:rPr>
        <w:t xml:space="preserve">  The platform will need to have the option of being accessible via the medium of the Welsh language.</w:t>
      </w:r>
    </w:p>
    <w:p w14:paraId="1F33E308" w14:textId="77777777" w:rsidR="003D67BD" w:rsidRPr="00792526" w:rsidRDefault="003D67BD" w:rsidP="003D67BD">
      <w:pPr>
        <w:rPr>
          <w:rFonts w:asciiTheme="majorHAnsi" w:eastAsia="Arial" w:hAnsiTheme="majorHAnsi" w:cstheme="majorHAnsi"/>
          <w:color w:val="000000"/>
          <w:kern w:val="32"/>
          <w:sz w:val="22"/>
          <w:szCs w:val="22"/>
        </w:rPr>
      </w:pPr>
      <w:r w:rsidRPr="00792526">
        <w:rPr>
          <w:rFonts w:asciiTheme="majorHAnsi" w:eastAsia="Arial" w:hAnsiTheme="majorHAnsi" w:cstheme="majorHAnsi"/>
          <w:color w:val="000000"/>
          <w:kern w:val="32"/>
          <w:sz w:val="22"/>
          <w:szCs w:val="22"/>
        </w:rPr>
        <w:t>The provider is expected to produce:</w:t>
      </w:r>
    </w:p>
    <w:p w14:paraId="249977FC" w14:textId="6077DF6F"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bookmarkStart w:id="1" w:name="_Toc69744304"/>
      <w:r w:rsidRPr="00792526">
        <w:rPr>
          <w:rFonts w:asciiTheme="majorHAnsi" w:eastAsia="Calibri" w:hAnsiTheme="majorHAnsi" w:cstheme="majorHAnsi"/>
          <w:b w:val="0"/>
          <w:bCs w:val="0"/>
          <w:color w:val="auto"/>
          <w:kern w:val="0"/>
          <w:sz w:val="22"/>
          <w:szCs w:val="22"/>
        </w:rPr>
        <w:t xml:space="preserve">A </w:t>
      </w:r>
      <w:r w:rsidR="009C0FD4">
        <w:rPr>
          <w:rFonts w:asciiTheme="majorHAnsi" w:eastAsia="Calibri" w:hAnsiTheme="majorHAnsi" w:cstheme="majorHAnsi"/>
          <w:b w:val="0"/>
          <w:bCs w:val="0"/>
          <w:color w:val="auto"/>
          <w:kern w:val="0"/>
          <w:sz w:val="22"/>
          <w:szCs w:val="22"/>
        </w:rPr>
        <w:t>twice annual</w:t>
      </w:r>
      <w:r w:rsidRPr="00792526">
        <w:rPr>
          <w:rFonts w:asciiTheme="majorHAnsi" w:eastAsia="Calibri" w:hAnsiTheme="majorHAnsi" w:cstheme="majorHAnsi"/>
          <w:b w:val="0"/>
          <w:bCs w:val="0"/>
          <w:color w:val="auto"/>
          <w:kern w:val="0"/>
          <w:sz w:val="22"/>
          <w:szCs w:val="22"/>
        </w:rPr>
        <w:t xml:space="preserve"> webinar of no less than 30 minutes which includes a brief overview of what crowdfunding is and providing a peer-to-peer mentoring opportunity. </w:t>
      </w:r>
      <w:r w:rsidR="009C0FD4">
        <w:rPr>
          <w:rFonts w:asciiTheme="majorHAnsi" w:eastAsia="Calibri" w:hAnsiTheme="majorHAnsi" w:cstheme="majorHAnsi"/>
          <w:b w:val="0"/>
          <w:bCs w:val="0"/>
          <w:color w:val="auto"/>
          <w:kern w:val="0"/>
          <w:sz w:val="22"/>
          <w:szCs w:val="22"/>
        </w:rPr>
        <w:t xml:space="preserve">This should be aimed to be delivered at the start of the financial year and again at the midway point to update on any criteria changes and case study success. </w:t>
      </w:r>
      <w:r w:rsidRPr="00792526">
        <w:rPr>
          <w:rFonts w:asciiTheme="majorHAnsi" w:eastAsia="Calibri" w:hAnsiTheme="majorHAnsi" w:cstheme="majorHAnsi"/>
          <w:b w:val="0"/>
          <w:bCs w:val="0"/>
          <w:color w:val="auto"/>
          <w:kern w:val="0"/>
          <w:sz w:val="22"/>
          <w:szCs w:val="22"/>
        </w:rPr>
        <w:t>Each webinar is to be recorded and posted on a public video platform such as YouTube or Vimeo.</w:t>
      </w:r>
      <w:r w:rsidRPr="00792526" w:rsidDel="00AF09E0">
        <w:rPr>
          <w:rFonts w:asciiTheme="majorHAnsi" w:eastAsia="Calibri" w:hAnsiTheme="majorHAnsi" w:cstheme="majorHAnsi"/>
          <w:b w:val="0"/>
          <w:bCs w:val="0"/>
          <w:color w:val="auto"/>
          <w:kern w:val="0"/>
          <w:sz w:val="22"/>
          <w:szCs w:val="22"/>
        </w:rPr>
        <w:t xml:space="preserve"> Provider t</w:t>
      </w:r>
      <w:r w:rsidRPr="00792526">
        <w:rPr>
          <w:rFonts w:asciiTheme="majorHAnsi" w:eastAsia="Calibri" w:hAnsiTheme="majorHAnsi" w:cstheme="majorHAnsi"/>
          <w:b w:val="0"/>
          <w:bCs w:val="0"/>
          <w:color w:val="auto"/>
          <w:kern w:val="0"/>
          <w:sz w:val="22"/>
          <w:szCs w:val="22"/>
        </w:rPr>
        <w:t>o work with Sport Wales on ensuring accessibility requirements (i.e. subtitles/transcript) throughout the life of the contract.  Webinars are to be promoted via Sport Wales and the provider and targeted social media which must be agreed with Sport Wales prior to their use.</w:t>
      </w:r>
      <w:bookmarkStart w:id="2" w:name="_Hlk68185836"/>
      <w:bookmarkEnd w:id="1"/>
    </w:p>
    <w:p w14:paraId="2E9CBC5D" w14:textId="4614695B"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r w:rsidRPr="00792526">
        <w:rPr>
          <w:rFonts w:asciiTheme="majorHAnsi" w:eastAsia="Calibri" w:hAnsiTheme="majorHAnsi" w:cstheme="majorHAnsi"/>
          <w:b w:val="0"/>
          <w:bCs w:val="0"/>
          <w:color w:val="auto"/>
          <w:kern w:val="0"/>
          <w:sz w:val="22"/>
          <w:szCs w:val="22"/>
        </w:rPr>
        <w:t>Freely published and downloadable support materials for prospective funding campaigns to include, but may not be limited to, guides</w:t>
      </w:r>
      <w:r w:rsidR="00C63EB2">
        <w:rPr>
          <w:rFonts w:asciiTheme="majorHAnsi" w:eastAsia="Calibri" w:hAnsiTheme="majorHAnsi" w:cstheme="majorHAnsi"/>
          <w:b w:val="0"/>
          <w:bCs w:val="0"/>
          <w:color w:val="auto"/>
          <w:kern w:val="0"/>
          <w:sz w:val="22"/>
          <w:szCs w:val="22"/>
        </w:rPr>
        <w:t>, case studies</w:t>
      </w:r>
      <w:r w:rsidRPr="00792526">
        <w:rPr>
          <w:rFonts w:asciiTheme="majorHAnsi" w:eastAsia="Calibri" w:hAnsiTheme="majorHAnsi" w:cstheme="majorHAnsi"/>
          <w:b w:val="0"/>
          <w:bCs w:val="0"/>
          <w:color w:val="auto"/>
          <w:kern w:val="0"/>
          <w:sz w:val="22"/>
          <w:szCs w:val="22"/>
        </w:rPr>
        <w:t xml:space="preserve"> and other development tools; materials are to be approved by Sport Wales and reviewed as part of monthly collaboration meetings.</w:t>
      </w:r>
      <w:bookmarkStart w:id="3" w:name="_Toc69744306"/>
      <w:bookmarkEnd w:id="2"/>
    </w:p>
    <w:p w14:paraId="4DF31001" w14:textId="5BEA9667"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r w:rsidRPr="00792526">
        <w:rPr>
          <w:rFonts w:asciiTheme="majorHAnsi" w:eastAsia="Calibri" w:hAnsiTheme="majorHAnsi" w:cstheme="majorHAnsi"/>
          <w:b w:val="0"/>
          <w:bCs w:val="0"/>
          <w:color w:val="auto"/>
          <w:kern w:val="0"/>
          <w:sz w:val="22"/>
          <w:szCs w:val="22"/>
        </w:rPr>
        <w:t xml:space="preserve">Dedicated expert 1-2-1 </w:t>
      </w:r>
      <w:r w:rsidR="007636C1">
        <w:rPr>
          <w:rFonts w:asciiTheme="majorHAnsi" w:eastAsia="Calibri" w:hAnsiTheme="majorHAnsi" w:cstheme="majorHAnsi"/>
          <w:b w:val="0"/>
          <w:bCs w:val="0"/>
          <w:color w:val="auto"/>
          <w:kern w:val="0"/>
          <w:sz w:val="22"/>
          <w:szCs w:val="22"/>
        </w:rPr>
        <w:t>point of contact</w:t>
      </w:r>
      <w:r w:rsidR="00213981">
        <w:rPr>
          <w:rFonts w:asciiTheme="majorHAnsi" w:eastAsia="Calibri" w:hAnsiTheme="majorHAnsi" w:cstheme="majorHAnsi"/>
          <w:b w:val="0"/>
          <w:bCs w:val="0"/>
          <w:color w:val="auto"/>
          <w:kern w:val="0"/>
          <w:sz w:val="22"/>
          <w:szCs w:val="22"/>
        </w:rPr>
        <w:t xml:space="preserve"> is</w:t>
      </w:r>
      <w:r w:rsidRPr="00792526">
        <w:rPr>
          <w:rFonts w:asciiTheme="majorHAnsi" w:eastAsia="Calibri" w:hAnsiTheme="majorHAnsi" w:cstheme="majorHAnsi"/>
          <w:b w:val="0"/>
          <w:bCs w:val="0"/>
          <w:color w:val="auto"/>
          <w:kern w:val="0"/>
          <w:sz w:val="22"/>
          <w:szCs w:val="22"/>
        </w:rPr>
        <w:t xml:space="preserve"> required </w:t>
      </w:r>
      <w:r w:rsidR="00213981">
        <w:rPr>
          <w:rFonts w:asciiTheme="majorHAnsi" w:eastAsia="Calibri" w:hAnsiTheme="majorHAnsi" w:cstheme="majorHAnsi"/>
          <w:b w:val="0"/>
          <w:bCs w:val="0"/>
          <w:color w:val="auto"/>
          <w:kern w:val="0"/>
          <w:sz w:val="22"/>
          <w:szCs w:val="22"/>
        </w:rPr>
        <w:t xml:space="preserve">to liaise with the Sport Wales team to resolve queries, system issues and </w:t>
      </w:r>
      <w:r w:rsidR="00562A7C">
        <w:rPr>
          <w:rFonts w:asciiTheme="majorHAnsi" w:eastAsia="Calibri" w:hAnsiTheme="majorHAnsi" w:cstheme="majorHAnsi"/>
          <w:b w:val="0"/>
          <w:bCs w:val="0"/>
          <w:color w:val="auto"/>
          <w:kern w:val="0"/>
          <w:sz w:val="22"/>
          <w:szCs w:val="22"/>
        </w:rPr>
        <w:t xml:space="preserve">user concerns. </w:t>
      </w:r>
      <w:bookmarkEnd w:id="3"/>
      <w:r w:rsidRPr="00792526">
        <w:rPr>
          <w:rFonts w:asciiTheme="majorHAnsi" w:eastAsia="Calibri" w:hAnsiTheme="majorHAnsi" w:cstheme="majorHAnsi"/>
          <w:b w:val="0"/>
          <w:bCs w:val="0"/>
          <w:color w:val="auto"/>
          <w:kern w:val="0"/>
          <w:sz w:val="22"/>
          <w:szCs w:val="22"/>
        </w:rPr>
        <w:t xml:space="preserve"> </w:t>
      </w:r>
      <w:bookmarkStart w:id="4" w:name="_Toc69744307"/>
    </w:p>
    <w:p w14:paraId="00B9D680" w14:textId="77777777"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r w:rsidRPr="00792526">
        <w:rPr>
          <w:rFonts w:asciiTheme="majorHAnsi" w:eastAsia="Calibri" w:hAnsiTheme="majorHAnsi" w:cstheme="majorHAnsi"/>
          <w:b w:val="0"/>
          <w:bCs w:val="0"/>
          <w:color w:val="auto"/>
          <w:kern w:val="0"/>
          <w:sz w:val="22"/>
          <w:szCs w:val="22"/>
        </w:rPr>
        <w:t>Demonstratable experience in marketing and communications, technology, customer service and working with voluntary community and social enterprise sector organisations.</w:t>
      </w:r>
      <w:bookmarkEnd w:id="4"/>
      <w:r w:rsidRPr="00792526">
        <w:rPr>
          <w:rFonts w:asciiTheme="majorHAnsi" w:eastAsia="Calibri" w:hAnsiTheme="majorHAnsi" w:cstheme="majorHAnsi"/>
          <w:b w:val="0"/>
          <w:bCs w:val="0"/>
          <w:color w:val="auto"/>
          <w:kern w:val="0"/>
          <w:sz w:val="22"/>
          <w:szCs w:val="22"/>
        </w:rPr>
        <w:t xml:space="preserve"> </w:t>
      </w:r>
      <w:bookmarkStart w:id="5" w:name="_Toc69744308"/>
    </w:p>
    <w:p w14:paraId="7466A1B2" w14:textId="77777777"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r w:rsidRPr="00792526">
        <w:rPr>
          <w:rFonts w:asciiTheme="majorHAnsi" w:eastAsia="Calibri" w:hAnsiTheme="majorHAnsi" w:cstheme="majorHAnsi"/>
          <w:b w:val="0"/>
          <w:bCs w:val="0"/>
          <w:color w:val="auto"/>
          <w:kern w:val="0"/>
          <w:sz w:val="22"/>
          <w:szCs w:val="22"/>
        </w:rPr>
        <w:t>Collaborative meetings on at least a monthly basis between Sport Wales and the Provider, discussing progress, ongoing improvements, and issues</w:t>
      </w:r>
      <w:bookmarkEnd w:id="5"/>
      <w:r w:rsidRPr="00792526">
        <w:rPr>
          <w:rFonts w:asciiTheme="majorHAnsi" w:eastAsia="Calibri" w:hAnsiTheme="majorHAnsi" w:cstheme="majorHAnsi"/>
          <w:b w:val="0"/>
          <w:bCs w:val="0"/>
          <w:color w:val="auto"/>
          <w:kern w:val="0"/>
          <w:sz w:val="22"/>
          <w:szCs w:val="22"/>
        </w:rPr>
        <w:t>, including commitments around communications collaborations.</w:t>
      </w:r>
    </w:p>
    <w:p w14:paraId="20562885" w14:textId="77777777"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r w:rsidRPr="00792526">
        <w:rPr>
          <w:rFonts w:asciiTheme="majorHAnsi" w:eastAsia="Calibri" w:hAnsiTheme="majorHAnsi" w:cstheme="majorHAnsi"/>
          <w:b w:val="0"/>
          <w:bCs w:val="0"/>
          <w:color w:val="auto"/>
          <w:kern w:val="0"/>
          <w:sz w:val="22"/>
          <w:szCs w:val="22"/>
        </w:rPr>
        <w:t xml:space="preserve">A reporting mechanism detailing the progress of the fund, investments made, supporter pledges. </w:t>
      </w:r>
    </w:p>
    <w:p w14:paraId="245D4944" w14:textId="77777777" w:rsidR="003D67BD" w:rsidRPr="00792526" w:rsidRDefault="003D67BD" w:rsidP="003D67BD">
      <w:pPr>
        <w:pStyle w:val="Heading1"/>
        <w:numPr>
          <w:ilvl w:val="0"/>
          <w:numId w:val="13"/>
        </w:numPr>
        <w:tabs>
          <w:tab w:val="num" w:pos="360"/>
        </w:tabs>
        <w:ind w:left="0" w:firstLine="0"/>
        <w:rPr>
          <w:rFonts w:asciiTheme="majorHAnsi" w:eastAsia="Calibri" w:hAnsiTheme="majorHAnsi" w:cstheme="majorHAnsi"/>
          <w:b w:val="0"/>
          <w:bCs w:val="0"/>
          <w:color w:val="auto"/>
          <w:kern w:val="0"/>
          <w:sz w:val="22"/>
          <w:szCs w:val="22"/>
        </w:rPr>
      </w:pPr>
      <w:r w:rsidRPr="00792526">
        <w:rPr>
          <w:rFonts w:asciiTheme="majorHAnsi" w:eastAsia="Calibri" w:hAnsiTheme="majorHAnsi" w:cstheme="majorHAnsi"/>
          <w:b w:val="0"/>
          <w:bCs w:val="0"/>
          <w:color w:val="auto"/>
          <w:kern w:val="0"/>
          <w:sz w:val="22"/>
          <w:szCs w:val="22"/>
        </w:rPr>
        <w:t xml:space="preserve">Draft Marketing and Communication plan to be provided with this submission detailing what activities and tools will be used to help promote the fund and market it to the wider sport and physical activity sector. As ongoing communications support this should include social media marketing commitments for </w:t>
      </w:r>
      <w:r w:rsidRPr="00792526">
        <w:rPr>
          <w:rFonts w:asciiTheme="majorHAnsi" w:eastAsia="Calibri" w:hAnsiTheme="majorHAnsi" w:cstheme="majorHAnsi"/>
          <w:b w:val="0"/>
          <w:bCs w:val="0"/>
          <w:color w:val="auto"/>
          <w:kern w:val="0"/>
          <w:sz w:val="22"/>
          <w:szCs w:val="22"/>
        </w:rPr>
        <w:lastRenderedPageBreak/>
        <w:t>the lifespan of the contract and agreement on quarterly case study of successful campaigns, which must be agreed with Sport Wales prior to their use.</w:t>
      </w:r>
    </w:p>
    <w:p w14:paraId="29D06C1A" w14:textId="77777777" w:rsidR="003D67BD" w:rsidRPr="000165A3" w:rsidRDefault="003D67BD" w:rsidP="003D67BD">
      <w:pPr>
        <w:pStyle w:val="ListParagraph"/>
        <w:rPr>
          <w:rFonts w:asciiTheme="majorHAnsi" w:hAnsiTheme="majorHAnsi" w:cstheme="majorHAnsi"/>
          <w:sz w:val="22"/>
          <w:szCs w:val="22"/>
        </w:rPr>
      </w:pPr>
    </w:p>
    <w:p w14:paraId="3BCFF657" w14:textId="77777777" w:rsidR="003D67BD" w:rsidRPr="00792526" w:rsidRDefault="003D67BD" w:rsidP="003D67BD">
      <w:pPr>
        <w:spacing w:after="200"/>
        <w:rPr>
          <w:rFonts w:asciiTheme="majorHAnsi" w:hAnsiTheme="majorHAnsi" w:cstheme="majorHAnsi"/>
          <w:b/>
          <w:bCs/>
          <w:sz w:val="22"/>
          <w:szCs w:val="22"/>
        </w:rPr>
      </w:pPr>
      <w:r w:rsidRPr="00792526">
        <w:rPr>
          <w:rFonts w:asciiTheme="majorHAnsi" w:hAnsiTheme="majorHAnsi" w:cstheme="majorHAnsi"/>
          <w:b/>
          <w:bCs/>
          <w:sz w:val="22"/>
          <w:szCs w:val="22"/>
        </w:rPr>
        <w:t>Please note, Sport Wales will not accept fees charged against any investment made by us to campaigns – 100% of any pledges made by us must go entirely to the outcome of the campaign.</w:t>
      </w:r>
    </w:p>
    <w:p w14:paraId="342A39BA" w14:textId="77777777" w:rsidR="003D67BD" w:rsidRPr="000165A3" w:rsidRDefault="003D67BD" w:rsidP="003D67BD">
      <w:pPr>
        <w:spacing w:before="240" w:after="240"/>
        <w:rPr>
          <w:rFonts w:asciiTheme="majorHAnsi" w:hAnsiTheme="majorHAnsi" w:cstheme="majorHAnsi"/>
          <w:b/>
          <w:sz w:val="22"/>
          <w:szCs w:val="22"/>
          <w:highlight w:val="yellow"/>
        </w:rPr>
      </w:pPr>
      <w:r w:rsidRPr="000165A3">
        <w:rPr>
          <w:rFonts w:asciiTheme="majorHAnsi" w:hAnsiTheme="majorHAnsi" w:cstheme="majorHAnsi"/>
          <w:b/>
          <w:sz w:val="22"/>
          <w:szCs w:val="22"/>
        </w:rPr>
        <w:t>Exit Requirements</w:t>
      </w:r>
    </w:p>
    <w:p w14:paraId="52F57168" w14:textId="77777777" w:rsidR="003D67BD" w:rsidRPr="000165A3" w:rsidRDefault="003D67BD" w:rsidP="003D67BD">
      <w:pPr>
        <w:spacing w:before="240" w:after="240"/>
        <w:rPr>
          <w:rFonts w:asciiTheme="majorHAnsi" w:hAnsiTheme="majorHAnsi" w:cstheme="majorHAnsi"/>
          <w:sz w:val="22"/>
          <w:szCs w:val="22"/>
        </w:rPr>
      </w:pPr>
      <w:r w:rsidRPr="000165A3">
        <w:rPr>
          <w:rFonts w:asciiTheme="majorHAnsi" w:hAnsiTheme="majorHAnsi" w:cstheme="majorHAnsi"/>
          <w:iCs/>
          <w:sz w:val="22"/>
          <w:szCs w:val="22"/>
        </w:rPr>
        <w:t>Any remaining data will be passed onto Sport Wales and destroyed upon termination of the Contract.</w:t>
      </w:r>
    </w:p>
    <w:p w14:paraId="2D0C7EA5" w14:textId="77777777" w:rsidR="003D67BD" w:rsidRPr="000165A3" w:rsidRDefault="003D67BD" w:rsidP="003D67BD">
      <w:pPr>
        <w:numPr>
          <w:ilvl w:val="0"/>
          <w:numId w:val="10"/>
        </w:numPr>
        <w:spacing w:before="240" w:after="240"/>
        <w:rPr>
          <w:rFonts w:asciiTheme="majorHAnsi" w:hAnsiTheme="majorHAnsi" w:cstheme="majorHAnsi"/>
          <w:b/>
          <w:sz w:val="22"/>
          <w:szCs w:val="22"/>
        </w:rPr>
      </w:pPr>
      <w:r w:rsidRPr="000165A3">
        <w:rPr>
          <w:rFonts w:asciiTheme="majorHAnsi" w:hAnsiTheme="majorHAnsi" w:cstheme="majorHAnsi"/>
          <w:b/>
          <w:sz w:val="22"/>
          <w:szCs w:val="22"/>
        </w:rPr>
        <w:t>Contract Management Review</w:t>
      </w:r>
    </w:p>
    <w:p w14:paraId="53634DF1" w14:textId="77777777" w:rsidR="003D67BD" w:rsidRPr="000165A3" w:rsidRDefault="003D67BD" w:rsidP="003D67BD">
      <w:pPr>
        <w:spacing w:before="240" w:after="240"/>
        <w:rPr>
          <w:rFonts w:asciiTheme="majorHAnsi" w:hAnsiTheme="majorHAnsi" w:cstheme="majorHAnsi"/>
          <w:iCs/>
          <w:sz w:val="22"/>
          <w:szCs w:val="22"/>
        </w:rPr>
      </w:pPr>
      <w:r w:rsidRPr="000165A3">
        <w:rPr>
          <w:rFonts w:asciiTheme="majorHAnsi" w:hAnsiTheme="majorHAnsi" w:cstheme="majorHAnsi"/>
          <w:iCs/>
          <w:sz w:val="22"/>
          <w:szCs w:val="22"/>
        </w:rPr>
        <w:t>Provider must allocate a dedicated account manager.</w:t>
      </w:r>
    </w:p>
    <w:p w14:paraId="23B1F3C3" w14:textId="77777777" w:rsidR="003D67BD" w:rsidRPr="000165A3" w:rsidRDefault="003D67BD" w:rsidP="003D67BD">
      <w:pPr>
        <w:pStyle w:val="Heading1"/>
        <w:spacing w:line="240" w:lineRule="auto"/>
        <w:rPr>
          <w:rFonts w:asciiTheme="majorHAnsi" w:eastAsia="Calibri" w:hAnsiTheme="majorHAnsi" w:cstheme="majorHAnsi"/>
          <w:b w:val="0"/>
          <w:bCs w:val="0"/>
          <w:sz w:val="22"/>
          <w:szCs w:val="22"/>
        </w:rPr>
      </w:pPr>
      <w:bookmarkStart w:id="6" w:name="_Toc69744309"/>
      <w:r w:rsidRPr="000165A3">
        <w:rPr>
          <w:rFonts w:asciiTheme="majorHAnsi" w:eastAsia="Calibri" w:hAnsiTheme="majorHAnsi" w:cstheme="majorHAnsi"/>
          <w:b w:val="0"/>
          <w:bCs w:val="0"/>
          <w:sz w:val="22"/>
          <w:szCs w:val="22"/>
        </w:rPr>
        <w:t>Collaborative meetings, on at least a monthly basis, between Sport Wales and the Provider, discussing progress, ongoing improvements, and issues.</w:t>
      </w:r>
      <w:bookmarkEnd w:id="6"/>
    </w:p>
    <w:p w14:paraId="7CE1582D" w14:textId="77777777" w:rsidR="003D67BD" w:rsidRPr="000165A3" w:rsidRDefault="003D67BD" w:rsidP="003D67BD">
      <w:pPr>
        <w:rPr>
          <w:rFonts w:asciiTheme="majorHAnsi" w:hAnsiTheme="majorHAnsi" w:cstheme="majorHAnsi"/>
          <w:sz w:val="22"/>
          <w:szCs w:val="22"/>
        </w:rPr>
      </w:pPr>
    </w:p>
    <w:p w14:paraId="6C00BC78" w14:textId="77777777" w:rsidR="003D67BD" w:rsidRPr="000165A3" w:rsidRDefault="003D67BD" w:rsidP="003D67BD">
      <w:pPr>
        <w:rPr>
          <w:rFonts w:asciiTheme="majorHAnsi" w:hAnsiTheme="majorHAnsi" w:cstheme="majorHAnsi"/>
          <w:sz w:val="22"/>
          <w:szCs w:val="22"/>
        </w:rPr>
      </w:pPr>
      <w:r w:rsidRPr="000165A3">
        <w:rPr>
          <w:rFonts w:asciiTheme="majorHAnsi" w:hAnsiTheme="majorHAnsi" w:cstheme="majorHAnsi"/>
          <w:sz w:val="22"/>
          <w:szCs w:val="22"/>
        </w:rPr>
        <w:t xml:space="preserve">Provider to respond to any queries or issues within a 48-hour period (excluding weekends). </w:t>
      </w:r>
    </w:p>
    <w:p w14:paraId="734B26D3" w14:textId="77777777" w:rsidR="003D67BD" w:rsidRPr="000165A3" w:rsidRDefault="003D67BD" w:rsidP="003D67BD">
      <w:pPr>
        <w:pStyle w:val="ListParagraph"/>
        <w:numPr>
          <w:ilvl w:val="0"/>
          <w:numId w:val="10"/>
        </w:numPr>
        <w:spacing w:before="240" w:after="240"/>
        <w:rPr>
          <w:rFonts w:asciiTheme="majorHAnsi" w:hAnsiTheme="majorHAnsi" w:cstheme="majorHAnsi"/>
          <w:i/>
          <w:color w:val="FF0000"/>
          <w:sz w:val="22"/>
          <w:szCs w:val="22"/>
        </w:rPr>
      </w:pPr>
      <w:r w:rsidRPr="000165A3">
        <w:rPr>
          <w:rFonts w:asciiTheme="majorHAnsi" w:hAnsiTheme="majorHAnsi" w:cstheme="majorHAnsi"/>
          <w:b/>
          <w:sz w:val="22"/>
          <w:szCs w:val="22"/>
        </w:rPr>
        <w:t>General Data Protection Regulation (GDPR) and Privacy Impact Assessments (PIA)</w:t>
      </w:r>
    </w:p>
    <w:p w14:paraId="251D67C3" w14:textId="77777777" w:rsidR="003D67BD" w:rsidRPr="000165A3" w:rsidRDefault="003D67BD" w:rsidP="003D67BD">
      <w:pPr>
        <w:pStyle w:val="ListParagraph"/>
        <w:spacing w:before="120" w:after="120"/>
        <w:ind w:left="0"/>
        <w:rPr>
          <w:rFonts w:asciiTheme="majorHAnsi" w:eastAsia="Calibri" w:hAnsiTheme="majorHAnsi" w:cstheme="majorHAnsi"/>
          <w:sz w:val="22"/>
          <w:szCs w:val="22"/>
        </w:rPr>
      </w:pPr>
    </w:p>
    <w:p w14:paraId="74226819" w14:textId="77777777" w:rsidR="003D67BD" w:rsidRPr="000165A3" w:rsidRDefault="003D67BD" w:rsidP="003D67BD">
      <w:pPr>
        <w:pStyle w:val="ListParagraph"/>
        <w:spacing w:before="120" w:after="120"/>
        <w:ind w:left="0"/>
        <w:rPr>
          <w:rFonts w:asciiTheme="majorHAnsi" w:eastAsia="Calibri" w:hAnsiTheme="majorHAnsi" w:cstheme="majorHAnsi"/>
          <w:sz w:val="22"/>
          <w:szCs w:val="22"/>
        </w:rPr>
      </w:pPr>
      <w:r w:rsidRPr="000165A3">
        <w:rPr>
          <w:rFonts w:asciiTheme="majorHAnsi" w:eastAsia="Calibri" w:hAnsiTheme="majorHAnsi" w:cstheme="majorHAnsi"/>
          <w:sz w:val="22"/>
          <w:szCs w:val="22"/>
        </w:rPr>
        <w:t>Sport Wales is looking to contract with suppliers that have facilities and measures:</w:t>
      </w:r>
    </w:p>
    <w:p w14:paraId="67007320" w14:textId="77777777" w:rsidR="003D67BD" w:rsidRPr="000165A3" w:rsidRDefault="003D67BD" w:rsidP="003D67BD">
      <w:pPr>
        <w:pStyle w:val="ListParagraph"/>
        <w:numPr>
          <w:ilvl w:val="0"/>
          <w:numId w:val="11"/>
        </w:numPr>
        <w:autoSpaceDE w:val="0"/>
        <w:autoSpaceDN w:val="0"/>
        <w:adjustRightInd w:val="0"/>
        <w:spacing w:after="20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to ensure ongoing confidentiality, integrity, availability and resilience of processing systems and services</w:t>
      </w:r>
    </w:p>
    <w:p w14:paraId="174D9022" w14:textId="77777777" w:rsidR="003D67BD" w:rsidRPr="000165A3" w:rsidRDefault="003D67BD" w:rsidP="003D67BD">
      <w:pPr>
        <w:pStyle w:val="ListParagraph"/>
        <w:numPr>
          <w:ilvl w:val="0"/>
          <w:numId w:val="11"/>
        </w:numPr>
        <w:autoSpaceDE w:val="0"/>
        <w:autoSpaceDN w:val="0"/>
        <w:adjustRightInd w:val="0"/>
        <w:spacing w:after="20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to comply with the rights of data subjects in respect of receiving privacy information, and access, rectification, deletion, and portability of personal data</w:t>
      </w:r>
    </w:p>
    <w:p w14:paraId="159F2559" w14:textId="77777777" w:rsidR="003D67BD" w:rsidRPr="000165A3" w:rsidRDefault="003D67BD" w:rsidP="003D67BD">
      <w:pPr>
        <w:pStyle w:val="ListParagraph"/>
        <w:numPr>
          <w:ilvl w:val="0"/>
          <w:numId w:val="11"/>
        </w:numPr>
        <w:autoSpaceDE w:val="0"/>
        <w:autoSpaceDN w:val="0"/>
        <w:adjustRightInd w:val="0"/>
        <w:spacing w:after="20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to ensure that any consent-based processing meets standards of active, informed consent, and that such consents are recorded and auditable</w:t>
      </w:r>
    </w:p>
    <w:p w14:paraId="15687544" w14:textId="77777777" w:rsidR="003D67BD" w:rsidRPr="000165A3" w:rsidRDefault="003D67BD" w:rsidP="003D67BD">
      <w:pPr>
        <w:pStyle w:val="ListParagraph"/>
        <w:numPr>
          <w:ilvl w:val="0"/>
          <w:numId w:val="11"/>
        </w:numPr>
        <w:autoSpaceDE w:val="0"/>
        <w:autoSpaceDN w:val="0"/>
        <w:adjustRightInd w:val="0"/>
        <w:spacing w:after="20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to ensure legal safeguards are in place to legitimise transfers of personal data outside the EU (if such transfers will take place)</w:t>
      </w:r>
      <w:r>
        <w:rPr>
          <w:rFonts w:asciiTheme="majorHAnsi" w:eastAsia="Calibri" w:hAnsiTheme="majorHAnsi" w:cstheme="majorHAnsi"/>
          <w:sz w:val="22"/>
          <w:szCs w:val="22"/>
        </w:rPr>
        <w:t xml:space="preserve">. Preference will be given to providers hosting and maintaining all services within UK data centres. </w:t>
      </w:r>
    </w:p>
    <w:p w14:paraId="63677270" w14:textId="77777777" w:rsidR="003D67BD" w:rsidRPr="000165A3" w:rsidRDefault="003D67BD" w:rsidP="003D67BD">
      <w:pPr>
        <w:pStyle w:val="ListParagraph"/>
        <w:numPr>
          <w:ilvl w:val="0"/>
          <w:numId w:val="11"/>
        </w:numPr>
        <w:autoSpaceDE w:val="0"/>
        <w:autoSpaceDN w:val="0"/>
        <w:adjustRightInd w:val="0"/>
        <w:spacing w:after="20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to maintain records of personal data processing activities</w:t>
      </w:r>
    </w:p>
    <w:p w14:paraId="129E307F" w14:textId="77777777" w:rsidR="003D67BD" w:rsidRPr="000165A3" w:rsidRDefault="003D67BD" w:rsidP="003D67BD">
      <w:pPr>
        <w:pStyle w:val="ListParagraph"/>
        <w:numPr>
          <w:ilvl w:val="0"/>
          <w:numId w:val="11"/>
        </w:numPr>
        <w:autoSpaceDE w:val="0"/>
        <w:autoSpaceDN w:val="0"/>
        <w:adjustRightInd w:val="0"/>
        <w:spacing w:after="20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to regularly test, assess and evaluate the effectiveness of the above measures</w:t>
      </w:r>
    </w:p>
    <w:p w14:paraId="59B72AA3" w14:textId="77777777" w:rsidR="003D67BD" w:rsidRPr="000165A3" w:rsidRDefault="003D67BD" w:rsidP="003D67BD">
      <w:pPr>
        <w:pStyle w:val="ListParagraph"/>
        <w:autoSpaceDE w:val="0"/>
        <w:autoSpaceDN w:val="0"/>
        <w:adjustRightInd w:val="0"/>
        <w:ind w:left="792"/>
        <w:rPr>
          <w:rFonts w:asciiTheme="majorHAnsi" w:eastAsia="Calibri" w:hAnsiTheme="majorHAnsi" w:cstheme="majorHAnsi"/>
          <w:sz w:val="22"/>
          <w:szCs w:val="22"/>
        </w:rPr>
      </w:pPr>
    </w:p>
    <w:p w14:paraId="62EB9963" w14:textId="77777777" w:rsidR="003D67BD" w:rsidRPr="000165A3" w:rsidRDefault="003D67BD" w:rsidP="003D67BD">
      <w:pPr>
        <w:pStyle w:val="ListParagraph"/>
        <w:autoSpaceDE w:val="0"/>
        <w:autoSpaceDN w:val="0"/>
        <w:adjustRightInd w:val="0"/>
        <w:ind w:left="72"/>
        <w:rPr>
          <w:rFonts w:asciiTheme="majorHAnsi" w:eastAsia="Calibri" w:hAnsiTheme="majorHAnsi" w:cstheme="majorHAnsi"/>
          <w:sz w:val="22"/>
          <w:szCs w:val="22"/>
        </w:rPr>
      </w:pPr>
      <w:r w:rsidRPr="000165A3">
        <w:rPr>
          <w:rFonts w:asciiTheme="majorHAnsi" w:eastAsia="Calibri" w:hAnsiTheme="majorHAnsi" w:cstheme="majorHAnsi"/>
          <w:sz w:val="22"/>
          <w:szCs w:val="22"/>
        </w:rPr>
        <w:t>The Successful Bidder is expected to have the following;</w:t>
      </w:r>
    </w:p>
    <w:p w14:paraId="03685392" w14:textId="77777777" w:rsidR="003D67BD" w:rsidRPr="000165A3" w:rsidRDefault="003D67BD" w:rsidP="003D67BD">
      <w:pPr>
        <w:pStyle w:val="ListParagraph"/>
        <w:autoSpaceDE w:val="0"/>
        <w:autoSpaceDN w:val="0"/>
        <w:adjustRightInd w:val="0"/>
        <w:ind w:left="72"/>
        <w:rPr>
          <w:rFonts w:asciiTheme="majorHAnsi" w:eastAsia="Calibri" w:hAnsiTheme="majorHAnsi" w:cstheme="majorHAnsi"/>
          <w:sz w:val="22"/>
          <w:szCs w:val="22"/>
        </w:rPr>
      </w:pPr>
    </w:p>
    <w:p w14:paraId="545AAB08" w14:textId="77777777" w:rsidR="003D67BD" w:rsidRPr="000165A3" w:rsidRDefault="003D67BD" w:rsidP="003D67BD">
      <w:pPr>
        <w:pStyle w:val="ListParagraph"/>
        <w:numPr>
          <w:ilvl w:val="0"/>
          <w:numId w:val="12"/>
        </w:numPr>
        <w:spacing w:after="12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A designated Data Protection Officer within the business;</w:t>
      </w:r>
    </w:p>
    <w:p w14:paraId="35602514" w14:textId="77777777" w:rsidR="003D67BD" w:rsidRPr="000165A3" w:rsidRDefault="003D67BD" w:rsidP="003D67BD">
      <w:pPr>
        <w:pStyle w:val="ListParagraph"/>
        <w:numPr>
          <w:ilvl w:val="0"/>
          <w:numId w:val="12"/>
        </w:numPr>
        <w:spacing w:before="120" w:after="12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 xml:space="preserve">Compliance Statement detailing your data protection policy and procedures including consent requests, record of processing activity (ROPA), retention, breach reporting, and appointing sub-processors; </w:t>
      </w:r>
    </w:p>
    <w:p w14:paraId="447B3B92" w14:textId="77777777" w:rsidR="003D67BD" w:rsidRPr="000165A3" w:rsidRDefault="003D67BD" w:rsidP="003D67BD">
      <w:pPr>
        <w:pStyle w:val="ListParagraph"/>
        <w:numPr>
          <w:ilvl w:val="0"/>
          <w:numId w:val="12"/>
        </w:numPr>
        <w:spacing w:before="120" w:after="120" w:line="276" w:lineRule="auto"/>
        <w:ind w:left="792"/>
        <w:rPr>
          <w:rFonts w:asciiTheme="majorHAnsi" w:eastAsia="Calibri" w:hAnsiTheme="majorHAnsi" w:cstheme="majorHAnsi"/>
          <w:sz w:val="22"/>
          <w:szCs w:val="22"/>
        </w:rPr>
      </w:pPr>
      <w:r>
        <w:rPr>
          <w:rFonts w:asciiTheme="majorHAnsi" w:eastAsia="Calibri" w:hAnsiTheme="majorHAnsi" w:cstheme="majorHAnsi"/>
          <w:sz w:val="22"/>
          <w:szCs w:val="22"/>
        </w:rPr>
        <w:t xml:space="preserve">Full vendor supply chain contracting in place where required, including data sharing/processing agreements where appropriate. </w:t>
      </w:r>
    </w:p>
    <w:p w14:paraId="46A91892" w14:textId="77777777" w:rsidR="003D67BD" w:rsidRPr="000165A3" w:rsidRDefault="003D67BD" w:rsidP="003D67BD">
      <w:pPr>
        <w:pStyle w:val="ListParagraph"/>
        <w:numPr>
          <w:ilvl w:val="0"/>
          <w:numId w:val="12"/>
        </w:numPr>
        <w:spacing w:before="120" w:after="120" w:line="276" w:lineRule="auto"/>
        <w:ind w:left="792"/>
        <w:rPr>
          <w:rFonts w:asciiTheme="majorHAnsi" w:eastAsia="Calibri" w:hAnsiTheme="majorHAnsi" w:cstheme="majorHAnsi"/>
          <w:sz w:val="22"/>
          <w:szCs w:val="22"/>
        </w:rPr>
      </w:pPr>
      <w:r>
        <w:rPr>
          <w:rFonts w:asciiTheme="majorHAnsi" w:eastAsia="Calibri" w:hAnsiTheme="majorHAnsi" w:cstheme="majorHAnsi"/>
          <w:sz w:val="22"/>
          <w:szCs w:val="22"/>
        </w:rPr>
        <w:t xml:space="preserve">CE+, ISO27001 or other suitable industry-recognised cyber certification. </w:t>
      </w:r>
    </w:p>
    <w:p w14:paraId="60206C48" w14:textId="77777777" w:rsidR="003D67BD" w:rsidRPr="000165A3" w:rsidRDefault="003D67BD" w:rsidP="003D67BD">
      <w:pPr>
        <w:pStyle w:val="ListParagraph"/>
        <w:numPr>
          <w:ilvl w:val="0"/>
          <w:numId w:val="12"/>
        </w:numPr>
        <w:spacing w:after="200"/>
        <w:rPr>
          <w:rFonts w:asciiTheme="majorHAnsi" w:eastAsia="Calibri" w:hAnsiTheme="majorHAnsi" w:cstheme="majorHAnsi"/>
          <w:sz w:val="22"/>
          <w:szCs w:val="22"/>
        </w:rPr>
      </w:pPr>
      <w:r w:rsidRPr="000165A3">
        <w:rPr>
          <w:rFonts w:asciiTheme="majorHAnsi" w:eastAsia="Calibri" w:hAnsiTheme="majorHAnsi" w:cstheme="majorHAnsi"/>
          <w:sz w:val="22"/>
          <w:szCs w:val="22"/>
        </w:rPr>
        <w:t xml:space="preserve">The supplier must have sufficient storage to hold all data records for the entire contract’s duration; </w:t>
      </w:r>
    </w:p>
    <w:p w14:paraId="56E6FECA" w14:textId="77777777" w:rsidR="003D67BD" w:rsidRPr="000165A3" w:rsidRDefault="003D67BD" w:rsidP="003D67BD">
      <w:pPr>
        <w:pStyle w:val="ListParagraph"/>
        <w:numPr>
          <w:ilvl w:val="0"/>
          <w:numId w:val="12"/>
        </w:numPr>
        <w:spacing w:after="200"/>
        <w:rPr>
          <w:rFonts w:asciiTheme="majorHAnsi" w:eastAsia="Calibri" w:hAnsiTheme="majorHAnsi" w:cstheme="majorHAnsi"/>
          <w:sz w:val="22"/>
          <w:szCs w:val="22"/>
        </w:rPr>
      </w:pPr>
      <w:r w:rsidRPr="000165A3">
        <w:rPr>
          <w:rFonts w:asciiTheme="majorHAnsi" w:eastAsia="Calibri" w:hAnsiTheme="majorHAnsi" w:cstheme="majorHAnsi"/>
          <w:sz w:val="22"/>
          <w:szCs w:val="22"/>
        </w:rPr>
        <w:lastRenderedPageBreak/>
        <w:t>The supplier must have sufficient security in place to ensure data can only be accessed by necessary personnel. This security should include a minimum of training, data and physical security including encryption of data in transit and at rest;</w:t>
      </w:r>
    </w:p>
    <w:p w14:paraId="76C97627" w14:textId="77777777" w:rsidR="003D67BD" w:rsidRPr="000165A3" w:rsidRDefault="003D67BD" w:rsidP="003D67BD">
      <w:pPr>
        <w:pStyle w:val="ListParagraph"/>
        <w:numPr>
          <w:ilvl w:val="0"/>
          <w:numId w:val="12"/>
        </w:numPr>
        <w:spacing w:before="120" w:after="120" w:line="276" w:lineRule="auto"/>
        <w:ind w:left="792"/>
        <w:rPr>
          <w:rFonts w:asciiTheme="majorHAnsi" w:eastAsia="Calibri" w:hAnsiTheme="majorHAnsi" w:cstheme="majorHAnsi"/>
          <w:sz w:val="22"/>
          <w:szCs w:val="22"/>
        </w:rPr>
      </w:pPr>
      <w:r w:rsidRPr="000165A3">
        <w:rPr>
          <w:rFonts w:asciiTheme="majorHAnsi" w:eastAsia="Calibri" w:hAnsiTheme="majorHAnsi" w:cstheme="majorHAnsi"/>
          <w:sz w:val="22"/>
          <w:szCs w:val="22"/>
        </w:rPr>
        <w:t>Technical measures must also be in place ensuring the security of processing; and</w:t>
      </w:r>
    </w:p>
    <w:p w14:paraId="29C6B027" w14:textId="77777777" w:rsidR="003D67BD" w:rsidRPr="000165A3" w:rsidRDefault="003D67BD" w:rsidP="003D67BD">
      <w:pPr>
        <w:pStyle w:val="ListParagraph"/>
        <w:numPr>
          <w:ilvl w:val="0"/>
          <w:numId w:val="12"/>
        </w:numPr>
        <w:spacing w:after="120" w:line="276" w:lineRule="auto"/>
        <w:ind w:left="792"/>
        <w:rPr>
          <w:rFonts w:asciiTheme="majorHAnsi" w:eastAsia="Calibri" w:hAnsiTheme="majorHAnsi" w:cstheme="majorHAnsi"/>
          <w:sz w:val="22"/>
          <w:szCs w:val="22"/>
        </w:rPr>
      </w:pPr>
      <w:r>
        <w:rPr>
          <w:rFonts w:asciiTheme="majorHAnsi" w:eastAsia="Calibri" w:hAnsiTheme="majorHAnsi" w:cstheme="majorHAnsi"/>
          <w:sz w:val="22"/>
          <w:szCs w:val="22"/>
        </w:rPr>
        <w:t xml:space="preserve">Evidence of </w:t>
      </w:r>
      <w:r w:rsidRPr="000165A3">
        <w:rPr>
          <w:rFonts w:asciiTheme="majorHAnsi" w:eastAsia="Calibri" w:hAnsiTheme="majorHAnsi" w:cstheme="majorHAnsi"/>
          <w:sz w:val="22"/>
          <w:szCs w:val="22"/>
        </w:rPr>
        <w:t>Data Protection training for all staff handling personal data</w:t>
      </w:r>
      <w:r>
        <w:rPr>
          <w:rFonts w:asciiTheme="majorHAnsi" w:eastAsia="Calibri" w:hAnsiTheme="majorHAnsi" w:cstheme="majorHAnsi"/>
          <w:sz w:val="22"/>
          <w:szCs w:val="22"/>
        </w:rPr>
        <w:t>, including completion rates.</w:t>
      </w:r>
    </w:p>
    <w:p w14:paraId="466096EB" w14:textId="77777777" w:rsidR="003D67BD" w:rsidRPr="000165A3" w:rsidRDefault="003D67BD" w:rsidP="003D67BD">
      <w:pPr>
        <w:rPr>
          <w:rFonts w:asciiTheme="majorHAnsi" w:hAnsiTheme="majorHAnsi" w:cstheme="majorHAnsi"/>
          <w:b/>
          <w:sz w:val="22"/>
          <w:szCs w:val="22"/>
        </w:rPr>
      </w:pPr>
    </w:p>
    <w:p w14:paraId="028A8B8B" w14:textId="77777777" w:rsidR="003D67BD" w:rsidRPr="000165A3" w:rsidRDefault="003D67BD" w:rsidP="003D67BD">
      <w:pPr>
        <w:rPr>
          <w:rFonts w:asciiTheme="majorHAnsi" w:hAnsiTheme="majorHAnsi" w:cstheme="majorHAnsi"/>
          <w:b/>
          <w:sz w:val="22"/>
          <w:szCs w:val="22"/>
          <w:u w:val="single"/>
        </w:rPr>
      </w:pPr>
      <w:r w:rsidRPr="000165A3">
        <w:rPr>
          <w:rFonts w:asciiTheme="majorHAnsi" w:hAnsiTheme="majorHAnsi" w:cstheme="majorHAnsi"/>
          <w:b/>
          <w:sz w:val="22"/>
          <w:szCs w:val="22"/>
        </w:rPr>
        <w:t xml:space="preserve">SECTION 2: INFORMATION AND INSTRUCTIONS TO TENDERS </w:t>
      </w:r>
    </w:p>
    <w:p w14:paraId="181802A1" w14:textId="77777777" w:rsidR="003D67BD" w:rsidRPr="000165A3" w:rsidRDefault="003D67BD" w:rsidP="003D67BD">
      <w:pPr>
        <w:rPr>
          <w:rFonts w:asciiTheme="majorHAnsi" w:hAnsiTheme="majorHAnsi" w:cstheme="majorHAnsi"/>
          <w:b/>
          <w:sz w:val="22"/>
          <w:szCs w:val="22"/>
          <w:u w:val="single"/>
        </w:rPr>
      </w:pPr>
    </w:p>
    <w:p w14:paraId="6C2997A1" w14:textId="77777777" w:rsidR="003D67BD" w:rsidRPr="000165A3" w:rsidRDefault="003D67BD" w:rsidP="003D67BD">
      <w:pPr>
        <w:rPr>
          <w:rFonts w:asciiTheme="majorHAnsi" w:hAnsiTheme="majorHAnsi" w:cstheme="majorHAnsi"/>
          <w:sz w:val="22"/>
          <w:szCs w:val="22"/>
        </w:rPr>
      </w:pPr>
      <w:r w:rsidRPr="000165A3">
        <w:rPr>
          <w:rFonts w:asciiTheme="majorHAnsi" w:hAnsiTheme="majorHAnsi" w:cstheme="majorHAnsi"/>
          <w:sz w:val="22"/>
          <w:szCs w:val="22"/>
        </w:rPr>
        <w:t>You must ensure that the submission of your tender fully meets the requirements laid down in this document.</w:t>
      </w:r>
    </w:p>
    <w:p w14:paraId="09024F08" w14:textId="77777777" w:rsidR="009F5A05" w:rsidRDefault="009F5A05" w:rsidP="00703046">
      <w:pPr>
        <w:jc w:val="both"/>
        <w:rPr>
          <w:rFonts w:asciiTheme="majorHAnsi" w:hAnsiTheme="majorHAnsi" w:cs="Calibri"/>
          <w:b/>
          <w:sz w:val="22"/>
          <w:szCs w:val="22"/>
        </w:rPr>
      </w:pPr>
    </w:p>
    <w:p w14:paraId="389E8ED1" w14:textId="77777777" w:rsidR="00703046" w:rsidRPr="009F5A05" w:rsidRDefault="00703046" w:rsidP="00703046">
      <w:pPr>
        <w:jc w:val="both"/>
        <w:rPr>
          <w:rFonts w:asciiTheme="majorHAnsi" w:hAnsiTheme="majorHAnsi" w:cs="Calibri"/>
          <w:b/>
          <w:sz w:val="22"/>
          <w:szCs w:val="22"/>
          <w:u w:val="single"/>
        </w:rPr>
      </w:pPr>
      <w:r w:rsidRPr="009F5A05">
        <w:rPr>
          <w:rFonts w:asciiTheme="majorHAnsi" w:hAnsiTheme="majorHAnsi" w:cs="Calibri"/>
          <w:b/>
          <w:sz w:val="22"/>
          <w:szCs w:val="22"/>
          <w:u w:val="single"/>
        </w:rPr>
        <w:t>Submission Requirements</w:t>
      </w:r>
    </w:p>
    <w:p w14:paraId="35D9C882" w14:textId="77777777" w:rsidR="00703046" w:rsidRDefault="00703046" w:rsidP="00703046">
      <w:pPr>
        <w:jc w:val="both"/>
        <w:rPr>
          <w:rFonts w:asciiTheme="majorHAnsi" w:hAnsiTheme="majorHAnsi"/>
          <w:color w:val="FF0000"/>
          <w:sz w:val="22"/>
          <w:szCs w:val="22"/>
        </w:rPr>
      </w:pPr>
    </w:p>
    <w:p w14:paraId="7EEE023B" w14:textId="77777777" w:rsidR="00DD6C54" w:rsidRDefault="00703046" w:rsidP="00DD6C54">
      <w:pPr>
        <w:rPr>
          <w:rFonts w:asciiTheme="majorHAnsi" w:hAnsiTheme="majorHAnsi"/>
          <w:sz w:val="22"/>
          <w:szCs w:val="22"/>
        </w:rPr>
      </w:pPr>
      <w:r w:rsidRPr="000F431C">
        <w:rPr>
          <w:rFonts w:asciiTheme="majorHAnsi" w:hAnsiTheme="majorHAnsi"/>
          <w:sz w:val="22"/>
          <w:szCs w:val="22"/>
        </w:rPr>
        <w:t>In order to comply with Sport Wales</w:t>
      </w:r>
      <w:r w:rsidR="00C65944">
        <w:rPr>
          <w:rFonts w:asciiTheme="majorHAnsi" w:hAnsiTheme="majorHAnsi"/>
          <w:sz w:val="22"/>
          <w:szCs w:val="22"/>
        </w:rPr>
        <w:t>’</w:t>
      </w:r>
      <w:r w:rsidRPr="000F431C">
        <w:rPr>
          <w:rFonts w:asciiTheme="majorHAnsi" w:hAnsiTheme="majorHAnsi"/>
          <w:sz w:val="22"/>
          <w:szCs w:val="22"/>
        </w:rPr>
        <w:t xml:space="preserve"> regulations for the submission of tenders, you must ensure your tender is submitted in accordance with the following requirements.  Failure to do so, which includes not having </w:t>
      </w:r>
      <w:r w:rsidR="00647835">
        <w:rPr>
          <w:rFonts w:asciiTheme="majorHAnsi" w:hAnsiTheme="majorHAnsi"/>
          <w:sz w:val="22"/>
          <w:szCs w:val="22"/>
        </w:rPr>
        <w:t xml:space="preserve">uploaded or </w:t>
      </w:r>
      <w:r w:rsidRPr="000F431C">
        <w:rPr>
          <w:rFonts w:asciiTheme="majorHAnsi" w:hAnsiTheme="majorHAnsi"/>
          <w:sz w:val="22"/>
          <w:szCs w:val="22"/>
        </w:rPr>
        <w:t>submitted your tender by the closing time, is likely to invalidate your tender.</w:t>
      </w:r>
      <w:r w:rsidR="00DD6C54">
        <w:rPr>
          <w:rFonts w:asciiTheme="majorHAnsi" w:hAnsiTheme="majorHAnsi"/>
          <w:sz w:val="22"/>
          <w:szCs w:val="22"/>
        </w:rPr>
        <w:t xml:space="preserve">  </w:t>
      </w:r>
    </w:p>
    <w:p w14:paraId="0BD89DED" w14:textId="77777777" w:rsidR="00DD6C54" w:rsidRDefault="00DD6C54" w:rsidP="00DD6C54">
      <w:pPr>
        <w:rPr>
          <w:rFonts w:asciiTheme="majorHAnsi" w:hAnsiTheme="majorHAnsi"/>
          <w:sz w:val="22"/>
          <w:szCs w:val="22"/>
        </w:rPr>
      </w:pPr>
    </w:p>
    <w:p w14:paraId="3606B8F6" w14:textId="53595AC9" w:rsidR="000C4787" w:rsidRDefault="000C4787" w:rsidP="00DD6C54">
      <w:pPr>
        <w:rPr>
          <w:rFonts w:asciiTheme="majorHAnsi" w:hAnsiTheme="majorHAnsi"/>
          <w:sz w:val="22"/>
          <w:szCs w:val="22"/>
        </w:rPr>
      </w:pPr>
      <w:r w:rsidRPr="000C4787">
        <w:rPr>
          <w:rFonts w:asciiTheme="majorHAnsi" w:hAnsiTheme="majorHAnsi"/>
          <w:sz w:val="22"/>
          <w:szCs w:val="22"/>
        </w:rPr>
        <w:t>Tenders are welcomed in the Welsh language and will be treated no less favourably than an English language version</w:t>
      </w:r>
      <w:r>
        <w:rPr>
          <w:rFonts w:asciiTheme="majorHAnsi" w:hAnsiTheme="majorHAnsi"/>
          <w:sz w:val="22"/>
          <w:szCs w:val="22"/>
        </w:rPr>
        <w:t>.</w:t>
      </w:r>
    </w:p>
    <w:p w14:paraId="102F56C1" w14:textId="675B02B4" w:rsidR="00DD6C54" w:rsidRPr="005947B6" w:rsidRDefault="00DD6C54" w:rsidP="00DD6C54">
      <w:pPr>
        <w:rPr>
          <w:rFonts w:asciiTheme="majorHAnsi" w:hAnsiTheme="majorHAnsi"/>
          <w:b/>
          <w:sz w:val="22"/>
          <w:szCs w:val="22"/>
        </w:rPr>
      </w:pPr>
      <w:r w:rsidRPr="005947B6">
        <w:rPr>
          <w:rFonts w:asciiTheme="majorHAnsi" w:hAnsiTheme="majorHAnsi"/>
          <w:b/>
          <w:sz w:val="22"/>
          <w:szCs w:val="22"/>
        </w:rPr>
        <w:t xml:space="preserve">The tender will </w:t>
      </w:r>
      <w:r w:rsidR="00D04A01" w:rsidRPr="005947B6">
        <w:rPr>
          <w:rFonts w:asciiTheme="majorHAnsi" w:hAnsiTheme="majorHAnsi"/>
          <w:b/>
          <w:sz w:val="22"/>
          <w:szCs w:val="22"/>
        </w:rPr>
        <w:t xml:space="preserve">need to be </w:t>
      </w:r>
      <w:r w:rsidR="00B00106">
        <w:rPr>
          <w:rFonts w:asciiTheme="majorHAnsi" w:hAnsiTheme="majorHAnsi"/>
          <w:b/>
          <w:sz w:val="22"/>
          <w:szCs w:val="22"/>
        </w:rPr>
        <w:t>uploaded to Sell2Wales</w:t>
      </w:r>
      <w:r w:rsidR="00B00106">
        <w:t>.</w:t>
      </w:r>
    </w:p>
    <w:p w14:paraId="031FF2CC" w14:textId="77777777" w:rsidR="00703046" w:rsidRPr="002539A5" w:rsidRDefault="00703046" w:rsidP="00703046">
      <w:pPr>
        <w:jc w:val="both"/>
        <w:rPr>
          <w:rFonts w:asciiTheme="majorHAnsi" w:hAnsiTheme="majorHAnsi"/>
          <w:color w:val="FF0000"/>
          <w:sz w:val="22"/>
          <w:szCs w:val="22"/>
        </w:rPr>
      </w:pPr>
    </w:p>
    <w:p w14:paraId="7BB236ED" w14:textId="7D5C2312" w:rsidR="00703046" w:rsidRPr="002A0583" w:rsidRDefault="00703046" w:rsidP="00703046">
      <w:pPr>
        <w:jc w:val="both"/>
        <w:rPr>
          <w:rFonts w:asciiTheme="majorHAnsi" w:hAnsiTheme="majorHAnsi"/>
          <w:b/>
          <w:sz w:val="22"/>
          <w:szCs w:val="22"/>
        </w:rPr>
      </w:pPr>
      <w:r w:rsidRPr="002A0583">
        <w:rPr>
          <w:rFonts w:asciiTheme="majorHAnsi" w:hAnsiTheme="majorHAnsi"/>
          <w:b/>
          <w:sz w:val="22"/>
          <w:szCs w:val="22"/>
        </w:rPr>
        <w:t xml:space="preserve">The closing date for the submission </w:t>
      </w:r>
      <w:r w:rsidR="00086C96">
        <w:rPr>
          <w:rFonts w:asciiTheme="majorHAnsi" w:hAnsiTheme="majorHAnsi"/>
          <w:b/>
          <w:sz w:val="22"/>
          <w:szCs w:val="22"/>
        </w:rPr>
        <w:t xml:space="preserve">of tenders is </w:t>
      </w:r>
      <w:r w:rsidR="00EB58EB">
        <w:rPr>
          <w:rFonts w:asciiTheme="majorHAnsi" w:hAnsiTheme="majorHAnsi"/>
          <w:b/>
          <w:sz w:val="22"/>
          <w:szCs w:val="22"/>
        </w:rPr>
        <w:t>5pm</w:t>
      </w:r>
      <w:r w:rsidR="00086C96">
        <w:rPr>
          <w:rFonts w:asciiTheme="majorHAnsi" w:hAnsiTheme="majorHAnsi"/>
          <w:b/>
          <w:sz w:val="22"/>
          <w:szCs w:val="22"/>
        </w:rPr>
        <w:t xml:space="preserve"> </w:t>
      </w:r>
      <w:r w:rsidRPr="002A0583">
        <w:rPr>
          <w:rFonts w:asciiTheme="majorHAnsi" w:hAnsiTheme="majorHAnsi"/>
          <w:b/>
          <w:sz w:val="22"/>
          <w:szCs w:val="22"/>
        </w:rPr>
        <w:t>on</w:t>
      </w:r>
      <w:r w:rsidR="00131C97" w:rsidRPr="002A0583">
        <w:rPr>
          <w:rFonts w:asciiTheme="majorHAnsi" w:hAnsiTheme="majorHAnsi"/>
          <w:b/>
          <w:sz w:val="22"/>
          <w:szCs w:val="22"/>
        </w:rPr>
        <w:t xml:space="preserve"> </w:t>
      </w:r>
      <w:r w:rsidR="00D43B6D">
        <w:rPr>
          <w:rFonts w:asciiTheme="majorHAnsi" w:hAnsiTheme="majorHAnsi"/>
          <w:b/>
          <w:sz w:val="22"/>
          <w:szCs w:val="22"/>
        </w:rPr>
        <w:t>Friday</w:t>
      </w:r>
      <w:r w:rsidR="00EB58EB">
        <w:rPr>
          <w:rFonts w:asciiTheme="majorHAnsi" w:hAnsiTheme="majorHAnsi"/>
          <w:b/>
          <w:sz w:val="22"/>
          <w:szCs w:val="22"/>
        </w:rPr>
        <w:t xml:space="preserve"> the 2</w:t>
      </w:r>
      <w:r w:rsidR="00435B03">
        <w:rPr>
          <w:rFonts w:asciiTheme="majorHAnsi" w:hAnsiTheme="majorHAnsi"/>
          <w:b/>
          <w:sz w:val="22"/>
          <w:szCs w:val="22"/>
        </w:rPr>
        <w:t>3</w:t>
      </w:r>
      <w:r w:rsidR="00435B03" w:rsidRPr="00435B03">
        <w:rPr>
          <w:rFonts w:asciiTheme="majorHAnsi" w:hAnsiTheme="majorHAnsi"/>
          <w:b/>
          <w:sz w:val="22"/>
          <w:szCs w:val="22"/>
          <w:vertAlign w:val="superscript"/>
        </w:rPr>
        <w:t>rd</w:t>
      </w:r>
      <w:r w:rsidR="00435B03">
        <w:rPr>
          <w:rFonts w:asciiTheme="majorHAnsi" w:hAnsiTheme="majorHAnsi"/>
          <w:b/>
          <w:sz w:val="22"/>
          <w:szCs w:val="22"/>
        </w:rPr>
        <w:t xml:space="preserve"> </w:t>
      </w:r>
      <w:r w:rsidR="00EB58EB">
        <w:rPr>
          <w:rFonts w:asciiTheme="majorHAnsi" w:hAnsiTheme="majorHAnsi"/>
          <w:b/>
          <w:sz w:val="22"/>
          <w:szCs w:val="22"/>
        </w:rPr>
        <w:t>January, 2026</w:t>
      </w:r>
      <w:r w:rsidR="002C3C10">
        <w:rPr>
          <w:rFonts w:asciiTheme="majorHAnsi" w:hAnsiTheme="majorHAnsi"/>
          <w:b/>
          <w:sz w:val="22"/>
          <w:szCs w:val="22"/>
        </w:rPr>
        <w:t xml:space="preserve">. </w:t>
      </w:r>
      <w:r w:rsidR="00D10CD3">
        <w:rPr>
          <w:rFonts w:asciiTheme="majorHAnsi" w:hAnsiTheme="majorHAnsi"/>
          <w:b/>
          <w:sz w:val="22"/>
          <w:szCs w:val="22"/>
        </w:rPr>
        <w:t xml:space="preserve"> Entries received after this time will not be considered.</w:t>
      </w:r>
    </w:p>
    <w:p w14:paraId="7EF2127D" w14:textId="77777777" w:rsidR="002A0BF3" w:rsidRDefault="002A0BF3" w:rsidP="002A0BF3">
      <w:pPr>
        <w:rPr>
          <w:rFonts w:asciiTheme="majorHAnsi" w:hAnsiTheme="majorHAnsi" w:cstheme="majorHAnsi"/>
        </w:rPr>
      </w:pPr>
    </w:p>
    <w:p w14:paraId="7D2365A4" w14:textId="77777777" w:rsidR="00DD6C54" w:rsidRPr="002539A5" w:rsidRDefault="00DD6C54" w:rsidP="00DD6C54">
      <w:pPr>
        <w:jc w:val="both"/>
        <w:rPr>
          <w:rFonts w:asciiTheme="majorHAnsi" w:hAnsiTheme="majorHAnsi"/>
          <w:b/>
          <w:sz w:val="22"/>
          <w:szCs w:val="22"/>
        </w:rPr>
      </w:pPr>
      <w:r w:rsidRPr="009F5A05">
        <w:rPr>
          <w:rFonts w:asciiTheme="majorHAnsi" w:hAnsiTheme="majorHAnsi"/>
          <w:b/>
          <w:sz w:val="22"/>
          <w:szCs w:val="22"/>
          <w:u w:val="single"/>
        </w:rPr>
        <w:t xml:space="preserve">Communication with Sport Wales </w:t>
      </w:r>
    </w:p>
    <w:p w14:paraId="51FF3A84" w14:textId="77777777" w:rsidR="00DD6C54" w:rsidRPr="002539A5" w:rsidRDefault="00DD6C54" w:rsidP="00DD6C54">
      <w:pPr>
        <w:jc w:val="both"/>
        <w:rPr>
          <w:rFonts w:asciiTheme="majorHAnsi" w:hAnsiTheme="majorHAnsi"/>
          <w:sz w:val="22"/>
          <w:szCs w:val="22"/>
        </w:rPr>
      </w:pPr>
    </w:p>
    <w:p w14:paraId="4774B032" w14:textId="54A8AA1B" w:rsidR="00DD6C54" w:rsidRDefault="00DD6C54" w:rsidP="00DD6C54">
      <w:pPr>
        <w:jc w:val="both"/>
        <w:rPr>
          <w:rFonts w:asciiTheme="majorHAnsi" w:hAnsiTheme="majorHAnsi"/>
          <w:sz w:val="22"/>
          <w:szCs w:val="22"/>
        </w:rPr>
      </w:pPr>
      <w:r w:rsidRPr="002539A5">
        <w:rPr>
          <w:rFonts w:asciiTheme="majorHAnsi" w:hAnsiTheme="majorHAnsi"/>
          <w:sz w:val="22"/>
          <w:szCs w:val="22"/>
        </w:rPr>
        <w:t xml:space="preserve">All requests for further information, clarification or any other approach to Sport Wales in respect of this tender must be made via </w:t>
      </w:r>
      <w:r w:rsidR="00AA5FD5">
        <w:rPr>
          <w:rFonts w:asciiTheme="majorHAnsi" w:hAnsiTheme="majorHAnsi"/>
          <w:sz w:val="22"/>
          <w:szCs w:val="22"/>
        </w:rPr>
        <w:t>the Sell2Wales portal.</w:t>
      </w:r>
    </w:p>
    <w:p w14:paraId="62984AA0" w14:textId="77777777" w:rsidR="001D618A" w:rsidRDefault="001D618A" w:rsidP="00DD6C54">
      <w:pPr>
        <w:jc w:val="both"/>
        <w:rPr>
          <w:rFonts w:asciiTheme="majorHAnsi" w:hAnsiTheme="majorHAnsi"/>
          <w:sz w:val="22"/>
          <w:szCs w:val="22"/>
        </w:rPr>
      </w:pPr>
    </w:p>
    <w:p w14:paraId="643CF081" w14:textId="77777777" w:rsidR="00DD6C54" w:rsidRPr="002539A5" w:rsidRDefault="00DD6C54" w:rsidP="00DD6C54">
      <w:pPr>
        <w:jc w:val="both"/>
        <w:rPr>
          <w:rFonts w:asciiTheme="majorHAnsi" w:hAnsiTheme="majorHAnsi" w:cs="Calibri"/>
          <w:b/>
          <w:sz w:val="22"/>
          <w:szCs w:val="22"/>
        </w:rPr>
      </w:pPr>
      <w:r w:rsidRPr="009F5A05">
        <w:rPr>
          <w:rFonts w:asciiTheme="majorHAnsi" w:hAnsiTheme="majorHAnsi" w:cs="Calibri"/>
          <w:b/>
          <w:sz w:val="22"/>
          <w:szCs w:val="22"/>
          <w:u w:val="single"/>
        </w:rPr>
        <w:t>Contract term and award</w:t>
      </w:r>
    </w:p>
    <w:p w14:paraId="10E35F88" w14:textId="77777777" w:rsidR="00DD6C54" w:rsidRPr="002539A5" w:rsidRDefault="00DD6C54" w:rsidP="00DD6C54">
      <w:pPr>
        <w:jc w:val="both"/>
        <w:rPr>
          <w:rFonts w:asciiTheme="majorHAnsi" w:hAnsiTheme="majorHAnsi" w:cs="Calibri"/>
          <w:sz w:val="22"/>
          <w:szCs w:val="22"/>
          <w:highlight w:val="yellow"/>
        </w:rPr>
      </w:pPr>
    </w:p>
    <w:p w14:paraId="7DD48FA3" w14:textId="08CF2A75" w:rsidR="00EE4450" w:rsidRDefault="00896222" w:rsidP="00EE4450">
      <w:pPr>
        <w:jc w:val="both"/>
        <w:rPr>
          <w:rFonts w:asciiTheme="majorHAnsi" w:hAnsiTheme="majorHAnsi" w:cs="Calibri"/>
          <w:sz w:val="22"/>
          <w:szCs w:val="22"/>
        </w:rPr>
      </w:pPr>
      <w:r>
        <w:rPr>
          <w:rFonts w:asciiTheme="majorHAnsi" w:hAnsiTheme="majorHAnsi" w:cs="Calibri"/>
          <w:sz w:val="22"/>
          <w:szCs w:val="22"/>
        </w:rPr>
        <w:t xml:space="preserve">The </w:t>
      </w:r>
      <w:r w:rsidR="004C7DD3">
        <w:rPr>
          <w:rFonts w:asciiTheme="majorHAnsi" w:hAnsiTheme="majorHAnsi" w:cs="Calibri"/>
          <w:sz w:val="22"/>
          <w:szCs w:val="22"/>
        </w:rPr>
        <w:t>contract</w:t>
      </w:r>
      <w:r>
        <w:rPr>
          <w:rFonts w:asciiTheme="majorHAnsi" w:hAnsiTheme="majorHAnsi" w:cs="Calibri"/>
          <w:sz w:val="22"/>
          <w:szCs w:val="22"/>
        </w:rPr>
        <w:t xml:space="preserve"> term will be </w:t>
      </w:r>
      <w:r w:rsidR="00B805EC">
        <w:rPr>
          <w:rFonts w:asciiTheme="majorHAnsi" w:hAnsiTheme="majorHAnsi" w:cs="Calibri"/>
          <w:sz w:val="22"/>
          <w:szCs w:val="22"/>
        </w:rPr>
        <w:t xml:space="preserve">for </w:t>
      </w:r>
      <w:r w:rsidR="00F45B10">
        <w:rPr>
          <w:rFonts w:asciiTheme="majorHAnsi" w:hAnsiTheme="majorHAnsi" w:cs="Calibri"/>
          <w:sz w:val="22"/>
          <w:szCs w:val="22"/>
        </w:rPr>
        <w:t>3</w:t>
      </w:r>
      <w:r w:rsidR="00C65944">
        <w:rPr>
          <w:rFonts w:asciiTheme="majorHAnsi" w:hAnsiTheme="majorHAnsi" w:cs="Calibri"/>
          <w:sz w:val="22"/>
          <w:szCs w:val="22"/>
        </w:rPr>
        <w:t xml:space="preserve"> years</w:t>
      </w:r>
      <w:r w:rsidR="00B805EC">
        <w:rPr>
          <w:rFonts w:asciiTheme="majorHAnsi" w:hAnsiTheme="majorHAnsi" w:cs="Calibri"/>
          <w:sz w:val="22"/>
          <w:szCs w:val="22"/>
        </w:rPr>
        <w:t xml:space="preserve"> </w:t>
      </w:r>
      <w:r w:rsidR="00BB5D19">
        <w:rPr>
          <w:rFonts w:asciiTheme="majorHAnsi" w:hAnsiTheme="majorHAnsi" w:cs="Calibri"/>
          <w:sz w:val="22"/>
          <w:szCs w:val="22"/>
        </w:rPr>
        <w:t xml:space="preserve">from </w:t>
      </w:r>
      <w:r w:rsidR="00F45B10">
        <w:rPr>
          <w:rFonts w:asciiTheme="majorHAnsi" w:hAnsiTheme="majorHAnsi" w:cs="Calibri"/>
          <w:sz w:val="22"/>
          <w:szCs w:val="22"/>
        </w:rPr>
        <w:t>April 1</w:t>
      </w:r>
      <w:r w:rsidR="00F45B10" w:rsidRPr="00407261">
        <w:rPr>
          <w:rFonts w:asciiTheme="majorHAnsi" w:hAnsiTheme="majorHAnsi" w:cs="Calibri"/>
          <w:sz w:val="22"/>
          <w:szCs w:val="22"/>
          <w:vertAlign w:val="superscript"/>
        </w:rPr>
        <w:t>st</w:t>
      </w:r>
      <w:r w:rsidR="00407261">
        <w:rPr>
          <w:rFonts w:asciiTheme="majorHAnsi" w:hAnsiTheme="majorHAnsi" w:cs="Calibri"/>
          <w:sz w:val="22"/>
          <w:szCs w:val="22"/>
        </w:rPr>
        <w:t>, 2026</w:t>
      </w:r>
      <w:r w:rsidR="004C7DD3">
        <w:rPr>
          <w:rFonts w:asciiTheme="majorHAnsi" w:hAnsiTheme="majorHAnsi" w:cs="Calibri"/>
          <w:sz w:val="22"/>
          <w:szCs w:val="22"/>
        </w:rPr>
        <w:t>.</w:t>
      </w:r>
    </w:p>
    <w:p w14:paraId="5E9758FF" w14:textId="77777777" w:rsidR="00C471D7" w:rsidRDefault="00C471D7" w:rsidP="00EE4450">
      <w:pPr>
        <w:jc w:val="both"/>
        <w:rPr>
          <w:rFonts w:asciiTheme="majorHAnsi" w:hAnsiTheme="majorHAnsi" w:cs="Calibri"/>
          <w:sz w:val="22"/>
          <w:szCs w:val="22"/>
        </w:rPr>
      </w:pPr>
    </w:p>
    <w:p w14:paraId="6F3E2758" w14:textId="18C1401D" w:rsidR="00C471D7" w:rsidRPr="00EE4450" w:rsidRDefault="00D76323" w:rsidP="00EE4450">
      <w:pPr>
        <w:jc w:val="both"/>
        <w:rPr>
          <w:rFonts w:asciiTheme="majorHAnsi" w:hAnsiTheme="majorHAnsi" w:cs="Calibri"/>
          <w:sz w:val="22"/>
          <w:szCs w:val="22"/>
        </w:rPr>
      </w:pPr>
      <w:r w:rsidRPr="00880C0D">
        <w:rPr>
          <w:rFonts w:asciiTheme="majorHAnsi" w:hAnsiTheme="majorHAnsi" w:cs="Calibri"/>
          <w:sz w:val="22"/>
          <w:szCs w:val="22"/>
        </w:rPr>
        <w:t>Any contract which may be awarded will be transacted in accordance with Sport Wales’s terms and conditions of contract</w:t>
      </w:r>
      <w:r w:rsidR="001531A6">
        <w:rPr>
          <w:rFonts w:asciiTheme="majorHAnsi" w:hAnsiTheme="majorHAnsi" w:cs="Calibri"/>
          <w:sz w:val="22"/>
          <w:szCs w:val="22"/>
        </w:rPr>
        <w:t>.</w:t>
      </w:r>
    </w:p>
    <w:p w14:paraId="3E784CB6" w14:textId="77777777" w:rsidR="00EE4450" w:rsidRPr="002539A5" w:rsidRDefault="00EE4450" w:rsidP="00DD6C54">
      <w:pPr>
        <w:jc w:val="both"/>
        <w:rPr>
          <w:rFonts w:asciiTheme="majorHAnsi" w:hAnsiTheme="majorHAnsi" w:cs="Calibri"/>
          <w:b/>
          <w:sz w:val="22"/>
          <w:szCs w:val="22"/>
        </w:rPr>
      </w:pPr>
    </w:p>
    <w:p w14:paraId="2823B1C5" w14:textId="77777777" w:rsidR="00DD6C54" w:rsidRPr="002539A5" w:rsidRDefault="00DD6C54" w:rsidP="00DD6C54">
      <w:pPr>
        <w:jc w:val="both"/>
        <w:rPr>
          <w:rFonts w:asciiTheme="majorHAnsi" w:hAnsiTheme="majorHAnsi" w:cs="Calibri"/>
          <w:b/>
          <w:sz w:val="22"/>
          <w:szCs w:val="22"/>
        </w:rPr>
      </w:pPr>
      <w:r w:rsidRPr="009F5A05">
        <w:rPr>
          <w:rFonts w:asciiTheme="majorHAnsi" w:hAnsiTheme="majorHAnsi" w:cs="Calibri"/>
          <w:b/>
          <w:sz w:val="22"/>
          <w:szCs w:val="22"/>
          <w:u w:val="single"/>
        </w:rPr>
        <w:t>Criteria for selection and award</w:t>
      </w:r>
    </w:p>
    <w:p w14:paraId="7C678943" w14:textId="77777777" w:rsidR="00DD6C54" w:rsidRPr="002539A5" w:rsidRDefault="00DD6C54" w:rsidP="00DD6C54">
      <w:pPr>
        <w:jc w:val="both"/>
        <w:rPr>
          <w:rFonts w:asciiTheme="majorHAnsi" w:hAnsiTheme="majorHAnsi" w:cs="Calibri"/>
          <w:b/>
          <w:sz w:val="22"/>
          <w:szCs w:val="22"/>
        </w:rPr>
      </w:pPr>
    </w:p>
    <w:p w14:paraId="2B09C01C" w14:textId="73ACEFF9" w:rsidR="00DD6C54" w:rsidRPr="002539A5" w:rsidRDefault="00DD6C54" w:rsidP="00DD6C54">
      <w:pPr>
        <w:jc w:val="both"/>
        <w:rPr>
          <w:rFonts w:asciiTheme="majorHAnsi" w:hAnsiTheme="majorHAnsi" w:cs="Calibri"/>
          <w:sz w:val="22"/>
          <w:szCs w:val="22"/>
        </w:rPr>
      </w:pPr>
      <w:r w:rsidRPr="002539A5">
        <w:rPr>
          <w:rFonts w:asciiTheme="majorHAnsi" w:hAnsiTheme="majorHAnsi" w:cs="Calibri"/>
          <w:sz w:val="22"/>
          <w:szCs w:val="22"/>
        </w:rPr>
        <w:t>Any contract awarded as a result of this tender will be awarded to the provider</w:t>
      </w:r>
      <w:r w:rsidR="001B366D">
        <w:rPr>
          <w:rFonts w:asciiTheme="majorHAnsi" w:hAnsiTheme="majorHAnsi" w:cs="Calibri"/>
          <w:sz w:val="22"/>
          <w:szCs w:val="22"/>
        </w:rPr>
        <w:t>,</w:t>
      </w:r>
      <w:r w:rsidRPr="002539A5">
        <w:rPr>
          <w:rFonts w:asciiTheme="majorHAnsi" w:hAnsiTheme="majorHAnsi" w:cs="Calibri"/>
          <w:sz w:val="22"/>
          <w:szCs w:val="22"/>
        </w:rPr>
        <w:t xml:space="preserve"> who is able to successfully demonstrate the ability to provide an efficient, competent, reliable and cost-effective solution to our requirements. </w:t>
      </w:r>
    </w:p>
    <w:p w14:paraId="301BB3E3" w14:textId="77777777" w:rsidR="00E643A8" w:rsidRDefault="00E643A8" w:rsidP="00DD6C54">
      <w:pPr>
        <w:jc w:val="both"/>
        <w:rPr>
          <w:rFonts w:asciiTheme="majorHAnsi" w:hAnsiTheme="majorHAnsi" w:cs="Calibri"/>
          <w:b/>
          <w:sz w:val="22"/>
          <w:szCs w:val="22"/>
        </w:rPr>
      </w:pPr>
    </w:p>
    <w:p w14:paraId="31D0CA68" w14:textId="77777777" w:rsidR="00DD6C54" w:rsidRPr="002539A5" w:rsidRDefault="00565D27" w:rsidP="00DD6C54">
      <w:pPr>
        <w:jc w:val="both"/>
        <w:rPr>
          <w:rFonts w:asciiTheme="majorHAnsi" w:hAnsiTheme="majorHAnsi" w:cs="Calibri"/>
          <w:b/>
          <w:sz w:val="22"/>
          <w:szCs w:val="22"/>
        </w:rPr>
      </w:pPr>
      <w:r w:rsidRPr="00565D27">
        <w:rPr>
          <w:rFonts w:asciiTheme="majorHAnsi" w:hAnsiTheme="majorHAnsi" w:cs="Calibri"/>
          <w:b/>
          <w:sz w:val="22"/>
          <w:szCs w:val="22"/>
          <w:u w:val="single"/>
        </w:rPr>
        <w:t>Breakdown of scoring</w:t>
      </w:r>
    </w:p>
    <w:p w14:paraId="31F1C170" w14:textId="77777777" w:rsidR="00DD6C54" w:rsidRPr="002539A5" w:rsidRDefault="00DD6C54" w:rsidP="00DD6C54">
      <w:pPr>
        <w:jc w:val="both"/>
        <w:rPr>
          <w:rFonts w:asciiTheme="majorHAnsi" w:hAnsiTheme="majorHAnsi" w:cs="Calibri"/>
          <w:sz w:val="22"/>
          <w:szCs w:val="22"/>
        </w:rPr>
      </w:pPr>
    </w:p>
    <w:p w14:paraId="2296AE5F" w14:textId="647FBEFA" w:rsidR="00DD6C54" w:rsidRPr="002539A5" w:rsidRDefault="00DD6C54" w:rsidP="00DD6C54">
      <w:pPr>
        <w:jc w:val="both"/>
        <w:rPr>
          <w:rFonts w:asciiTheme="majorHAnsi" w:hAnsiTheme="majorHAnsi" w:cs="Calibri"/>
          <w:sz w:val="22"/>
          <w:szCs w:val="22"/>
        </w:rPr>
      </w:pPr>
      <w:r w:rsidRPr="002539A5">
        <w:rPr>
          <w:rFonts w:asciiTheme="majorHAnsi" w:hAnsiTheme="majorHAnsi" w:cs="Calibri"/>
          <w:sz w:val="22"/>
          <w:szCs w:val="22"/>
        </w:rPr>
        <w:t xml:space="preserve">The scoring will be evaluated by a panel </w:t>
      </w:r>
      <w:r w:rsidR="002A5445">
        <w:rPr>
          <w:rFonts w:asciiTheme="majorHAnsi" w:hAnsiTheme="majorHAnsi" w:cs="Calibri"/>
          <w:sz w:val="22"/>
          <w:szCs w:val="22"/>
        </w:rPr>
        <w:t xml:space="preserve">comprising </w:t>
      </w:r>
      <w:r w:rsidR="009A53A8">
        <w:rPr>
          <w:rFonts w:asciiTheme="majorHAnsi" w:hAnsiTheme="majorHAnsi" w:cs="Calibri"/>
          <w:sz w:val="22"/>
          <w:szCs w:val="22"/>
        </w:rPr>
        <w:t>employees</w:t>
      </w:r>
      <w:r w:rsidR="002A5445">
        <w:rPr>
          <w:rFonts w:asciiTheme="majorHAnsi" w:hAnsiTheme="majorHAnsi" w:cs="Calibri"/>
          <w:sz w:val="22"/>
          <w:szCs w:val="22"/>
        </w:rPr>
        <w:t xml:space="preserve"> </w:t>
      </w:r>
      <w:r w:rsidR="008200BE">
        <w:rPr>
          <w:rFonts w:asciiTheme="majorHAnsi" w:hAnsiTheme="majorHAnsi" w:cs="Calibri"/>
          <w:sz w:val="22"/>
          <w:szCs w:val="22"/>
        </w:rPr>
        <w:t xml:space="preserve">of the </w:t>
      </w:r>
      <w:r w:rsidR="007B406B">
        <w:rPr>
          <w:rFonts w:asciiTheme="majorHAnsi" w:hAnsiTheme="majorHAnsi" w:cs="Calibri"/>
          <w:sz w:val="22"/>
          <w:szCs w:val="22"/>
        </w:rPr>
        <w:t>Investments</w:t>
      </w:r>
      <w:r w:rsidR="008200BE">
        <w:rPr>
          <w:rFonts w:asciiTheme="majorHAnsi" w:hAnsiTheme="majorHAnsi" w:cs="Calibri"/>
          <w:sz w:val="22"/>
          <w:szCs w:val="22"/>
        </w:rPr>
        <w:t xml:space="preserve"> team</w:t>
      </w:r>
      <w:r w:rsidRPr="002539A5">
        <w:rPr>
          <w:rFonts w:asciiTheme="majorHAnsi" w:hAnsiTheme="majorHAnsi" w:cs="Calibri"/>
          <w:sz w:val="22"/>
          <w:szCs w:val="22"/>
        </w:rPr>
        <w:t xml:space="preserve">: </w:t>
      </w:r>
    </w:p>
    <w:p w14:paraId="09AC2D56" w14:textId="77777777" w:rsidR="00DD6C54" w:rsidRPr="002539A5" w:rsidRDefault="00DD6C54" w:rsidP="00DD6C54">
      <w:pPr>
        <w:jc w:val="both"/>
        <w:rPr>
          <w:rFonts w:asciiTheme="majorHAnsi" w:hAnsiTheme="majorHAnsi" w:cs="Calibri"/>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D6C54" w:rsidRPr="00DD6C54" w14:paraId="72F55569" w14:textId="77777777" w:rsidTr="005B1538">
        <w:tc>
          <w:tcPr>
            <w:tcW w:w="4621" w:type="dxa"/>
            <w:shd w:val="clear" w:color="auto" w:fill="D9D9D9" w:themeFill="background1" w:themeFillShade="D9"/>
          </w:tcPr>
          <w:p w14:paraId="2D53DFE9" w14:textId="77777777" w:rsidR="00DD6C54" w:rsidRPr="002539A5" w:rsidRDefault="00DD6C54" w:rsidP="005B1538">
            <w:pPr>
              <w:jc w:val="both"/>
              <w:rPr>
                <w:rFonts w:asciiTheme="majorHAnsi" w:hAnsiTheme="majorHAnsi" w:cs="Calibri"/>
                <w:sz w:val="22"/>
                <w:szCs w:val="22"/>
              </w:rPr>
            </w:pPr>
            <w:r w:rsidRPr="002539A5">
              <w:rPr>
                <w:rFonts w:asciiTheme="majorHAnsi" w:hAnsiTheme="majorHAnsi" w:cs="Calibri"/>
                <w:sz w:val="22"/>
                <w:szCs w:val="22"/>
              </w:rPr>
              <w:t>Section</w:t>
            </w:r>
          </w:p>
        </w:tc>
        <w:tc>
          <w:tcPr>
            <w:tcW w:w="4621" w:type="dxa"/>
            <w:shd w:val="clear" w:color="auto" w:fill="D9D9D9" w:themeFill="background1" w:themeFillShade="D9"/>
          </w:tcPr>
          <w:p w14:paraId="05C1B2CF" w14:textId="77777777" w:rsidR="00DD6C54" w:rsidRPr="002539A5" w:rsidRDefault="00DD6C54" w:rsidP="005B1538">
            <w:pPr>
              <w:jc w:val="center"/>
              <w:rPr>
                <w:rFonts w:asciiTheme="majorHAnsi" w:hAnsiTheme="majorHAnsi" w:cs="Calibri"/>
                <w:sz w:val="22"/>
                <w:szCs w:val="22"/>
              </w:rPr>
            </w:pPr>
            <w:r w:rsidRPr="002539A5">
              <w:rPr>
                <w:rFonts w:asciiTheme="majorHAnsi" w:hAnsiTheme="majorHAnsi" w:cs="Calibri"/>
                <w:sz w:val="22"/>
                <w:szCs w:val="22"/>
              </w:rPr>
              <w:t xml:space="preserve">Percentage weighting </w:t>
            </w:r>
          </w:p>
        </w:tc>
      </w:tr>
      <w:tr w:rsidR="00DD6C54" w:rsidRPr="00DD6C54" w14:paraId="72E5BCF5" w14:textId="77777777" w:rsidTr="005B1538">
        <w:tc>
          <w:tcPr>
            <w:tcW w:w="4621" w:type="dxa"/>
          </w:tcPr>
          <w:p w14:paraId="48DA8F69" w14:textId="77777777" w:rsidR="00DD6C54" w:rsidRPr="002539A5" w:rsidRDefault="00DD6C54" w:rsidP="005B1538">
            <w:pPr>
              <w:jc w:val="both"/>
              <w:rPr>
                <w:rFonts w:asciiTheme="majorHAnsi" w:hAnsiTheme="majorHAnsi" w:cs="Calibri"/>
                <w:sz w:val="22"/>
                <w:szCs w:val="22"/>
              </w:rPr>
            </w:pPr>
            <w:r w:rsidRPr="002539A5">
              <w:rPr>
                <w:rFonts w:asciiTheme="majorHAnsi" w:hAnsiTheme="majorHAnsi" w:cs="Calibri"/>
                <w:sz w:val="22"/>
                <w:szCs w:val="22"/>
              </w:rPr>
              <w:t>Quality (Service Provision &amp; Experience)</w:t>
            </w:r>
          </w:p>
        </w:tc>
        <w:tc>
          <w:tcPr>
            <w:tcW w:w="4621" w:type="dxa"/>
          </w:tcPr>
          <w:p w14:paraId="03BC8923" w14:textId="4FBE8C43" w:rsidR="00DD6C54" w:rsidRPr="001F34C8" w:rsidRDefault="007B406B" w:rsidP="003B329C">
            <w:pPr>
              <w:jc w:val="center"/>
              <w:rPr>
                <w:rFonts w:asciiTheme="majorHAnsi" w:hAnsiTheme="majorHAnsi" w:cs="Calibri"/>
                <w:sz w:val="22"/>
                <w:szCs w:val="22"/>
                <w:highlight w:val="yellow"/>
              </w:rPr>
            </w:pPr>
            <w:r>
              <w:rPr>
                <w:rFonts w:asciiTheme="majorHAnsi" w:hAnsiTheme="majorHAnsi" w:cs="Calibri"/>
                <w:sz w:val="22"/>
                <w:szCs w:val="22"/>
              </w:rPr>
              <w:t>80</w:t>
            </w:r>
            <w:r w:rsidR="00DD6C54" w:rsidRPr="002B72D4">
              <w:rPr>
                <w:rFonts w:asciiTheme="majorHAnsi" w:hAnsiTheme="majorHAnsi" w:cs="Calibri"/>
                <w:sz w:val="22"/>
                <w:szCs w:val="22"/>
              </w:rPr>
              <w:t>%</w:t>
            </w:r>
          </w:p>
        </w:tc>
      </w:tr>
      <w:tr w:rsidR="00DD6C54" w:rsidRPr="00DD6C54" w14:paraId="5322171D" w14:textId="77777777" w:rsidTr="005B1538">
        <w:tc>
          <w:tcPr>
            <w:tcW w:w="4621" w:type="dxa"/>
          </w:tcPr>
          <w:p w14:paraId="728EFA83" w14:textId="77777777" w:rsidR="00DD6C54" w:rsidRPr="002539A5" w:rsidRDefault="00DD6C54" w:rsidP="005B1538">
            <w:pPr>
              <w:jc w:val="both"/>
              <w:rPr>
                <w:rFonts w:asciiTheme="majorHAnsi" w:hAnsiTheme="majorHAnsi" w:cs="Calibri"/>
                <w:sz w:val="22"/>
                <w:szCs w:val="22"/>
              </w:rPr>
            </w:pPr>
            <w:r w:rsidRPr="002539A5">
              <w:rPr>
                <w:rFonts w:asciiTheme="majorHAnsi" w:hAnsiTheme="majorHAnsi" w:cs="Calibri"/>
                <w:sz w:val="22"/>
                <w:szCs w:val="22"/>
              </w:rPr>
              <w:lastRenderedPageBreak/>
              <w:t>Commercial (Fees &amp; Charges)</w:t>
            </w:r>
          </w:p>
        </w:tc>
        <w:tc>
          <w:tcPr>
            <w:tcW w:w="4621" w:type="dxa"/>
          </w:tcPr>
          <w:p w14:paraId="722D6900" w14:textId="1B0AB22E" w:rsidR="00DD6C54" w:rsidRPr="001F34C8" w:rsidRDefault="007B406B" w:rsidP="003B329C">
            <w:pPr>
              <w:jc w:val="center"/>
              <w:rPr>
                <w:rFonts w:asciiTheme="majorHAnsi" w:hAnsiTheme="majorHAnsi" w:cs="Calibri"/>
                <w:sz w:val="22"/>
                <w:szCs w:val="22"/>
                <w:highlight w:val="yellow"/>
              </w:rPr>
            </w:pPr>
            <w:r>
              <w:rPr>
                <w:rFonts w:asciiTheme="majorHAnsi" w:hAnsiTheme="majorHAnsi" w:cs="Calibri"/>
                <w:sz w:val="22"/>
                <w:szCs w:val="22"/>
              </w:rPr>
              <w:t>20</w:t>
            </w:r>
            <w:r w:rsidR="00DD6C54" w:rsidRPr="002B72D4">
              <w:rPr>
                <w:rFonts w:asciiTheme="majorHAnsi" w:hAnsiTheme="majorHAnsi" w:cs="Calibri"/>
                <w:sz w:val="22"/>
                <w:szCs w:val="22"/>
              </w:rPr>
              <w:t>%</w:t>
            </w:r>
          </w:p>
        </w:tc>
      </w:tr>
      <w:tr w:rsidR="00DD6C54" w:rsidRPr="00DD6C54" w14:paraId="3F001963" w14:textId="77777777" w:rsidTr="005B1538">
        <w:trPr>
          <w:trHeight w:val="293"/>
        </w:trPr>
        <w:tc>
          <w:tcPr>
            <w:tcW w:w="4621" w:type="dxa"/>
          </w:tcPr>
          <w:p w14:paraId="5DDDA5F3" w14:textId="77777777" w:rsidR="00DD6C54" w:rsidRPr="002539A5" w:rsidRDefault="00DD6C54" w:rsidP="005B1538">
            <w:pPr>
              <w:jc w:val="both"/>
              <w:rPr>
                <w:rFonts w:asciiTheme="majorHAnsi" w:hAnsiTheme="majorHAnsi" w:cs="Calibri"/>
                <w:b/>
                <w:sz w:val="22"/>
                <w:szCs w:val="22"/>
              </w:rPr>
            </w:pPr>
            <w:r w:rsidRPr="002539A5">
              <w:rPr>
                <w:rFonts w:asciiTheme="majorHAnsi" w:hAnsiTheme="majorHAnsi" w:cs="Calibri"/>
                <w:b/>
                <w:sz w:val="22"/>
                <w:szCs w:val="22"/>
              </w:rPr>
              <w:t>Total</w:t>
            </w:r>
          </w:p>
        </w:tc>
        <w:tc>
          <w:tcPr>
            <w:tcW w:w="4621" w:type="dxa"/>
          </w:tcPr>
          <w:p w14:paraId="1B344321" w14:textId="77777777" w:rsidR="00DD6C54" w:rsidRPr="002539A5" w:rsidRDefault="00DD6C54" w:rsidP="005B1538">
            <w:pPr>
              <w:jc w:val="center"/>
              <w:rPr>
                <w:rFonts w:asciiTheme="majorHAnsi" w:hAnsiTheme="majorHAnsi" w:cs="Calibri"/>
                <w:b/>
                <w:sz w:val="22"/>
                <w:szCs w:val="22"/>
              </w:rPr>
            </w:pPr>
            <w:r w:rsidRPr="002539A5">
              <w:rPr>
                <w:rFonts w:asciiTheme="majorHAnsi" w:hAnsiTheme="majorHAnsi" w:cs="Calibri"/>
                <w:b/>
                <w:sz w:val="22"/>
                <w:szCs w:val="22"/>
              </w:rPr>
              <w:t>100%</w:t>
            </w:r>
          </w:p>
        </w:tc>
      </w:tr>
    </w:tbl>
    <w:p w14:paraId="01DAC0FD" w14:textId="77777777" w:rsidR="009F5A05" w:rsidRDefault="009F5A05" w:rsidP="00DD6C54">
      <w:pPr>
        <w:jc w:val="both"/>
        <w:rPr>
          <w:rFonts w:asciiTheme="majorHAnsi" w:hAnsiTheme="majorHAnsi"/>
          <w:b/>
          <w:sz w:val="22"/>
          <w:szCs w:val="22"/>
        </w:rPr>
      </w:pPr>
    </w:p>
    <w:p w14:paraId="402A4B1B" w14:textId="77777777" w:rsidR="00C65944" w:rsidRDefault="00C65944" w:rsidP="00DD6C54">
      <w:pPr>
        <w:jc w:val="both"/>
        <w:rPr>
          <w:rFonts w:asciiTheme="majorHAnsi" w:hAnsiTheme="majorHAnsi"/>
          <w:b/>
          <w:sz w:val="22"/>
          <w:szCs w:val="22"/>
        </w:rPr>
      </w:pPr>
    </w:p>
    <w:p w14:paraId="31901032" w14:textId="77777777" w:rsidR="00C65944" w:rsidRDefault="00C65944" w:rsidP="00DD6C54">
      <w:pPr>
        <w:jc w:val="both"/>
        <w:rPr>
          <w:rFonts w:asciiTheme="majorHAnsi" w:hAnsiTheme="majorHAnsi"/>
          <w:b/>
          <w:sz w:val="22"/>
          <w:szCs w:val="22"/>
        </w:rPr>
      </w:pPr>
    </w:p>
    <w:p w14:paraId="7ECA2048" w14:textId="77777777" w:rsidR="00DD6C54" w:rsidRPr="002539A5" w:rsidRDefault="00DD6C54" w:rsidP="00DD6C54">
      <w:pPr>
        <w:jc w:val="both"/>
        <w:rPr>
          <w:rFonts w:asciiTheme="majorHAnsi" w:hAnsiTheme="majorHAnsi"/>
          <w:b/>
          <w:sz w:val="22"/>
          <w:szCs w:val="22"/>
        </w:rPr>
      </w:pPr>
      <w:r w:rsidRPr="009F5A05">
        <w:rPr>
          <w:rFonts w:asciiTheme="majorHAnsi" w:hAnsiTheme="majorHAnsi"/>
          <w:b/>
          <w:sz w:val="22"/>
          <w:szCs w:val="22"/>
          <w:u w:val="single"/>
        </w:rPr>
        <w:t>Payment Terms and Conditions</w:t>
      </w:r>
    </w:p>
    <w:p w14:paraId="2B456D5B" w14:textId="77777777" w:rsidR="00DD6C54" w:rsidRPr="002539A5" w:rsidRDefault="00DD6C54" w:rsidP="00DD6C54">
      <w:pPr>
        <w:jc w:val="both"/>
        <w:rPr>
          <w:rFonts w:asciiTheme="majorHAnsi" w:hAnsiTheme="majorHAnsi"/>
          <w:b/>
          <w:sz w:val="22"/>
          <w:szCs w:val="22"/>
        </w:rPr>
      </w:pPr>
    </w:p>
    <w:p w14:paraId="218117FF" w14:textId="77777777" w:rsidR="00DD6C54" w:rsidRPr="002539A5" w:rsidRDefault="00DD6C54" w:rsidP="00DD6C54">
      <w:pPr>
        <w:jc w:val="both"/>
        <w:rPr>
          <w:rFonts w:asciiTheme="majorHAnsi" w:hAnsiTheme="majorHAnsi"/>
          <w:sz w:val="22"/>
          <w:szCs w:val="22"/>
        </w:rPr>
      </w:pPr>
      <w:r w:rsidRPr="002539A5">
        <w:rPr>
          <w:rFonts w:asciiTheme="majorHAnsi" w:hAnsiTheme="majorHAnsi"/>
          <w:sz w:val="22"/>
          <w:szCs w:val="22"/>
        </w:rPr>
        <w:t>Sport Wales will apply 30 days payment terms to this award. In your tender response please confirm acceptance of these payment terms.</w:t>
      </w:r>
    </w:p>
    <w:p w14:paraId="7082669A" w14:textId="77777777" w:rsidR="00DD6C54" w:rsidRPr="002539A5" w:rsidRDefault="00DD6C54" w:rsidP="00DD6C54">
      <w:pPr>
        <w:jc w:val="both"/>
        <w:rPr>
          <w:rFonts w:asciiTheme="majorHAnsi" w:hAnsiTheme="majorHAnsi"/>
          <w:b/>
          <w:sz w:val="22"/>
          <w:szCs w:val="22"/>
        </w:rPr>
      </w:pPr>
    </w:p>
    <w:p w14:paraId="55A72166" w14:textId="77777777" w:rsidR="00DD6C54" w:rsidRPr="002539A5" w:rsidRDefault="00DD6C54" w:rsidP="00DD6C54">
      <w:pPr>
        <w:jc w:val="both"/>
        <w:rPr>
          <w:rFonts w:asciiTheme="majorHAnsi" w:hAnsiTheme="majorHAnsi" w:cs="Calibri"/>
          <w:b/>
          <w:sz w:val="22"/>
          <w:szCs w:val="22"/>
        </w:rPr>
      </w:pPr>
      <w:r w:rsidRPr="002539A5">
        <w:rPr>
          <w:rFonts w:asciiTheme="majorHAnsi" w:hAnsiTheme="majorHAnsi" w:cs="Calibri"/>
          <w:b/>
          <w:sz w:val="22"/>
          <w:szCs w:val="22"/>
        </w:rPr>
        <w:t>C</w:t>
      </w:r>
      <w:r w:rsidRPr="009F5A05">
        <w:rPr>
          <w:rFonts w:asciiTheme="majorHAnsi" w:hAnsiTheme="majorHAnsi" w:cs="Calibri"/>
          <w:b/>
          <w:sz w:val="22"/>
          <w:szCs w:val="22"/>
          <w:u w:val="single"/>
        </w:rPr>
        <w:t>onfidentiality</w:t>
      </w:r>
    </w:p>
    <w:p w14:paraId="07B91ED9" w14:textId="77777777" w:rsidR="00DD6C54" w:rsidRPr="002539A5" w:rsidRDefault="00DD6C54" w:rsidP="00DD6C54">
      <w:pPr>
        <w:jc w:val="both"/>
        <w:rPr>
          <w:rFonts w:asciiTheme="majorHAnsi" w:hAnsiTheme="majorHAnsi" w:cs="Calibri"/>
          <w:b/>
          <w:sz w:val="22"/>
          <w:szCs w:val="22"/>
        </w:rPr>
      </w:pPr>
    </w:p>
    <w:p w14:paraId="63E127AC" w14:textId="77777777" w:rsidR="00DD6C54" w:rsidRPr="002539A5" w:rsidRDefault="00DD6C54" w:rsidP="00DD6C54">
      <w:pPr>
        <w:jc w:val="both"/>
        <w:rPr>
          <w:rFonts w:asciiTheme="majorHAnsi" w:hAnsiTheme="majorHAnsi"/>
          <w:sz w:val="22"/>
          <w:szCs w:val="22"/>
        </w:rPr>
      </w:pPr>
      <w:r w:rsidRPr="002539A5">
        <w:rPr>
          <w:rFonts w:asciiTheme="majorHAnsi" w:hAnsiTheme="majorHAnsi"/>
          <w:sz w:val="22"/>
          <w:szCs w:val="22"/>
        </w:rPr>
        <w:t>As part of your tender submission, you should provide a statement of assurance of confidentiality</w:t>
      </w:r>
      <w:r w:rsidR="002A5445">
        <w:rPr>
          <w:rFonts w:asciiTheme="majorHAnsi" w:hAnsiTheme="majorHAnsi"/>
          <w:sz w:val="22"/>
          <w:szCs w:val="22"/>
        </w:rPr>
        <w:t xml:space="preserve"> and independence</w:t>
      </w:r>
      <w:r w:rsidRPr="002539A5">
        <w:rPr>
          <w:rFonts w:asciiTheme="majorHAnsi" w:hAnsiTheme="majorHAnsi"/>
          <w:sz w:val="22"/>
          <w:szCs w:val="22"/>
        </w:rPr>
        <w:t>. This will not be scored but the existence of a suitable statement will be a condition of award.</w:t>
      </w:r>
    </w:p>
    <w:p w14:paraId="4FBBDE34" w14:textId="77777777" w:rsidR="00DD6C54" w:rsidRDefault="00DD6C54" w:rsidP="00147C67">
      <w:pPr>
        <w:spacing w:after="480"/>
        <w:contextualSpacing/>
        <w:rPr>
          <w:rFonts w:ascii="Verdana" w:hAnsi="Verdana" w:cs="Calibri"/>
          <w:sz w:val="20"/>
        </w:rPr>
      </w:pPr>
    </w:p>
    <w:p w14:paraId="21BEBDBB" w14:textId="77777777" w:rsidR="00C65944" w:rsidRDefault="00C65944" w:rsidP="00EC3C37">
      <w:pPr>
        <w:spacing w:after="480"/>
        <w:contextualSpacing/>
        <w:rPr>
          <w:rFonts w:asciiTheme="majorHAnsi" w:hAnsiTheme="majorHAnsi" w:cs="Calibri"/>
          <w:b/>
          <w:sz w:val="22"/>
        </w:rPr>
      </w:pPr>
    </w:p>
    <w:p w14:paraId="2D816170" w14:textId="77777777" w:rsidR="00AD7286" w:rsidRPr="002539A5" w:rsidRDefault="009F5A05" w:rsidP="00EC3C37">
      <w:pPr>
        <w:spacing w:after="480"/>
        <w:contextualSpacing/>
        <w:rPr>
          <w:rFonts w:asciiTheme="majorHAnsi" w:hAnsiTheme="majorHAnsi" w:cs="Calibri"/>
          <w:b/>
          <w:sz w:val="22"/>
        </w:rPr>
      </w:pPr>
      <w:r>
        <w:rPr>
          <w:rFonts w:asciiTheme="majorHAnsi" w:hAnsiTheme="majorHAnsi" w:cs="Calibri"/>
          <w:b/>
          <w:sz w:val="22"/>
        </w:rPr>
        <w:t>SE</w:t>
      </w:r>
      <w:r w:rsidR="00AD7286">
        <w:rPr>
          <w:rFonts w:asciiTheme="majorHAnsi" w:hAnsiTheme="majorHAnsi" w:cs="Calibri"/>
          <w:b/>
          <w:sz w:val="22"/>
        </w:rPr>
        <w:t>CTION 3</w:t>
      </w:r>
      <w:r w:rsidR="00162C57">
        <w:rPr>
          <w:rFonts w:asciiTheme="majorHAnsi" w:hAnsiTheme="majorHAnsi" w:cs="Calibri"/>
          <w:b/>
          <w:sz w:val="22"/>
        </w:rPr>
        <w:t>: CONDITIONS OF TENDER</w:t>
      </w:r>
    </w:p>
    <w:p w14:paraId="5783C97F" w14:textId="77777777" w:rsidR="009B6613" w:rsidRDefault="009B6613" w:rsidP="009B637C">
      <w:pPr>
        <w:ind w:left="720" w:hanging="720"/>
        <w:jc w:val="both"/>
        <w:rPr>
          <w:rFonts w:asciiTheme="majorHAnsi" w:hAnsiTheme="majorHAnsi" w:cs="Calibri"/>
          <w:b/>
          <w:sz w:val="22"/>
          <w:szCs w:val="22"/>
          <w:u w:val="single"/>
        </w:rPr>
      </w:pPr>
    </w:p>
    <w:p w14:paraId="2C411D04" w14:textId="77777777" w:rsidR="009B637C" w:rsidRPr="002539A5" w:rsidRDefault="009B637C" w:rsidP="009B637C">
      <w:pPr>
        <w:tabs>
          <w:tab w:val="left" w:pos="5103"/>
        </w:tabs>
        <w:jc w:val="both"/>
        <w:rPr>
          <w:rFonts w:asciiTheme="majorHAnsi" w:hAnsiTheme="majorHAnsi" w:cs="Calibri"/>
          <w:sz w:val="22"/>
          <w:szCs w:val="22"/>
        </w:rPr>
      </w:pPr>
      <w:r w:rsidRPr="002539A5">
        <w:rPr>
          <w:rFonts w:asciiTheme="majorHAnsi" w:hAnsiTheme="majorHAnsi" w:cs="Calibri"/>
          <w:sz w:val="22"/>
          <w:szCs w:val="22"/>
        </w:rPr>
        <w:t>By submitting a tender you are acknowledging and agreeing in full to the following conditions:</w:t>
      </w:r>
    </w:p>
    <w:p w14:paraId="5902F5B2" w14:textId="77777777" w:rsidR="009B637C" w:rsidRPr="002539A5" w:rsidRDefault="009B637C" w:rsidP="009B637C">
      <w:pPr>
        <w:tabs>
          <w:tab w:val="left" w:pos="5103"/>
        </w:tabs>
        <w:jc w:val="both"/>
        <w:rPr>
          <w:rFonts w:asciiTheme="majorHAnsi" w:hAnsiTheme="majorHAnsi" w:cs="Calibri"/>
          <w:sz w:val="22"/>
          <w:szCs w:val="22"/>
        </w:rPr>
      </w:pPr>
    </w:p>
    <w:p w14:paraId="6198A64C" w14:textId="77777777" w:rsidR="009B637C" w:rsidRPr="002539A5" w:rsidRDefault="009B637C" w:rsidP="00C53EDF">
      <w:pPr>
        <w:numPr>
          <w:ilvl w:val="1"/>
          <w:numId w:val="1"/>
        </w:numPr>
        <w:tabs>
          <w:tab w:val="left" w:pos="1418"/>
        </w:tabs>
        <w:jc w:val="both"/>
        <w:rPr>
          <w:rFonts w:asciiTheme="majorHAnsi" w:hAnsiTheme="majorHAnsi" w:cs="Calibri"/>
          <w:sz w:val="22"/>
          <w:szCs w:val="22"/>
        </w:rPr>
      </w:pPr>
      <w:r w:rsidRPr="002539A5">
        <w:rPr>
          <w:rFonts w:asciiTheme="majorHAnsi" w:hAnsiTheme="majorHAnsi" w:cs="Calibri"/>
          <w:sz w:val="22"/>
          <w:szCs w:val="22"/>
        </w:rPr>
        <w:t>The contents and requirements of the tender documentation have been read, understood and, where required, complied with.</w:t>
      </w:r>
    </w:p>
    <w:p w14:paraId="38309C62" w14:textId="77777777" w:rsidR="009B637C" w:rsidRPr="002539A5" w:rsidRDefault="009B637C" w:rsidP="009B637C">
      <w:pPr>
        <w:tabs>
          <w:tab w:val="left" w:pos="1418"/>
        </w:tabs>
        <w:ind w:left="1080"/>
        <w:jc w:val="both"/>
        <w:rPr>
          <w:rFonts w:asciiTheme="majorHAnsi" w:hAnsiTheme="majorHAnsi" w:cs="Calibri"/>
          <w:sz w:val="22"/>
          <w:szCs w:val="22"/>
        </w:rPr>
      </w:pPr>
    </w:p>
    <w:p w14:paraId="3BEC2F39" w14:textId="77777777" w:rsidR="009B637C" w:rsidRPr="002539A5" w:rsidRDefault="009B637C" w:rsidP="00C53EDF">
      <w:pPr>
        <w:numPr>
          <w:ilvl w:val="1"/>
          <w:numId w:val="1"/>
        </w:numPr>
        <w:tabs>
          <w:tab w:val="left" w:pos="1418"/>
        </w:tabs>
        <w:jc w:val="both"/>
        <w:rPr>
          <w:rFonts w:asciiTheme="majorHAnsi" w:hAnsiTheme="majorHAnsi" w:cs="Calibri"/>
          <w:sz w:val="22"/>
          <w:szCs w:val="22"/>
        </w:rPr>
      </w:pPr>
      <w:r w:rsidRPr="002539A5">
        <w:rPr>
          <w:rFonts w:asciiTheme="majorHAnsi" w:hAnsiTheme="majorHAnsi" w:cs="Calibri"/>
          <w:sz w:val="22"/>
          <w:szCs w:val="22"/>
        </w:rPr>
        <w:t>This is a bona-fide tender, and that the prices and / or sums herein have not been adjusted or unfairly influenced by any arrangements or agreements with any third party.</w:t>
      </w:r>
    </w:p>
    <w:p w14:paraId="6EDC6C74" w14:textId="77777777" w:rsidR="009B637C" w:rsidRPr="002539A5" w:rsidRDefault="009B637C" w:rsidP="009B637C">
      <w:pPr>
        <w:tabs>
          <w:tab w:val="left" w:pos="1418"/>
        </w:tabs>
        <w:ind w:left="1080"/>
        <w:jc w:val="both"/>
        <w:rPr>
          <w:rFonts w:asciiTheme="majorHAnsi" w:hAnsiTheme="majorHAnsi" w:cs="Calibri"/>
          <w:sz w:val="22"/>
          <w:szCs w:val="22"/>
        </w:rPr>
      </w:pPr>
    </w:p>
    <w:p w14:paraId="19399AAD" w14:textId="77777777" w:rsidR="009B637C" w:rsidRPr="002539A5" w:rsidRDefault="009B637C" w:rsidP="00C53EDF">
      <w:pPr>
        <w:numPr>
          <w:ilvl w:val="1"/>
          <w:numId w:val="1"/>
        </w:numPr>
        <w:tabs>
          <w:tab w:val="left" w:pos="1418"/>
        </w:tabs>
        <w:jc w:val="both"/>
        <w:rPr>
          <w:rFonts w:asciiTheme="majorHAnsi" w:hAnsiTheme="majorHAnsi" w:cs="Calibri"/>
          <w:sz w:val="22"/>
          <w:szCs w:val="22"/>
        </w:rPr>
      </w:pPr>
      <w:r w:rsidRPr="002539A5">
        <w:rPr>
          <w:rFonts w:asciiTheme="majorHAnsi" w:hAnsiTheme="majorHAnsi" w:cs="Calibri"/>
          <w:sz w:val="22"/>
          <w:szCs w:val="22"/>
        </w:rPr>
        <w:t>You have not nor will not prior to any contract award communicate with others except the tendering organisation with regard to the tendered amount or specific details thereof except where the disclosure of  this information is required to obtain  information in support of  our bid</w:t>
      </w:r>
    </w:p>
    <w:p w14:paraId="51EF8E20" w14:textId="77777777" w:rsidR="009B637C" w:rsidRPr="002539A5" w:rsidRDefault="009B637C" w:rsidP="009B637C">
      <w:pPr>
        <w:tabs>
          <w:tab w:val="left" w:pos="1418"/>
        </w:tabs>
        <w:ind w:left="1080"/>
        <w:jc w:val="both"/>
        <w:rPr>
          <w:rFonts w:asciiTheme="majorHAnsi" w:hAnsiTheme="majorHAnsi" w:cs="Calibri"/>
          <w:sz w:val="22"/>
          <w:szCs w:val="22"/>
        </w:rPr>
      </w:pPr>
    </w:p>
    <w:p w14:paraId="6E2C5310" w14:textId="77777777" w:rsidR="009B637C" w:rsidRPr="002539A5" w:rsidRDefault="009B637C" w:rsidP="00C53EDF">
      <w:pPr>
        <w:numPr>
          <w:ilvl w:val="1"/>
          <w:numId w:val="1"/>
        </w:numPr>
        <w:tabs>
          <w:tab w:val="left" w:pos="1418"/>
        </w:tabs>
        <w:jc w:val="both"/>
        <w:rPr>
          <w:rFonts w:asciiTheme="majorHAnsi" w:hAnsiTheme="majorHAnsi" w:cs="Calibri"/>
          <w:sz w:val="22"/>
          <w:szCs w:val="22"/>
        </w:rPr>
      </w:pPr>
      <w:r w:rsidRPr="002539A5">
        <w:rPr>
          <w:rFonts w:asciiTheme="majorHAnsi" w:hAnsiTheme="majorHAnsi" w:cs="Calibri"/>
          <w:sz w:val="22"/>
          <w:szCs w:val="22"/>
        </w:rPr>
        <w:t>You have not and will not enter into any arrangement or agreement that could lead to others not submitting a tender or influence the tendered amount submitted by others.</w:t>
      </w:r>
    </w:p>
    <w:p w14:paraId="357B8D2A" w14:textId="77777777" w:rsidR="009B637C" w:rsidRPr="002539A5" w:rsidRDefault="009B637C" w:rsidP="009B637C">
      <w:pPr>
        <w:tabs>
          <w:tab w:val="left" w:pos="1418"/>
        </w:tabs>
        <w:ind w:left="1080"/>
        <w:jc w:val="both"/>
        <w:rPr>
          <w:rFonts w:asciiTheme="majorHAnsi" w:hAnsiTheme="majorHAnsi" w:cs="Calibri"/>
          <w:sz w:val="22"/>
          <w:szCs w:val="22"/>
        </w:rPr>
      </w:pPr>
    </w:p>
    <w:p w14:paraId="5FE363F1" w14:textId="77777777" w:rsidR="009B637C" w:rsidRPr="002539A5" w:rsidRDefault="009B637C" w:rsidP="00C53EDF">
      <w:pPr>
        <w:numPr>
          <w:ilvl w:val="1"/>
          <w:numId w:val="1"/>
        </w:numPr>
        <w:jc w:val="both"/>
        <w:rPr>
          <w:rFonts w:asciiTheme="majorHAnsi" w:hAnsiTheme="majorHAnsi" w:cs="Calibri"/>
          <w:sz w:val="22"/>
          <w:szCs w:val="22"/>
        </w:rPr>
      </w:pPr>
      <w:r w:rsidRPr="002539A5">
        <w:rPr>
          <w:rFonts w:asciiTheme="majorHAnsi" w:hAnsiTheme="majorHAnsi" w:cs="Calibri"/>
          <w:sz w:val="22"/>
          <w:szCs w:val="22"/>
        </w:rPr>
        <w:t>You have not and will not offer any inducement, financial or otherwise, directly or indirectly to any person or third party in any way to influence any tender submitted or part thereof.</w:t>
      </w:r>
    </w:p>
    <w:p w14:paraId="317DECAB" w14:textId="77777777" w:rsidR="009B637C" w:rsidRPr="002539A5" w:rsidRDefault="009B637C" w:rsidP="009B637C">
      <w:pPr>
        <w:pStyle w:val="ListParagraph"/>
        <w:jc w:val="both"/>
        <w:rPr>
          <w:rFonts w:asciiTheme="majorHAnsi" w:hAnsiTheme="majorHAnsi" w:cs="Calibri"/>
          <w:sz w:val="22"/>
          <w:szCs w:val="22"/>
        </w:rPr>
      </w:pPr>
    </w:p>
    <w:p w14:paraId="46ED26F9" w14:textId="77777777" w:rsidR="009B637C" w:rsidRPr="002539A5" w:rsidRDefault="009B637C" w:rsidP="00C53EDF">
      <w:pPr>
        <w:numPr>
          <w:ilvl w:val="1"/>
          <w:numId w:val="1"/>
        </w:numPr>
        <w:tabs>
          <w:tab w:val="left" w:pos="1418"/>
        </w:tabs>
        <w:jc w:val="both"/>
        <w:rPr>
          <w:rFonts w:asciiTheme="majorHAnsi" w:hAnsiTheme="majorHAnsi" w:cs="Calibri"/>
          <w:sz w:val="22"/>
          <w:szCs w:val="22"/>
        </w:rPr>
      </w:pPr>
      <w:r w:rsidRPr="002539A5">
        <w:rPr>
          <w:rFonts w:asciiTheme="majorHAnsi" w:hAnsiTheme="majorHAnsi" w:cs="Calibri"/>
          <w:sz w:val="22"/>
          <w:szCs w:val="22"/>
        </w:rPr>
        <w:t>The principles and requirements of this certificate have or will have as soon as reasonably practicable been brought to the attention of any and all sub-contractors, suppliers or associates connected with this tender.</w:t>
      </w:r>
    </w:p>
    <w:p w14:paraId="12FD09E8" w14:textId="77777777" w:rsidR="009B637C" w:rsidRPr="002539A5" w:rsidRDefault="009B637C" w:rsidP="009B637C">
      <w:pPr>
        <w:pStyle w:val="ListParagraph"/>
        <w:jc w:val="both"/>
        <w:rPr>
          <w:rFonts w:asciiTheme="majorHAnsi" w:hAnsiTheme="majorHAnsi" w:cs="Calibri"/>
          <w:sz w:val="22"/>
          <w:szCs w:val="22"/>
        </w:rPr>
      </w:pPr>
    </w:p>
    <w:p w14:paraId="1071CEE5" w14:textId="77777777" w:rsidR="009B637C" w:rsidRPr="002539A5" w:rsidRDefault="009B637C" w:rsidP="00C53EDF">
      <w:pPr>
        <w:numPr>
          <w:ilvl w:val="1"/>
          <w:numId w:val="1"/>
        </w:numPr>
        <w:tabs>
          <w:tab w:val="left" w:pos="1418"/>
        </w:tabs>
        <w:jc w:val="both"/>
        <w:rPr>
          <w:rFonts w:asciiTheme="majorHAnsi" w:hAnsiTheme="majorHAnsi" w:cs="Calibri"/>
          <w:sz w:val="22"/>
          <w:szCs w:val="22"/>
        </w:rPr>
      </w:pPr>
      <w:r w:rsidRPr="002539A5">
        <w:rPr>
          <w:rFonts w:asciiTheme="majorHAnsi" w:hAnsiTheme="majorHAnsi" w:cs="Calibri"/>
          <w:sz w:val="22"/>
          <w:szCs w:val="22"/>
        </w:rPr>
        <w:t>You are hereby offering to enter into a contract with Sport Wales in accordance with the requirements contained in this tender and for the costs and charges contained in your tender response.</w:t>
      </w:r>
    </w:p>
    <w:p w14:paraId="791AD0D9" w14:textId="77777777" w:rsidR="009B637C" w:rsidRPr="002539A5" w:rsidRDefault="009B637C" w:rsidP="009B637C">
      <w:pPr>
        <w:pStyle w:val="ListParagraph"/>
        <w:jc w:val="both"/>
        <w:rPr>
          <w:rFonts w:asciiTheme="majorHAnsi" w:hAnsiTheme="majorHAnsi" w:cs="Calibri"/>
          <w:sz w:val="22"/>
          <w:szCs w:val="22"/>
        </w:rPr>
      </w:pPr>
    </w:p>
    <w:p w14:paraId="3D6FEE40" w14:textId="14B4E846" w:rsidR="003B329C" w:rsidRPr="003F0F44" w:rsidRDefault="009B637C" w:rsidP="00C53EDF">
      <w:pPr>
        <w:numPr>
          <w:ilvl w:val="1"/>
          <w:numId w:val="1"/>
        </w:numPr>
        <w:tabs>
          <w:tab w:val="left" w:pos="1418"/>
        </w:tabs>
        <w:jc w:val="both"/>
        <w:rPr>
          <w:rFonts w:asciiTheme="majorHAnsi" w:hAnsiTheme="majorHAnsi" w:cs="Calibri"/>
          <w:sz w:val="22"/>
          <w:szCs w:val="22"/>
        </w:rPr>
      </w:pPr>
      <w:r w:rsidRPr="003F0F44">
        <w:rPr>
          <w:rFonts w:asciiTheme="majorHAnsi" w:hAnsiTheme="majorHAnsi" w:cs="Calibri"/>
          <w:sz w:val="22"/>
          <w:szCs w:val="22"/>
        </w:rPr>
        <w:t>Any and all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r w:rsidR="003F0F44" w:rsidRPr="003F0F44">
        <w:rPr>
          <w:rFonts w:asciiTheme="majorHAnsi" w:hAnsiTheme="majorHAnsi" w:cs="Calibri"/>
          <w:sz w:val="22"/>
          <w:szCs w:val="22"/>
        </w:rPr>
        <w:t>.</w:t>
      </w:r>
    </w:p>
    <w:p w14:paraId="0A13D5DC" w14:textId="77777777" w:rsidR="003B329C" w:rsidRDefault="003B329C" w:rsidP="003B329C">
      <w:pPr>
        <w:tabs>
          <w:tab w:val="left" w:pos="1418"/>
        </w:tabs>
        <w:jc w:val="both"/>
        <w:rPr>
          <w:rFonts w:asciiTheme="majorHAnsi" w:hAnsiTheme="majorHAnsi" w:cs="Calibri"/>
          <w:sz w:val="22"/>
          <w:szCs w:val="22"/>
        </w:rPr>
      </w:pPr>
    </w:p>
    <w:p w14:paraId="20B4748B" w14:textId="4089DEFC" w:rsidR="004B5025" w:rsidRDefault="004B5025" w:rsidP="004B5025">
      <w:pPr>
        <w:tabs>
          <w:tab w:val="left" w:pos="2920"/>
        </w:tabs>
        <w:rPr>
          <w:rFonts w:asciiTheme="majorHAnsi" w:hAnsiTheme="majorHAnsi" w:cs="Calibri"/>
          <w:b/>
          <w:sz w:val="22"/>
        </w:rPr>
      </w:pPr>
    </w:p>
    <w:p w14:paraId="727E8988" w14:textId="77777777" w:rsidR="004B5025" w:rsidRDefault="004B5025" w:rsidP="004B5025">
      <w:pPr>
        <w:tabs>
          <w:tab w:val="left" w:pos="2920"/>
        </w:tabs>
        <w:rPr>
          <w:rFonts w:asciiTheme="majorHAnsi" w:hAnsiTheme="majorHAnsi" w:cs="Calibri"/>
          <w:sz w:val="22"/>
        </w:rPr>
      </w:pPr>
    </w:p>
    <w:p w14:paraId="7342B3BE" w14:textId="77777777" w:rsidR="003F0F44" w:rsidRDefault="003F0F44" w:rsidP="004B5025">
      <w:pPr>
        <w:tabs>
          <w:tab w:val="left" w:pos="2920"/>
        </w:tabs>
        <w:rPr>
          <w:rFonts w:asciiTheme="majorHAnsi" w:hAnsiTheme="majorHAnsi" w:cs="Calibri"/>
          <w:sz w:val="22"/>
        </w:rPr>
      </w:pPr>
    </w:p>
    <w:p w14:paraId="51ADF0DB" w14:textId="7B6F2DF3" w:rsidR="003F0F44" w:rsidRPr="004B5025" w:rsidRDefault="003F0F44" w:rsidP="004B5025">
      <w:pPr>
        <w:tabs>
          <w:tab w:val="left" w:pos="2920"/>
        </w:tabs>
        <w:rPr>
          <w:rFonts w:asciiTheme="majorHAnsi" w:hAnsiTheme="majorHAnsi" w:cs="Calibri"/>
          <w:sz w:val="22"/>
        </w:rPr>
        <w:sectPr w:rsidR="003F0F44" w:rsidRPr="004B5025" w:rsidSect="009F5A05">
          <w:headerReference w:type="default" r:id="rId13"/>
          <w:pgSz w:w="11899" w:h="16838"/>
          <w:pgMar w:top="1418" w:right="1134" w:bottom="1701" w:left="1128" w:header="851" w:footer="851" w:gutter="0"/>
          <w:cols w:space="708"/>
          <w:docGrid w:linePitch="326"/>
        </w:sectPr>
      </w:pPr>
    </w:p>
    <w:p w14:paraId="18FDEFB5" w14:textId="77777777" w:rsidR="003B329C" w:rsidRPr="002539A5" w:rsidRDefault="003B329C" w:rsidP="003F0F44">
      <w:pPr>
        <w:spacing w:after="480"/>
        <w:contextualSpacing/>
        <w:rPr>
          <w:rFonts w:asciiTheme="majorHAnsi" w:hAnsiTheme="majorHAnsi" w:cs="Calibri"/>
          <w:b/>
          <w:sz w:val="22"/>
        </w:rPr>
      </w:pPr>
      <w:r w:rsidRPr="002539A5">
        <w:rPr>
          <w:rFonts w:asciiTheme="majorHAnsi" w:hAnsiTheme="majorHAnsi" w:cs="Calibri"/>
          <w:b/>
          <w:sz w:val="22"/>
        </w:rPr>
        <w:lastRenderedPageBreak/>
        <w:t>S</w:t>
      </w:r>
      <w:r>
        <w:rPr>
          <w:rFonts w:asciiTheme="majorHAnsi" w:hAnsiTheme="majorHAnsi" w:cs="Calibri"/>
          <w:b/>
          <w:sz w:val="22"/>
        </w:rPr>
        <w:t>ECTION</w:t>
      </w:r>
      <w:r w:rsidRPr="002539A5">
        <w:rPr>
          <w:rFonts w:asciiTheme="majorHAnsi" w:hAnsiTheme="majorHAnsi" w:cs="Calibri"/>
          <w:b/>
          <w:sz w:val="22"/>
        </w:rPr>
        <w:t xml:space="preserve"> 4</w:t>
      </w:r>
    </w:p>
    <w:p w14:paraId="4CA0F2DE" w14:textId="77777777" w:rsidR="003F0F44" w:rsidRDefault="003F0F44" w:rsidP="003B329C">
      <w:pPr>
        <w:spacing w:after="480"/>
        <w:contextualSpacing/>
        <w:rPr>
          <w:rFonts w:asciiTheme="majorHAnsi" w:hAnsiTheme="majorHAnsi"/>
          <w:b/>
          <w:sz w:val="22"/>
          <w:szCs w:val="22"/>
          <w:u w:val="single"/>
        </w:rPr>
      </w:pPr>
    </w:p>
    <w:p w14:paraId="60E1A6AD" w14:textId="7B3F760E" w:rsidR="003B329C" w:rsidRDefault="003B329C" w:rsidP="003B329C">
      <w:pPr>
        <w:spacing w:after="480"/>
        <w:contextualSpacing/>
        <w:rPr>
          <w:rFonts w:asciiTheme="majorHAnsi" w:hAnsiTheme="majorHAnsi"/>
          <w:b/>
          <w:sz w:val="22"/>
          <w:szCs w:val="22"/>
          <w:u w:val="single"/>
        </w:rPr>
      </w:pPr>
      <w:r w:rsidRPr="000A52CE">
        <w:rPr>
          <w:rFonts w:asciiTheme="majorHAnsi" w:hAnsiTheme="majorHAnsi"/>
          <w:b/>
          <w:sz w:val="22"/>
          <w:szCs w:val="22"/>
          <w:u w:val="single"/>
        </w:rPr>
        <w:t>R</w:t>
      </w:r>
      <w:r w:rsidR="00157101">
        <w:rPr>
          <w:rFonts w:asciiTheme="majorHAnsi" w:hAnsiTheme="majorHAnsi"/>
          <w:b/>
          <w:sz w:val="22"/>
          <w:szCs w:val="22"/>
          <w:u w:val="single"/>
        </w:rPr>
        <w:t>EQUIREMENT DETAILS &amp; RESPONSE</w:t>
      </w:r>
    </w:p>
    <w:p w14:paraId="4BC43654" w14:textId="77777777" w:rsidR="003B329C" w:rsidRDefault="003B329C" w:rsidP="003B329C">
      <w:pPr>
        <w:spacing w:after="480"/>
        <w:contextualSpacing/>
        <w:rPr>
          <w:rFonts w:asciiTheme="majorHAnsi" w:hAnsiTheme="majorHAnsi" w:cs="Calibri"/>
          <w:sz w:val="22"/>
          <w:szCs w:val="22"/>
        </w:rPr>
      </w:pPr>
    </w:p>
    <w:p w14:paraId="41651B8B" w14:textId="77777777" w:rsidR="00565D27" w:rsidRDefault="00565D27" w:rsidP="003B329C">
      <w:pPr>
        <w:spacing w:after="480"/>
        <w:contextualSpacing/>
        <w:rPr>
          <w:rFonts w:asciiTheme="majorHAnsi" w:hAnsiTheme="majorHAnsi" w:cs="Calibri"/>
          <w:b/>
          <w:sz w:val="22"/>
          <w:szCs w:val="22"/>
        </w:rPr>
      </w:pPr>
      <w:r w:rsidRPr="00565D27">
        <w:rPr>
          <w:rFonts w:asciiTheme="majorHAnsi" w:hAnsiTheme="majorHAnsi" w:cs="Calibri"/>
          <w:b/>
          <w:sz w:val="22"/>
          <w:szCs w:val="22"/>
        </w:rPr>
        <w:t>Service Provision and Experience</w:t>
      </w:r>
      <w:r>
        <w:rPr>
          <w:rFonts w:asciiTheme="majorHAnsi" w:hAnsiTheme="majorHAnsi" w:cs="Calibri"/>
          <w:b/>
          <w:sz w:val="22"/>
          <w:szCs w:val="22"/>
        </w:rPr>
        <w:t>:</w:t>
      </w:r>
    </w:p>
    <w:p w14:paraId="5EDE73F8" w14:textId="77777777" w:rsidR="00565D27" w:rsidRPr="00565D27" w:rsidRDefault="00565D27" w:rsidP="003B329C">
      <w:pPr>
        <w:spacing w:after="480"/>
        <w:contextualSpacing/>
        <w:rPr>
          <w:rFonts w:asciiTheme="majorHAnsi" w:hAnsiTheme="majorHAnsi" w:cs="Calibri"/>
          <w:b/>
          <w:sz w:val="22"/>
          <w:szCs w:val="22"/>
        </w:rPr>
      </w:pPr>
    </w:p>
    <w:p w14:paraId="1713CE15" w14:textId="6AED677D" w:rsidR="008B69A3" w:rsidRDefault="008B69A3" w:rsidP="008B69A3">
      <w:pPr>
        <w:rPr>
          <w:rFonts w:asciiTheme="majorHAnsi" w:hAnsiTheme="majorHAnsi"/>
          <w:sz w:val="22"/>
          <w:szCs w:val="22"/>
        </w:rPr>
      </w:pPr>
      <w:r w:rsidRPr="008B69A3">
        <w:rPr>
          <w:rFonts w:asciiTheme="majorHAnsi" w:hAnsiTheme="majorHAnsi"/>
          <w:sz w:val="22"/>
          <w:szCs w:val="22"/>
        </w:rPr>
        <w:t xml:space="preserve">This section has a weight of </w:t>
      </w:r>
      <w:r w:rsidR="001B366D">
        <w:rPr>
          <w:rFonts w:asciiTheme="majorHAnsi" w:hAnsiTheme="majorHAnsi"/>
          <w:sz w:val="22"/>
          <w:szCs w:val="22"/>
        </w:rPr>
        <w:t>xx</w:t>
      </w:r>
      <w:r w:rsidRPr="008B69A3">
        <w:rPr>
          <w:rFonts w:asciiTheme="majorHAnsi" w:hAnsiTheme="majorHAnsi"/>
          <w:sz w:val="22"/>
          <w:szCs w:val="22"/>
        </w:rPr>
        <w:t>%. The responses to these questions will be scored by an evaluation panel using the score guidance 0, 1, 3 or 5 (0 being the lowest and 5 being the highest), using the matrix detailed below;</w:t>
      </w:r>
    </w:p>
    <w:p w14:paraId="6DD5BF10" w14:textId="77777777" w:rsidR="008B69A3" w:rsidRPr="008B69A3" w:rsidRDefault="008B69A3" w:rsidP="008B69A3">
      <w:pPr>
        <w:rPr>
          <w:rFonts w:asciiTheme="majorHAnsi" w:hAnsiTheme="majorHAns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2042"/>
      </w:tblGrid>
      <w:tr w:rsidR="008B69A3" w:rsidRPr="008B69A3" w14:paraId="41E95A30" w14:textId="77777777" w:rsidTr="007C4B34">
        <w:trPr>
          <w:trHeight w:val="288"/>
        </w:trPr>
        <w:tc>
          <w:tcPr>
            <w:tcW w:w="608" w:type="pct"/>
            <w:shd w:val="clear" w:color="auto" w:fill="C6D9F1"/>
            <w:noWrap/>
            <w:hideMark/>
          </w:tcPr>
          <w:p w14:paraId="3C0FB4EF" w14:textId="77777777" w:rsidR="008B69A3" w:rsidRPr="008B69A3" w:rsidRDefault="008B69A3" w:rsidP="007C4B34">
            <w:pPr>
              <w:jc w:val="both"/>
              <w:rPr>
                <w:rFonts w:asciiTheme="majorHAnsi" w:hAnsiTheme="majorHAnsi"/>
                <w:b/>
                <w:bCs/>
                <w:sz w:val="22"/>
                <w:szCs w:val="22"/>
              </w:rPr>
            </w:pPr>
            <w:r w:rsidRPr="008B69A3">
              <w:rPr>
                <w:rFonts w:asciiTheme="majorHAnsi" w:hAnsiTheme="majorHAnsi"/>
                <w:b/>
                <w:bCs/>
                <w:sz w:val="22"/>
                <w:szCs w:val="22"/>
              </w:rPr>
              <w:t>Score 0 where</w:t>
            </w:r>
          </w:p>
        </w:tc>
        <w:tc>
          <w:tcPr>
            <w:tcW w:w="4392" w:type="pct"/>
            <w:hideMark/>
          </w:tcPr>
          <w:p w14:paraId="419D12DC" w14:textId="77777777" w:rsidR="008B69A3" w:rsidRPr="008B69A3" w:rsidRDefault="008B69A3" w:rsidP="007C4B34">
            <w:pPr>
              <w:jc w:val="both"/>
              <w:rPr>
                <w:rFonts w:asciiTheme="majorHAnsi" w:hAnsiTheme="majorHAnsi"/>
                <w:b/>
                <w:bCs/>
                <w:sz w:val="22"/>
                <w:szCs w:val="22"/>
              </w:rPr>
            </w:pPr>
            <w:r w:rsidRPr="008B69A3">
              <w:rPr>
                <w:rFonts w:asciiTheme="majorHAnsi" w:hAnsiTheme="majorHAnsi"/>
                <w:b/>
                <w:bCs/>
                <w:sz w:val="22"/>
                <w:szCs w:val="22"/>
              </w:rPr>
              <w:t>No response or response not relevant to the question or question not answered</w:t>
            </w:r>
          </w:p>
        </w:tc>
      </w:tr>
      <w:tr w:rsidR="008B69A3" w:rsidRPr="008B69A3" w14:paraId="6FE2CA26" w14:textId="77777777" w:rsidTr="007C4B34">
        <w:trPr>
          <w:trHeight w:val="288"/>
        </w:trPr>
        <w:tc>
          <w:tcPr>
            <w:tcW w:w="608" w:type="pct"/>
            <w:shd w:val="clear" w:color="auto" w:fill="C6D9F1"/>
            <w:noWrap/>
            <w:hideMark/>
          </w:tcPr>
          <w:p w14:paraId="3035BC3B" w14:textId="77777777" w:rsidR="008B69A3" w:rsidRPr="008B69A3" w:rsidRDefault="008B69A3" w:rsidP="007C4B34">
            <w:pPr>
              <w:jc w:val="both"/>
              <w:rPr>
                <w:rFonts w:asciiTheme="majorHAnsi" w:hAnsiTheme="majorHAnsi"/>
                <w:b/>
                <w:bCs/>
                <w:sz w:val="22"/>
                <w:szCs w:val="22"/>
              </w:rPr>
            </w:pPr>
            <w:r w:rsidRPr="008B69A3">
              <w:rPr>
                <w:rFonts w:asciiTheme="majorHAnsi" w:hAnsiTheme="majorHAnsi"/>
                <w:b/>
                <w:bCs/>
                <w:sz w:val="22"/>
                <w:szCs w:val="22"/>
              </w:rPr>
              <w:t>Score 1 where</w:t>
            </w:r>
          </w:p>
        </w:tc>
        <w:tc>
          <w:tcPr>
            <w:tcW w:w="4392" w:type="pct"/>
            <w:hideMark/>
          </w:tcPr>
          <w:p w14:paraId="1882E047" w14:textId="2066EFA8" w:rsidR="008B69A3" w:rsidRPr="008B69A3" w:rsidRDefault="000F45D5" w:rsidP="007C4B34">
            <w:pPr>
              <w:jc w:val="both"/>
              <w:rPr>
                <w:rFonts w:asciiTheme="majorHAnsi" w:hAnsiTheme="majorHAnsi"/>
                <w:sz w:val="22"/>
                <w:szCs w:val="22"/>
              </w:rPr>
            </w:pPr>
            <w:r>
              <w:rPr>
                <w:rFonts w:asciiTheme="majorHAnsi" w:hAnsiTheme="majorHAnsi"/>
                <w:b/>
                <w:bCs/>
                <w:sz w:val="22"/>
                <w:szCs w:val="22"/>
              </w:rPr>
              <w:t>Very</w:t>
            </w:r>
            <w:r w:rsidR="008B69A3" w:rsidRPr="008B69A3">
              <w:rPr>
                <w:rFonts w:asciiTheme="majorHAnsi" w:hAnsiTheme="majorHAnsi"/>
                <w:b/>
                <w:bCs/>
                <w:sz w:val="22"/>
                <w:szCs w:val="22"/>
              </w:rPr>
              <w:t xml:space="preserve"> Response </w:t>
            </w:r>
            <w:r w:rsidR="008B69A3" w:rsidRPr="008B69A3">
              <w:rPr>
                <w:rFonts w:asciiTheme="majorHAnsi" w:hAnsiTheme="majorHAnsi"/>
                <w:sz w:val="22"/>
                <w:szCs w:val="22"/>
              </w:rPr>
              <w:t xml:space="preserve">- Answer has partially addressed the question but lacks </w:t>
            </w:r>
            <w:r w:rsidR="00637976">
              <w:rPr>
                <w:rFonts w:asciiTheme="majorHAnsi" w:hAnsiTheme="majorHAnsi"/>
                <w:sz w:val="22"/>
                <w:szCs w:val="22"/>
              </w:rPr>
              <w:t xml:space="preserve">any </w:t>
            </w:r>
            <w:r w:rsidR="008B69A3" w:rsidRPr="008B69A3">
              <w:rPr>
                <w:rFonts w:asciiTheme="majorHAnsi" w:hAnsiTheme="majorHAnsi"/>
                <w:sz w:val="22"/>
                <w:szCs w:val="22"/>
              </w:rPr>
              <w:t>evidence of provision sought.</w:t>
            </w:r>
            <w:r w:rsidR="00CC79D6">
              <w:rPr>
                <w:rFonts w:asciiTheme="majorHAnsi" w:hAnsiTheme="majorHAnsi"/>
                <w:sz w:val="22"/>
                <w:szCs w:val="22"/>
              </w:rPr>
              <w:t xml:space="preserve"> Significant l</w:t>
            </w:r>
            <w:r w:rsidR="008B69A3" w:rsidRPr="008B69A3">
              <w:rPr>
                <w:rFonts w:asciiTheme="majorHAnsi" w:hAnsiTheme="majorHAnsi"/>
                <w:sz w:val="22"/>
                <w:szCs w:val="22"/>
              </w:rPr>
              <w:t>ack of real understanding of the requirement or evidence of the ability to deliver</w:t>
            </w:r>
          </w:p>
        </w:tc>
      </w:tr>
      <w:tr w:rsidR="001076B9" w:rsidRPr="008B69A3" w14:paraId="67E53E20" w14:textId="77777777" w:rsidTr="007C4B34">
        <w:trPr>
          <w:trHeight w:val="288"/>
        </w:trPr>
        <w:tc>
          <w:tcPr>
            <w:tcW w:w="608" w:type="pct"/>
            <w:shd w:val="clear" w:color="auto" w:fill="C6D9F1"/>
            <w:noWrap/>
          </w:tcPr>
          <w:p w14:paraId="311EDD3B" w14:textId="2B671AF0" w:rsidR="001076B9" w:rsidRPr="008B69A3" w:rsidRDefault="001076B9" w:rsidP="007C4B34">
            <w:pPr>
              <w:jc w:val="both"/>
              <w:rPr>
                <w:rFonts w:asciiTheme="majorHAnsi" w:hAnsiTheme="majorHAnsi"/>
                <w:b/>
                <w:bCs/>
                <w:sz w:val="22"/>
                <w:szCs w:val="22"/>
              </w:rPr>
            </w:pPr>
            <w:r>
              <w:rPr>
                <w:rFonts w:asciiTheme="majorHAnsi" w:hAnsiTheme="majorHAnsi"/>
                <w:b/>
                <w:bCs/>
                <w:sz w:val="22"/>
                <w:szCs w:val="22"/>
              </w:rPr>
              <w:t>Score 2 where</w:t>
            </w:r>
          </w:p>
        </w:tc>
        <w:tc>
          <w:tcPr>
            <w:tcW w:w="4392" w:type="pct"/>
          </w:tcPr>
          <w:p w14:paraId="0819FC00" w14:textId="076B03E7" w:rsidR="001076B9" w:rsidRPr="008B69A3" w:rsidRDefault="000F45D5" w:rsidP="007C4B34">
            <w:pPr>
              <w:jc w:val="both"/>
              <w:rPr>
                <w:rFonts w:asciiTheme="majorHAnsi" w:hAnsiTheme="majorHAnsi"/>
                <w:b/>
                <w:bCs/>
                <w:sz w:val="22"/>
                <w:szCs w:val="22"/>
              </w:rPr>
            </w:pPr>
            <w:r w:rsidRPr="008B69A3">
              <w:rPr>
                <w:rFonts w:asciiTheme="majorHAnsi" w:hAnsiTheme="majorHAnsi"/>
                <w:b/>
                <w:bCs/>
                <w:sz w:val="22"/>
                <w:szCs w:val="22"/>
              </w:rPr>
              <w:t xml:space="preserve">Poor Response </w:t>
            </w:r>
            <w:r w:rsidRPr="008B69A3">
              <w:rPr>
                <w:rFonts w:asciiTheme="majorHAnsi" w:hAnsiTheme="majorHAnsi"/>
                <w:sz w:val="22"/>
                <w:szCs w:val="22"/>
              </w:rPr>
              <w:t xml:space="preserve">- Answer has partially addressed the question but lacks </w:t>
            </w:r>
            <w:r w:rsidR="00637976">
              <w:rPr>
                <w:rFonts w:asciiTheme="majorHAnsi" w:hAnsiTheme="majorHAnsi"/>
                <w:sz w:val="22"/>
                <w:szCs w:val="22"/>
              </w:rPr>
              <w:t xml:space="preserve">detailed </w:t>
            </w:r>
            <w:r w:rsidRPr="008B69A3">
              <w:rPr>
                <w:rFonts w:asciiTheme="majorHAnsi" w:hAnsiTheme="majorHAnsi"/>
                <w:sz w:val="22"/>
                <w:szCs w:val="22"/>
              </w:rPr>
              <w:t xml:space="preserve">evidence of provision sought. </w:t>
            </w:r>
            <w:r w:rsidR="00CC79D6">
              <w:rPr>
                <w:rFonts w:asciiTheme="majorHAnsi" w:hAnsiTheme="majorHAnsi"/>
                <w:sz w:val="22"/>
                <w:szCs w:val="22"/>
              </w:rPr>
              <w:t>Limited</w:t>
            </w:r>
            <w:r w:rsidRPr="008B69A3">
              <w:rPr>
                <w:rFonts w:asciiTheme="majorHAnsi" w:hAnsiTheme="majorHAnsi"/>
                <w:sz w:val="22"/>
                <w:szCs w:val="22"/>
              </w:rPr>
              <w:t xml:space="preserve"> understanding of the requirement or evidence of the ability to deliver</w:t>
            </w:r>
          </w:p>
        </w:tc>
      </w:tr>
      <w:tr w:rsidR="008B69A3" w:rsidRPr="008B69A3" w14:paraId="2DCC6ACA" w14:textId="77777777" w:rsidTr="007C4B34">
        <w:trPr>
          <w:trHeight w:val="288"/>
        </w:trPr>
        <w:tc>
          <w:tcPr>
            <w:tcW w:w="608" w:type="pct"/>
            <w:shd w:val="clear" w:color="auto" w:fill="C6D9F1"/>
            <w:noWrap/>
            <w:hideMark/>
          </w:tcPr>
          <w:p w14:paraId="6A720325" w14:textId="77777777" w:rsidR="008B69A3" w:rsidRPr="008B69A3" w:rsidRDefault="008B69A3" w:rsidP="007C4B34">
            <w:pPr>
              <w:jc w:val="both"/>
              <w:rPr>
                <w:rFonts w:asciiTheme="majorHAnsi" w:hAnsiTheme="majorHAnsi"/>
                <w:b/>
                <w:bCs/>
                <w:sz w:val="22"/>
                <w:szCs w:val="22"/>
              </w:rPr>
            </w:pPr>
            <w:r w:rsidRPr="008B69A3">
              <w:rPr>
                <w:rFonts w:asciiTheme="majorHAnsi" w:hAnsiTheme="majorHAnsi"/>
                <w:b/>
                <w:bCs/>
                <w:sz w:val="22"/>
                <w:szCs w:val="22"/>
              </w:rPr>
              <w:t>Score 3 where</w:t>
            </w:r>
          </w:p>
        </w:tc>
        <w:tc>
          <w:tcPr>
            <w:tcW w:w="4392" w:type="pct"/>
            <w:hideMark/>
          </w:tcPr>
          <w:p w14:paraId="32EF9FA6" w14:textId="77777777" w:rsidR="008B69A3" w:rsidRPr="008B69A3" w:rsidRDefault="008B69A3" w:rsidP="007C4B34">
            <w:pPr>
              <w:jc w:val="both"/>
              <w:rPr>
                <w:rFonts w:asciiTheme="majorHAnsi" w:hAnsiTheme="majorHAnsi"/>
                <w:sz w:val="22"/>
                <w:szCs w:val="22"/>
              </w:rPr>
            </w:pPr>
            <w:r w:rsidRPr="008B69A3">
              <w:rPr>
                <w:rFonts w:asciiTheme="majorHAnsi" w:hAnsiTheme="majorHAnsi"/>
                <w:b/>
                <w:bCs/>
                <w:sz w:val="22"/>
                <w:szCs w:val="22"/>
              </w:rPr>
              <w:t>Acceptable Response</w:t>
            </w:r>
            <w:r w:rsidRPr="008B69A3">
              <w:rPr>
                <w:rFonts w:asciiTheme="majorHAnsi" w:hAnsiTheme="majorHAnsi"/>
                <w:sz w:val="22"/>
                <w:szCs w:val="22"/>
              </w:rPr>
              <w:t xml:space="preserve"> - The response complies with the question and provides evidence requested</w:t>
            </w:r>
          </w:p>
        </w:tc>
      </w:tr>
      <w:tr w:rsidR="001076B9" w:rsidRPr="008B69A3" w14:paraId="6EF09CA2" w14:textId="77777777" w:rsidTr="007C4B34">
        <w:trPr>
          <w:trHeight w:val="288"/>
        </w:trPr>
        <w:tc>
          <w:tcPr>
            <w:tcW w:w="608" w:type="pct"/>
            <w:shd w:val="clear" w:color="auto" w:fill="C6D9F1"/>
            <w:noWrap/>
          </w:tcPr>
          <w:p w14:paraId="456F2555" w14:textId="3DC13281" w:rsidR="001076B9" w:rsidRPr="008B69A3" w:rsidRDefault="001076B9" w:rsidP="007C4B34">
            <w:pPr>
              <w:jc w:val="both"/>
              <w:rPr>
                <w:rFonts w:asciiTheme="majorHAnsi" w:hAnsiTheme="majorHAnsi"/>
                <w:b/>
                <w:bCs/>
                <w:sz w:val="22"/>
                <w:szCs w:val="22"/>
              </w:rPr>
            </w:pPr>
            <w:r>
              <w:rPr>
                <w:rFonts w:asciiTheme="majorHAnsi" w:hAnsiTheme="majorHAnsi"/>
                <w:b/>
                <w:bCs/>
                <w:sz w:val="22"/>
                <w:szCs w:val="22"/>
              </w:rPr>
              <w:t>Score 4 where</w:t>
            </w:r>
          </w:p>
        </w:tc>
        <w:tc>
          <w:tcPr>
            <w:tcW w:w="4392" w:type="pct"/>
          </w:tcPr>
          <w:p w14:paraId="53F812A8" w14:textId="4D141B1D" w:rsidR="001076B9" w:rsidRPr="008B69A3" w:rsidRDefault="00CC79D6" w:rsidP="007C4B34">
            <w:pPr>
              <w:jc w:val="both"/>
              <w:rPr>
                <w:rFonts w:asciiTheme="majorHAnsi" w:hAnsiTheme="majorHAnsi"/>
                <w:b/>
                <w:bCs/>
                <w:sz w:val="22"/>
                <w:szCs w:val="22"/>
              </w:rPr>
            </w:pPr>
            <w:r>
              <w:rPr>
                <w:rFonts w:asciiTheme="majorHAnsi" w:hAnsiTheme="majorHAnsi"/>
                <w:b/>
                <w:bCs/>
                <w:sz w:val="22"/>
                <w:szCs w:val="22"/>
              </w:rPr>
              <w:t xml:space="preserve">Good Response </w:t>
            </w:r>
            <w:r w:rsidR="008F4E24">
              <w:rPr>
                <w:rFonts w:asciiTheme="majorHAnsi" w:hAnsiTheme="majorHAnsi"/>
                <w:b/>
                <w:bCs/>
                <w:sz w:val="22"/>
                <w:szCs w:val="22"/>
              </w:rPr>
              <w:t>–</w:t>
            </w:r>
            <w:r>
              <w:rPr>
                <w:rFonts w:asciiTheme="majorHAnsi" w:hAnsiTheme="majorHAnsi"/>
                <w:b/>
                <w:bCs/>
                <w:sz w:val="22"/>
                <w:szCs w:val="22"/>
              </w:rPr>
              <w:t xml:space="preserve"> </w:t>
            </w:r>
            <w:r w:rsidR="008F4E24" w:rsidRPr="00C84BCA">
              <w:rPr>
                <w:rFonts w:asciiTheme="majorHAnsi" w:hAnsiTheme="majorHAnsi"/>
                <w:sz w:val="22"/>
                <w:szCs w:val="22"/>
              </w:rPr>
              <w:t xml:space="preserve">Provides a strong understanding of the issue and evidence that </w:t>
            </w:r>
            <w:r w:rsidR="00C84BCA" w:rsidRPr="00C84BCA">
              <w:rPr>
                <w:rFonts w:asciiTheme="majorHAnsi" w:hAnsiTheme="majorHAnsi"/>
                <w:sz w:val="22"/>
                <w:szCs w:val="22"/>
              </w:rPr>
              <w:t>demonstrates ability to meet a majority of expectations.</w:t>
            </w:r>
          </w:p>
        </w:tc>
      </w:tr>
      <w:tr w:rsidR="008B69A3" w:rsidRPr="008B69A3" w14:paraId="3666D3A5" w14:textId="77777777" w:rsidTr="007C4B34">
        <w:trPr>
          <w:trHeight w:val="300"/>
        </w:trPr>
        <w:tc>
          <w:tcPr>
            <w:tcW w:w="608" w:type="pct"/>
            <w:shd w:val="clear" w:color="auto" w:fill="C6D9F1"/>
            <w:noWrap/>
            <w:hideMark/>
          </w:tcPr>
          <w:p w14:paraId="162985CD" w14:textId="77777777" w:rsidR="008B69A3" w:rsidRPr="008B69A3" w:rsidRDefault="008B69A3" w:rsidP="007C4B34">
            <w:pPr>
              <w:jc w:val="both"/>
              <w:rPr>
                <w:rFonts w:asciiTheme="majorHAnsi" w:hAnsiTheme="majorHAnsi"/>
                <w:b/>
                <w:bCs/>
                <w:sz w:val="22"/>
                <w:szCs w:val="22"/>
              </w:rPr>
            </w:pPr>
            <w:r w:rsidRPr="008B69A3">
              <w:rPr>
                <w:rFonts w:asciiTheme="majorHAnsi" w:hAnsiTheme="majorHAnsi"/>
                <w:b/>
                <w:bCs/>
                <w:sz w:val="22"/>
                <w:szCs w:val="22"/>
              </w:rPr>
              <w:t>Score 5 where</w:t>
            </w:r>
          </w:p>
        </w:tc>
        <w:tc>
          <w:tcPr>
            <w:tcW w:w="4392" w:type="pct"/>
            <w:hideMark/>
          </w:tcPr>
          <w:p w14:paraId="51FEC8B6" w14:textId="77777777" w:rsidR="008B69A3" w:rsidRPr="008B69A3" w:rsidRDefault="008B69A3" w:rsidP="007C4B34">
            <w:pPr>
              <w:jc w:val="both"/>
              <w:rPr>
                <w:rFonts w:asciiTheme="majorHAnsi" w:hAnsiTheme="majorHAnsi"/>
                <w:sz w:val="22"/>
                <w:szCs w:val="22"/>
              </w:rPr>
            </w:pPr>
            <w:r w:rsidRPr="008B69A3">
              <w:rPr>
                <w:rFonts w:asciiTheme="majorHAnsi" w:hAnsiTheme="majorHAnsi"/>
                <w:b/>
                <w:bCs/>
                <w:sz w:val="22"/>
                <w:szCs w:val="22"/>
              </w:rPr>
              <w:t>Excellent Response</w:t>
            </w:r>
            <w:r w:rsidRPr="008B69A3">
              <w:rPr>
                <w:rFonts w:asciiTheme="majorHAnsi" w:hAnsiTheme="majorHAnsi"/>
                <w:sz w:val="22"/>
                <w:szCs w:val="22"/>
              </w:rPr>
              <w:t xml:space="preserve"> – addresses the question directly with clear evidence to support answers. The tenderer demonstrates that they can meet or exceed the requirement</w:t>
            </w:r>
          </w:p>
        </w:tc>
      </w:tr>
    </w:tbl>
    <w:p w14:paraId="21D23F81" w14:textId="77777777" w:rsidR="008B69A3" w:rsidRPr="008B69A3" w:rsidRDefault="008B69A3" w:rsidP="008B69A3">
      <w:pPr>
        <w:rPr>
          <w:rFonts w:asciiTheme="majorHAnsi" w:hAnsiTheme="majorHAnsi"/>
          <w:sz w:val="22"/>
          <w:szCs w:val="22"/>
        </w:rPr>
      </w:pPr>
    </w:p>
    <w:p w14:paraId="19DAF42F" w14:textId="730E8EAD" w:rsidR="00D76323" w:rsidRDefault="00D76323" w:rsidP="008B69A3">
      <w:pPr>
        <w:rPr>
          <w:rFonts w:asciiTheme="majorHAnsi" w:hAnsiTheme="majorHAnsi"/>
          <w:sz w:val="22"/>
          <w:szCs w:val="22"/>
        </w:rPr>
      </w:pPr>
      <w:r>
        <w:rPr>
          <w:rFonts w:asciiTheme="majorHAnsi" w:hAnsiTheme="majorHAnsi"/>
          <w:sz w:val="22"/>
          <w:szCs w:val="22"/>
        </w:rPr>
        <w:t>The score for each question will be multiplied by the weight to provide a weighted score. The total weighted score will then be apportioned to the overall quality score (</w:t>
      </w:r>
      <w:r w:rsidR="00C84BCA">
        <w:rPr>
          <w:rFonts w:asciiTheme="majorHAnsi" w:hAnsiTheme="majorHAnsi"/>
          <w:sz w:val="22"/>
          <w:szCs w:val="22"/>
        </w:rPr>
        <w:t>80</w:t>
      </w:r>
      <w:r>
        <w:rPr>
          <w:rFonts w:asciiTheme="majorHAnsi" w:hAnsiTheme="majorHAnsi"/>
          <w:sz w:val="22"/>
          <w:szCs w:val="22"/>
        </w:rPr>
        <w:t xml:space="preserve">%). </w:t>
      </w:r>
    </w:p>
    <w:p w14:paraId="7FD66B03" w14:textId="77777777" w:rsidR="00565D27" w:rsidRDefault="00565D27" w:rsidP="008B69A3">
      <w:pPr>
        <w:rPr>
          <w:rFonts w:asciiTheme="majorHAnsi" w:hAnsiTheme="majorHAnsi"/>
          <w:sz w:val="22"/>
          <w:szCs w:val="22"/>
        </w:rPr>
      </w:pPr>
    </w:p>
    <w:p w14:paraId="5FD45E47" w14:textId="77777777" w:rsidR="00565D27" w:rsidRPr="00565D27" w:rsidRDefault="00565D27" w:rsidP="008B69A3">
      <w:pPr>
        <w:rPr>
          <w:rFonts w:asciiTheme="majorHAnsi" w:hAnsiTheme="majorHAnsi"/>
          <w:b/>
          <w:sz w:val="22"/>
          <w:szCs w:val="22"/>
        </w:rPr>
      </w:pPr>
      <w:r w:rsidRPr="00565D27">
        <w:rPr>
          <w:rFonts w:asciiTheme="majorHAnsi" w:hAnsiTheme="majorHAnsi"/>
          <w:b/>
          <w:sz w:val="22"/>
          <w:szCs w:val="22"/>
        </w:rPr>
        <w:t>Commercial:</w:t>
      </w:r>
    </w:p>
    <w:p w14:paraId="7131C44C" w14:textId="77777777" w:rsidR="00565D27" w:rsidRDefault="00565D27" w:rsidP="008B69A3">
      <w:pPr>
        <w:rPr>
          <w:rFonts w:asciiTheme="majorHAnsi" w:hAnsiTheme="majorHAnsi"/>
          <w:sz w:val="22"/>
          <w:szCs w:val="22"/>
        </w:rPr>
      </w:pPr>
    </w:p>
    <w:p w14:paraId="1D449724" w14:textId="00854949" w:rsidR="00D76323" w:rsidRDefault="00565D27" w:rsidP="008B69A3">
      <w:pPr>
        <w:rPr>
          <w:rFonts w:asciiTheme="majorHAnsi" w:hAnsiTheme="majorHAnsi"/>
          <w:sz w:val="22"/>
          <w:szCs w:val="22"/>
        </w:rPr>
      </w:pPr>
      <w:r>
        <w:rPr>
          <w:rFonts w:asciiTheme="majorHAnsi" w:hAnsiTheme="majorHAnsi"/>
          <w:sz w:val="22"/>
          <w:szCs w:val="22"/>
        </w:rPr>
        <w:t>The lowest priced bid received will be awarded the maximum weight (</w:t>
      </w:r>
      <w:r w:rsidR="00C84BCA">
        <w:rPr>
          <w:rFonts w:asciiTheme="majorHAnsi" w:hAnsiTheme="majorHAnsi"/>
          <w:sz w:val="22"/>
          <w:szCs w:val="22"/>
        </w:rPr>
        <w:t>20</w:t>
      </w:r>
      <w:r>
        <w:rPr>
          <w:rFonts w:asciiTheme="majorHAnsi" w:hAnsiTheme="majorHAnsi"/>
          <w:sz w:val="22"/>
          <w:szCs w:val="22"/>
        </w:rPr>
        <w:t xml:space="preserve">%). All other bids will be </w:t>
      </w:r>
      <w:r w:rsidR="009A70BF">
        <w:rPr>
          <w:rFonts w:asciiTheme="majorHAnsi" w:hAnsiTheme="majorHAnsi"/>
          <w:sz w:val="22"/>
          <w:szCs w:val="22"/>
        </w:rPr>
        <w:t xml:space="preserve">scored </w:t>
      </w:r>
      <w:r>
        <w:rPr>
          <w:rFonts w:asciiTheme="majorHAnsi" w:hAnsiTheme="majorHAnsi"/>
          <w:sz w:val="22"/>
          <w:szCs w:val="22"/>
        </w:rPr>
        <w:t>proportio</w:t>
      </w:r>
      <w:r w:rsidR="009A70BF">
        <w:rPr>
          <w:rFonts w:asciiTheme="majorHAnsi" w:hAnsiTheme="majorHAnsi"/>
          <w:sz w:val="22"/>
          <w:szCs w:val="22"/>
        </w:rPr>
        <w:t>nally</w:t>
      </w:r>
      <w:r>
        <w:rPr>
          <w:rFonts w:asciiTheme="majorHAnsi" w:hAnsiTheme="majorHAnsi"/>
          <w:sz w:val="22"/>
          <w:szCs w:val="22"/>
        </w:rPr>
        <w:t xml:space="preserve"> against the winning bid.</w:t>
      </w:r>
    </w:p>
    <w:p w14:paraId="6B66F98C" w14:textId="77777777" w:rsidR="00565D27" w:rsidRDefault="00565D27" w:rsidP="008B69A3">
      <w:pPr>
        <w:rPr>
          <w:rFonts w:asciiTheme="majorHAnsi" w:hAnsiTheme="majorHAnsi"/>
          <w:sz w:val="22"/>
          <w:szCs w:val="22"/>
        </w:rPr>
      </w:pPr>
    </w:p>
    <w:p w14:paraId="688055E9" w14:textId="77777777" w:rsidR="00E36426" w:rsidRDefault="008B69A3" w:rsidP="008B69A3">
      <w:pPr>
        <w:rPr>
          <w:rFonts w:asciiTheme="majorHAnsi" w:hAnsiTheme="majorHAnsi"/>
          <w:sz w:val="22"/>
          <w:szCs w:val="22"/>
        </w:rPr>
      </w:pPr>
      <w:r w:rsidRPr="008B69A3">
        <w:rPr>
          <w:rFonts w:asciiTheme="majorHAnsi" w:hAnsiTheme="majorHAnsi"/>
          <w:sz w:val="22"/>
          <w:szCs w:val="22"/>
        </w:rPr>
        <w:t xml:space="preserve">Please answer each question directly. Please do not insert web links or pdf attachments as direct responses to the question. You may evidence your answers with screen ‘grabs’ or pictures to directly support your answer but do not upload any additional documents as these will not be evaluated. </w:t>
      </w:r>
    </w:p>
    <w:p w14:paraId="1E6CB4C5" w14:textId="77777777" w:rsidR="00E36426" w:rsidRDefault="00E36426">
      <w:pPr>
        <w:rPr>
          <w:rFonts w:asciiTheme="majorHAnsi" w:hAnsiTheme="majorHAnsi"/>
          <w:sz w:val="22"/>
          <w:szCs w:val="22"/>
        </w:rPr>
      </w:pPr>
      <w:r>
        <w:rPr>
          <w:rFonts w:asciiTheme="majorHAnsi" w:hAnsiTheme="majorHAnsi"/>
          <w:sz w:val="22"/>
          <w:szCs w:val="22"/>
        </w:rPr>
        <w:br w:type="page"/>
      </w:r>
    </w:p>
    <w:p w14:paraId="4B5FBD56" w14:textId="77777777" w:rsidR="008B69A3" w:rsidRPr="008B69A3" w:rsidRDefault="008B69A3" w:rsidP="008B69A3">
      <w:pPr>
        <w:rPr>
          <w:rFonts w:asciiTheme="majorHAnsi" w:hAnsiTheme="majorHAnsi"/>
          <w:sz w:val="22"/>
          <w:szCs w:val="22"/>
        </w:rPr>
      </w:pPr>
    </w:p>
    <w:p w14:paraId="32EF68EE" w14:textId="77777777" w:rsidR="008B69A3" w:rsidRPr="008B69A3" w:rsidRDefault="008B69A3" w:rsidP="008B69A3">
      <w:pPr>
        <w:rPr>
          <w:rFonts w:asciiTheme="majorHAnsi" w:hAnsiTheme="majorHAnsi"/>
          <w:sz w:val="22"/>
          <w:szCs w:val="22"/>
        </w:rPr>
      </w:pPr>
    </w:p>
    <w:tbl>
      <w:tblPr>
        <w:tblW w:w="13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34"/>
        <w:gridCol w:w="6868"/>
        <w:gridCol w:w="1051"/>
        <w:gridCol w:w="1051"/>
      </w:tblGrid>
      <w:tr w:rsidR="008167D8" w:rsidRPr="008B69A3" w14:paraId="602645D7" w14:textId="77777777" w:rsidTr="50E117F3">
        <w:tc>
          <w:tcPr>
            <w:tcW w:w="13692" w:type="dxa"/>
            <w:gridSpan w:val="5"/>
            <w:shd w:val="clear" w:color="auto" w:fill="D9D9D9" w:themeFill="background1" w:themeFillShade="D9"/>
          </w:tcPr>
          <w:p w14:paraId="0E90B2C1" w14:textId="77777777" w:rsidR="008167D8" w:rsidRPr="008B69A3" w:rsidRDefault="008167D8" w:rsidP="002975A9">
            <w:pPr>
              <w:rPr>
                <w:rFonts w:asciiTheme="majorHAnsi" w:hAnsiTheme="majorHAnsi" w:cs="Arial"/>
                <w:b/>
                <w:sz w:val="22"/>
                <w:szCs w:val="22"/>
                <w:highlight w:val="yellow"/>
              </w:rPr>
            </w:pPr>
          </w:p>
        </w:tc>
      </w:tr>
      <w:tr w:rsidR="008167D8" w:rsidRPr="008B69A3" w14:paraId="3681E87A" w14:textId="77777777" w:rsidTr="50E117F3">
        <w:tc>
          <w:tcPr>
            <w:tcW w:w="4722" w:type="dxa"/>
            <w:gridSpan w:val="2"/>
            <w:shd w:val="clear" w:color="auto" w:fill="F2F2F2" w:themeFill="background1" w:themeFillShade="F2"/>
          </w:tcPr>
          <w:p w14:paraId="37523DFF" w14:textId="77777777" w:rsidR="008167D8" w:rsidRPr="008B69A3" w:rsidRDefault="008167D8" w:rsidP="002975A9">
            <w:pPr>
              <w:rPr>
                <w:rFonts w:asciiTheme="majorHAnsi" w:hAnsiTheme="majorHAnsi" w:cs="Arial"/>
                <w:b/>
                <w:sz w:val="22"/>
                <w:szCs w:val="22"/>
              </w:rPr>
            </w:pPr>
            <w:r w:rsidRPr="008B69A3">
              <w:rPr>
                <w:rFonts w:asciiTheme="majorHAnsi" w:hAnsiTheme="majorHAnsi" w:cs="Arial"/>
                <w:b/>
                <w:sz w:val="22"/>
                <w:szCs w:val="22"/>
              </w:rPr>
              <w:t xml:space="preserve">Question Text </w:t>
            </w:r>
          </w:p>
        </w:tc>
        <w:tc>
          <w:tcPr>
            <w:tcW w:w="6868" w:type="dxa"/>
            <w:shd w:val="clear" w:color="auto" w:fill="F2F2F2" w:themeFill="background1" w:themeFillShade="F2"/>
          </w:tcPr>
          <w:p w14:paraId="692120E6" w14:textId="77777777" w:rsidR="008167D8" w:rsidRPr="008B69A3" w:rsidRDefault="008167D8" w:rsidP="002975A9">
            <w:pPr>
              <w:rPr>
                <w:rFonts w:asciiTheme="majorHAnsi" w:hAnsiTheme="majorHAnsi" w:cs="Arial"/>
                <w:b/>
                <w:sz w:val="22"/>
                <w:szCs w:val="22"/>
              </w:rPr>
            </w:pPr>
            <w:r w:rsidRPr="008B69A3">
              <w:rPr>
                <w:rFonts w:asciiTheme="majorHAnsi" w:hAnsiTheme="majorHAnsi" w:cs="Arial"/>
                <w:b/>
                <w:sz w:val="22"/>
                <w:szCs w:val="22"/>
              </w:rPr>
              <w:t>Answer</w:t>
            </w:r>
          </w:p>
        </w:tc>
        <w:tc>
          <w:tcPr>
            <w:tcW w:w="1051" w:type="dxa"/>
            <w:shd w:val="clear" w:color="auto" w:fill="F2F2F2" w:themeFill="background1" w:themeFillShade="F2"/>
          </w:tcPr>
          <w:p w14:paraId="36F7F969"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Question Score</w:t>
            </w:r>
          </w:p>
        </w:tc>
        <w:tc>
          <w:tcPr>
            <w:tcW w:w="1051" w:type="dxa"/>
            <w:shd w:val="clear" w:color="auto" w:fill="F2F2F2" w:themeFill="background1" w:themeFillShade="F2"/>
          </w:tcPr>
          <w:p w14:paraId="62281386"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Question Weight</w:t>
            </w:r>
          </w:p>
        </w:tc>
      </w:tr>
      <w:tr w:rsidR="008167D8" w:rsidRPr="008B69A3" w14:paraId="5F3A09A3" w14:textId="77777777" w:rsidTr="50E117F3">
        <w:trPr>
          <w:trHeight w:val="291"/>
        </w:trPr>
        <w:tc>
          <w:tcPr>
            <w:tcW w:w="13692" w:type="dxa"/>
            <w:gridSpan w:val="5"/>
            <w:shd w:val="clear" w:color="auto" w:fill="D99594" w:themeFill="accent2" w:themeFillTint="99"/>
          </w:tcPr>
          <w:p w14:paraId="30C06045" w14:textId="636F4231" w:rsidR="008167D8" w:rsidRPr="008B69A3" w:rsidRDefault="008167D8" w:rsidP="002975A9">
            <w:pPr>
              <w:rPr>
                <w:rFonts w:asciiTheme="majorHAnsi" w:hAnsiTheme="majorHAnsi" w:cs="Arial"/>
                <w:b/>
                <w:sz w:val="22"/>
                <w:szCs w:val="22"/>
              </w:rPr>
            </w:pPr>
            <w:r w:rsidRPr="008B69A3">
              <w:rPr>
                <w:rFonts w:asciiTheme="majorHAnsi" w:hAnsiTheme="majorHAnsi" w:cs="Arial"/>
                <w:b/>
                <w:sz w:val="22"/>
                <w:szCs w:val="22"/>
              </w:rPr>
              <w:t>SERVICE PROVISION AND EXPERIENCE (</w:t>
            </w:r>
            <w:r w:rsidR="003C3067">
              <w:rPr>
                <w:rFonts w:asciiTheme="majorHAnsi" w:hAnsiTheme="majorHAnsi" w:cs="Arial"/>
                <w:b/>
                <w:sz w:val="22"/>
                <w:szCs w:val="22"/>
              </w:rPr>
              <w:t>8</w:t>
            </w:r>
            <w:r w:rsidRPr="008B69A3">
              <w:rPr>
                <w:rFonts w:asciiTheme="majorHAnsi" w:hAnsiTheme="majorHAnsi" w:cs="Arial"/>
                <w:b/>
                <w:sz w:val="22"/>
                <w:szCs w:val="22"/>
              </w:rPr>
              <w:t>0%)</w:t>
            </w:r>
          </w:p>
        </w:tc>
      </w:tr>
      <w:tr w:rsidR="008167D8" w:rsidRPr="00880C0D" w14:paraId="2178A1DD" w14:textId="77777777" w:rsidTr="50E117F3">
        <w:tc>
          <w:tcPr>
            <w:tcW w:w="4688" w:type="dxa"/>
          </w:tcPr>
          <w:p w14:paraId="5090927F" w14:textId="77777777" w:rsidR="008167D8" w:rsidRPr="0025048B" w:rsidRDefault="008167D8" w:rsidP="002975A9">
            <w:pPr>
              <w:jc w:val="both"/>
              <w:rPr>
                <w:rFonts w:asciiTheme="majorHAnsi" w:hAnsiTheme="majorHAnsi" w:cs="Arial"/>
                <w:sz w:val="22"/>
                <w:szCs w:val="22"/>
              </w:rPr>
            </w:pPr>
            <w:r w:rsidRPr="0025048B">
              <w:rPr>
                <w:rFonts w:asciiTheme="majorHAnsi" w:hAnsiTheme="majorHAnsi" w:cs="Arial"/>
                <w:sz w:val="22"/>
                <w:szCs w:val="22"/>
              </w:rPr>
              <w:t>1.Please provide details of your organisation and list the organisations, especially public sector organisations that you provide a service to.</w:t>
            </w:r>
            <w:r>
              <w:rPr>
                <w:rFonts w:asciiTheme="majorHAnsi" w:hAnsiTheme="majorHAnsi" w:cs="Arial"/>
                <w:sz w:val="22"/>
                <w:szCs w:val="22"/>
              </w:rPr>
              <w:t xml:space="preserve"> Two references from those organisations would also be expected.</w:t>
            </w:r>
          </w:p>
        </w:tc>
        <w:tc>
          <w:tcPr>
            <w:tcW w:w="6902" w:type="dxa"/>
            <w:gridSpan w:val="2"/>
          </w:tcPr>
          <w:p w14:paraId="5550FBA3"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1ED26C77"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5</w:t>
            </w:r>
          </w:p>
        </w:tc>
        <w:tc>
          <w:tcPr>
            <w:tcW w:w="1051" w:type="dxa"/>
            <w:vAlign w:val="center"/>
          </w:tcPr>
          <w:p w14:paraId="0997D951" w14:textId="77777777" w:rsidR="008167D8" w:rsidRPr="00880C0D" w:rsidRDefault="008167D8" w:rsidP="002975A9">
            <w:pPr>
              <w:jc w:val="center"/>
              <w:rPr>
                <w:rFonts w:asciiTheme="majorHAnsi" w:hAnsiTheme="majorHAnsi" w:cs="Arial"/>
                <w:b/>
                <w:sz w:val="22"/>
                <w:szCs w:val="22"/>
              </w:rPr>
            </w:pPr>
            <w:r>
              <w:rPr>
                <w:rFonts w:asciiTheme="majorHAnsi" w:hAnsiTheme="majorHAnsi" w:cs="Arial"/>
                <w:b/>
                <w:sz w:val="22"/>
                <w:szCs w:val="22"/>
              </w:rPr>
              <w:t>2</w:t>
            </w:r>
          </w:p>
        </w:tc>
      </w:tr>
      <w:tr w:rsidR="00F25D2D" w:rsidRPr="00880C0D" w14:paraId="33FEDAAC" w14:textId="77777777" w:rsidTr="50E117F3">
        <w:tc>
          <w:tcPr>
            <w:tcW w:w="4688" w:type="dxa"/>
          </w:tcPr>
          <w:p w14:paraId="75F41B5C" w14:textId="5E74F119" w:rsidR="00F25D2D" w:rsidRPr="00F25D2D" w:rsidRDefault="00636149" w:rsidP="00F25D2D">
            <w:pPr>
              <w:jc w:val="both"/>
              <w:rPr>
                <w:rFonts w:asciiTheme="majorHAnsi" w:hAnsiTheme="majorHAnsi" w:cs="Arial"/>
                <w:sz w:val="22"/>
                <w:szCs w:val="22"/>
              </w:rPr>
            </w:pPr>
            <w:r>
              <w:rPr>
                <w:rFonts w:asciiTheme="majorHAnsi" w:hAnsiTheme="majorHAnsi" w:cs="Arial"/>
                <w:sz w:val="22"/>
                <w:szCs w:val="22"/>
              </w:rPr>
              <w:t>2</w:t>
            </w:r>
            <w:r w:rsidR="00F25D2D">
              <w:rPr>
                <w:rFonts w:asciiTheme="majorHAnsi" w:hAnsiTheme="majorHAnsi" w:cs="Arial"/>
                <w:sz w:val="22"/>
                <w:szCs w:val="22"/>
              </w:rPr>
              <w:t>. Please provide</w:t>
            </w:r>
            <w:r>
              <w:rPr>
                <w:rFonts w:asciiTheme="majorHAnsi" w:hAnsiTheme="majorHAnsi" w:cs="Arial"/>
                <w:sz w:val="22"/>
                <w:szCs w:val="22"/>
              </w:rPr>
              <w:t xml:space="preserve"> at least two</w:t>
            </w:r>
            <w:r w:rsidR="00F25D2D">
              <w:rPr>
                <w:rFonts w:asciiTheme="majorHAnsi" w:hAnsiTheme="majorHAnsi" w:cs="Arial"/>
                <w:sz w:val="22"/>
                <w:szCs w:val="22"/>
              </w:rPr>
              <w:t xml:space="preserve"> case study examples of previous successful Crowdfunder projects</w:t>
            </w:r>
            <w:r>
              <w:rPr>
                <w:rFonts w:asciiTheme="majorHAnsi" w:hAnsiTheme="majorHAnsi" w:cs="Arial"/>
                <w:sz w:val="22"/>
                <w:szCs w:val="22"/>
              </w:rPr>
              <w:t xml:space="preserve"> through your platform.</w:t>
            </w:r>
          </w:p>
        </w:tc>
        <w:tc>
          <w:tcPr>
            <w:tcW w:w="6902" w:type="dxa"/>
            <w:gridSpan w:val="2"/>
          </w:tcPr>
          <w:p w14:paraId="30CA8CDD" w14:textId="77777777" w:rsidR="00F25D2D" w:rsidRPr="008B69A3" w:rsidRDefault="00F25D2D" w:rsidP="002975A9">
            <w:pPr>
              <w:ind w:left="720"/>
              <w:contextualSpacing/>
              <w:rPr>
                <w:rFonts w:asciiTheme="majorHAnsi" w:hAnsiTheme="majorHAnsi" w:cs="Arial"/>
                <w:sz w:val="22"/>
                <w:szCs w:val="22"/>
              </w:rPr>
            </w:pPr>
          </w:p>
        </w:tc>
        <w:tc>
          <w:tcPr>
            <w:tcW w:w="1051" w:type="dxa"/>
            <w:vAlign w:val="center"/>
          </w:tcPr>
          <w:p w14:paraId="658AB840" w14:textId="48A92349" w:rsidR="00F25D2D" w:rsidRPr="008B69A3" w:rsidRDefault="00984F5F" w:rsidP="002975A9">
            <w:pPr>
              <w:jc w:val="center"/>
              <w:rPr>
                <w:rFonts w:asciiTheme="majorHAnsi" w:hAnsiTheme="majorHAnsi" w:cs="Arial"/>
                <w:b/>
                <w:sz w:val="22"/>
                <w:szCs w:val="22"/>
              </w:rPr>
            </w:pPr>
            <w:r>
              <w:rPr>
                <w:rFonts w:asciiTheme="majorHAnsi" w:hAnsiTheme="majorHAnsi" w:cs="Arial"/>
                <w:b/>
                <w:sz w:val="22"/>
                <w:szCs w:val="22"/>
              </w:rPr>
              <w:t>5</w:t>
            </w:r>
          </w:p>
        </w:tc>
        <w:tc>
          <w:tcPr>
            <w:tcW w:w="1051" w:type="dxa"/>
            <w:vAlign w:val="center"/>
          </w:tcPr>
          <w:p w14:paraId="15CB5169" w14:textId="21F12565" w:rsidR="00F25D2D" w:rsidRDefault="003C3067" w:rsidP="002975A9">
            <w:pPr>
              <w:jc w:val="center"/>
              <w:rPr>
                <w:rFonts w:asciiTheme="majorHAnsi" w:hAnsiTheme="majorHAnsi" w:cs="Arial"/>
                <w:b/>
                <w:sz w:val="22"/>
                <w:szCs w:val="22"/>
              </w:rPr>
            </w:pPr>
            <w:r>
              <w:rPr>
                <w:rFonts w:asciiTheme="majorHAnsi" w:hAnsiTheme="majorHAnsi" w:cs="Arial"/>
                <w:b/>
                <w:sz w:val="22"/>
                <w:szCs w:val="22"/>
              </w:rPr>
              <w:t>3</w:t>
            </w:r>
          </w:p>
        </w:tc>
      </w:tr>
      <w:tr w:rsidR="008167D8" w:rsidRPr="00880C0D" w14:paraId="10CBB866" w14:textId="77777777" w:rsidTr="50E117F3">
        <w:tc>
          <w:tcPr>
            <w:tcW w:w="4688" w:type="dxa"/>
          </w:tcPr>
          <w:p w14:paraId="2BE65FEC" w14:textId="544B678E" w:rsidR="008167D8" w:rsidRPr="00473939" w:rsidRDefault="00F25D2D" w:rsidP="002975A9">
            <w:pPr>
              <w:jc w:val="both"/>
              <w:rPr>
                <w:rFonts w:asciiTheme="majorHAnsi" w:hAnsiTheme="majorHAnsi" w:cs="Arial"/>
                <w:sz w:val="22"/>
                <w:szCs w:val="22"/>
                <w:highlight w:val="yellow"/>
              </w:rPr>
            </w:pPr>
            <w:r>
              <w:rPr>
                <w:rFonts w:asciiTheme="majorHAnsi" w:hAnsiTheme="majorHAnsi" w:cs="Arial"/>
                <w:sz w:val="22"/>
                <w:szCs w:val="22"/>
              </w:rPr>
              <w:t>3</w:t>
            </w:r>
            <w:r w:rsidR="008167D8" w:rsidRPr="000D5AB4">
              <w:rPr>
                <w:rFonts w:asciiTheme="majorHAnsi" w:hAnsiTheme="majorHAnsi" w:cs="Arial"/>
                <w:sz w:val="22"/>
                <w:szCs w:val="22"/>
              </w:rPr>
              <w:t xml:space="preserve">. Please outline a typical timeline for </w:t>
            </w:r>
            <w:r w:rsidR="008167D8">
              <w:rPr>
                <w:rFonts w:asciiTheme="majorHAnsi" w:hAnsiTheme="majorHAnsi" w:cs="Arial"/>
                <w:sz w:val="22"/>
                <w:szCs w:val="22"/>
              </w:rPr>
              <w:t>developing and delivering the crowdfunder platform</w:t>
            </w:r>
            <w:r w:rsidR="008167D8" w:rsidRPr="000D5AB4">
              <w:rPr>
                <w:rFonts w:asciiTheme="majorHAnsi" w:hAnsiTheme="majorHAnsi" w:cs="Arial"/>
                <w:sz w:val="22"/>
                <w:szCs w:val="22"/>
              </w:rPr>
              <w:t>.</w:t>
            </w:r>
          </w:p>
        </w:tc>
        <w:tc>
          <w:tcPr>
            <w:tcW w:w="6902" w:type="dxa"/>
            <w:gridSpan w:val="2"/>
          </w:tcPr>
          <w:p w14:paraId="3FFAA2E5"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0D4813F2"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5</w:t>
            </w:r>
          </w:p>
        </w:tc>
        <w:tc>
          <w:tcPr>
            <w:tcW w:w="1051" w:type="dxa"/>
            <w:vAlign w:val="center"/>
          </w:tcPr>
          <w:p w14:paraId="2131DBD8" w14:textId="77777777" w:rsidR="008167D8" w:rsidRPr="00880C0D" w:rsidRDefault="008167D8" w:rsidP="002975A9">
            <w:pPr>
              <w:jc w:val="center"/>
              <w:rPr>
                <w:rFonts w:asciiTheme="majorHAnsi" w:hAnsiTheme="majorHAnsi" w:cs="Arial"/>
                <w:b/>
                <w:sz w:val="22"/>
                <w:szCs w:val="22"/>
              </w:rPr>
            </w:pPr>
            <w:r>
              <w:rPr>
                <w:rFonts w:asciiTheme="majorHAnsi" w:hAnsiTheme="majorHAnsi" w:cs="Arial"/>
                <w:b/>
                <w:sz w:val="22"/>
                <w:szCs w:val="22"/>
              </w:rPr>
              <w:t>2</w:t>
            </w:r>
          </w:p>
        </w:tc>
      </w:tr>
      <w:tr w:rsidR="008167D8" w:rsidRPr="00880C0D" w14:paraId="2C252E6A" w14:textId="77777777" w:rsidTr="50E117F3">
        <w:tc>
          <w:tcPr>
            <w:tcW w:w="4688" w:type="dxa"/>
          </w:tcPr>
          <w:p w14:paraId="726DED1B" w14:textId="3D3485EA" w:rsidR="008167D8" w:rsidRPr="00FA233A" w:rsidRDefault="00F25D2D" w:rsidP="002975A9">
            <w:pPr>
              <w:jc w:val="both"/>
              <w:rPr>
                <w:rFonts w:asciiTheme="majorHAnsi" w:hAnsiTheme="majorHAnsi" w:cs="Arial"/>
                <w:sz w:val="22"/>
                <w:szCs w:val="22"/>
              </w:rPr>
            </w:pPr>
            <w:r>
              <w:rPr>
                <w:rFonts w:asciiTheme="majorHAnsi" w:hAnsiTheme="majorHAnsi" w:cs="Arial"/>
                <w:sz w:val="22"/>
                <w:szCs w:val="22"/>
              </w:rPr>
              <w:t>4</w:t>
            </w:r>
            <w:r w:rsidR="008167D8" w:rsidRPr="00FA233A">
              <w:rPr>
                <w:rFonts w:asciiTheme="majorHAnsi" w:hAnsiTheme="majorHAnsi" w:cs="Arial"/>
                <w:sz w:val="22"/>
                <w:szCs w:val="22"/>
              </w:rPr>
              <w:t xml:space="preserve">. Please provide how the support services </w:t>
            </w:r>
            <w:r w:rsidR="008167D8">
              <w:rPr>
                <w:rFonts w:asciiTheme="majorHAnsi" w:hAnsiTheme="majorHAnsi" w:cs="Arial"/>
                <w:sz w:val="22"/>
                <w:szCs w:val="22"/>
              </w:rPr>
              <w:t>are</w:t>
            </w:r>
            <w:r w:rsidR="008167D8" w:rsidRPr="00FA233A">
              <w:rPr>
                <w:rFonts w:asciiTheme="majorHAnsi" w:hAnsiTheme="majorHAnsi" w:cs="Arial"/>
                <w:sz w:val="22"/>
                <w:szCs w:val="22"/>
              </w:rPr>
              <w:t xml:space="preserve"> delivered</w:t>
            </w:r>
            <w:r w:rsidR="008167D8">
              <w:rPr>
                <w:rFonts w:asciiTheme="majorHAnsi" w:hAnsiTheme="majorHAnsi" w:cs="Arial"/>
                <w:sz w:val="22"/>
                <w:szCs w:val="22"/>
              </w:rPr>
              <w:t>.</w:t>
            </w:r>
          </w:p>
        </w:tc>
        <w:tc>
          <w:tcPr>
            <w:tcW w:w="6902" w:type="dxa"/>
            <w:gridSpan w:val="2"/>
          </w:tcPr>
          <w:p w14:paraId="7E2E0CA8"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47A87FF1"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5</w:t>
            </w:r>
          </w:p>
        </w:tc>
        <w:tc>
          <w:tcPr>
            <w:tcW w:w="1051" w:type="dxa"/>
            <w:vAlign w:val="center"/>
          </w:tcPr>
          <w:p w14:paraId="26412495" w14:textId="77777777" w:rsidR="008167D8" w:rsidRPr="00880C0D" w:rsidRDefault="008167D8" w:rsidP="002975A9">
            <w:pPr>
              <w:jc w:val="center"/>
              <w:rPr>
                <w:rFonts w:asciiTheme="majorHAnsi" w:hAnsiTheme="majorHAnsi" w:cs="Arial"/>
                <w:b/>
                <w:sz w:val="22"/>
                <w:szCs w:val="22"/>
              </w:rPr>
            </w:pPr>
            <w:r>
              <w:rPr>
                <w:rFonts w:asciiTheme="majorHAnsi" w:hAnsiTheme="majorHAnsi" w:cs="Arial"/>
                <w:b/>
                <w:sz w:val="22"/>
                <w:szCs w:val="22"/>
              </w:rPr>
              <w:t>2</w:t>
            </w:r>
          </w:p>
        </w:tc>
      </w:tr>
      <w:tr w:rsidR="008167D8" w:rsidRPr="00880C0D" w14:paraId="1699F12C" w14:textId="77777777" w:rsidTr="50E117F3">
        <w:tc>
          <w:tcPr>
            <w:tcW w:w="4688" w:type="dxa"/>
          </w:tcPr>
          <w:p w14:paraId="29725A85" w14:textId="257A1FA1" w:rsidR="008167D8" w:rsidRPr="00BC6436" w:rsidRDefault="00F25D2D" w:rsidP="002975A9">
            <w:pPr>
              <w:jc w:val="both"/>
              <w:rPr>
                <w:rFonts w:asciiTheme="majorHAnsi" w:hAnsiTheme="majorHAnsi" w:cs="Arial"/>
                <w:sz w:val="22"/>
                <w:szCs w:val="22"/>
              </w:rPr>
            </w:pPr>
            <w:r>
              <w:rPr>
                <w:rFonts w:asciiTheme="majorHAnsi" w:hAnsiTheme="majorHAnsi" w:cs="Arial"/>
                <w:sz w:val="22"/>
                <w:szCs w:val="22"/>
              </w:rPr>
              <w:t>5</w:t>
            </w:r>
            <w:r w:rsidR="008167D8" w:rsidRPr="00BC6436">
              <w:rPr>
                <w:rFonts w:asciiTheme="majorHAnsi" w:hAnsiTheme="majorHAnsi" w:cs="Arial"/>
                <w:sz w:val="22"/>
                <w:szCs w:val="22"/>
              </w:rPr>
              <w:t>. Please give examples of typical Service Level Agreements.</w:t>
            </w:r>
          </w:p>
        </w:tc>
        <w:tc>
          <w:tcPr>
            <w:tcW w:w="6902" w:type="dxa"/>
            <w:gridSpan w:val="2"/>
          </w:tcPr>
          <w:p w14:paraId="23077B22"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710B8085"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5</w:t>
            </w:r>
          </w:p>
        </w:tc>
        <w:tc>
          <w:tcPr>
            <w:tcW w:w="1051" w:type="dxa"/>
            <w:vAlign w:val="center"/>
          </w:tcPr>
          <w:p w14:paraId="614E5EDB" w14:textId="77777777" w:rsidR="008167D8" w:rsidRPr="00880C0D" w:rsidRDefault="008167D8" w:rsidP="002975A9">
            <w:pPr>
              <w:jc w:val="center"/>
              <w:rPr>
                <w:rFonts w:asciiTheme="majorHAnsi" w:hAnsiTheme="majorHAnsi" w:cs="Arial"/>
                <w:b/>
                <w:sz w:val="22"/>
                <w:szCs w:val="22"/>
              </w:rPr>
            </w:pPr>
            <w:r>
              <w:rPr>
                <w:rFonts w:asciiTheme="majorHAnsi" w:hAnsiTheme="majorHAnsi" w:cs="Arial"/>
                <w:b/>
                <w:sz w:val="22"/>
                <w:szCs w:val="22"/>
              </w:rPr>
              <w:t>1</w:t>
            </w:r>
          </w:p>
        </w:tc>
      </w:tr>
      <w:tr w:rsidR="008167D8" w:rsidRPr="00880C0D" w14:paraId="623C9FC4" w14:textId="77777777" w:rsidTr="50E117F3">
        <w:tc>
          <w:tcPr>
            <w:tcW w:w="4688" w:type="dxa"/>
          </w:tcPr>
          <w:p w14:paraId="2AC5D0E5" w14:textId="6EA2543C" w:rsidR="008167D8" w:rsidRPr="006F5051" w:rsidRDefault="00F25D2D" w:rsidP="002975A9">
            <w:pPr>
              <w:jc w:val="both"/>
              <w:rPr>
                <w:rFonts w:asciiTheme="majorHAnsi" w:hAnsiTheme="majorHAnsi" w:cs="Arial"/>
                <w:sz w:val="22"/>
                <w:szCs w:val="22"/>
              </w:rPr>
            </w:pPr>
            <w:r>
              <w:rPr>
                <w:rFonts w:asciiTheme="majorHAnsi" w:hAnsiTheme="majorHAnsi" w:cs="Arial"/>
                <w:sz w:val="22"/>
                <w:szCs w:val="22"/>
              </w:rPr>
              <w:t>6</w:t>
            </w:r>
            <w:r w:rsidR="008167D8" w:rsidRPr="006F5051">
              <w:rPr>
                <w:rFonts w:asciiTheme="majorHAnsi" w:hAnsiTheme="majorHAnsi" w:cs="Arial"/>
                <w:sz w:val="22"/>
                <w:szCs w:val="22"/>
              </w:rPr>
              <w:t xml:space="preserve">. </w:t>
            </w:r>
            <w:r w:rsidR="008167D8">
              <w:rPr>
                <w:rFonts w:asciiTheme="majorHAnsi" w:hAnsiTheme="majorHAnsi" w:cs="Arial"/>
                <w:sz w:val="22"/>
                <w:szCs w:val="22"/>
              </w:rPr>
              <w:t>An assessment of the</w:t>
            </w:r>
            <w:r w:rsidR="008167D8" w:rsidRPr="006F5051">
              <w:rPr>
                <w:rFonts w:asciiTheme="majorHAnsi" w:hAnsiTheme="majorHAnsi" w:cs="Arial"/>
                <w:sz w:val="22"/>
                <w:szCs w:val="22"/>
              </w:rPr>
              <w:t xml:space="preserve"> functionality and usability of the product</w:t>
            </w:r>
            <w:r w:rsidR="00984F5F">
              <w:rPr>
                <w:rFonts w:asciiTheme="majorHAnsi" w:hAnsiTheme="majorHAnsi" w:cs="Arial"/>
                <w:sz w:val="22"/>
                <w:szCs w:val="22"/>
              </w:rPr>
              <w:t>, including the focus on a rewards-based crowdfunding approach</w:t>
            </w:r>
            <w:r w:rsidR="008167D8">
              <w:rPr>
                <w:rFonts w:asciiTheme="majorHAnsi" w:hAnsiTheme="majorHAnsi" w:cs="Arial"/>
                <w:sz w:val="22"/>
                <w:szCs w:val="22"/>
              </w:rPr>
              <w:t>. (Please confirm how this will be done).</w:t>
            </w:r>
          </w:p>
        </w:tc>
        <w:tc>
          <w:tcPr>
            <w:tcW w:w="6902" w:type="dxa"/>
            <w:gridSpan w:val="2"/>
          </w:tcPr>
          <w:p w14:paraId="01EBA59B"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483CD891"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5</w:t>
            </w:r>
          </w:p>
        </w:tc>
        <w:tc>
          <w:tcPr>
            <w:tcW w:w="1051" w:type="dxa"/>
            <w:vAlign w:val="center"/>
          </w:tcPr>
          <w:p w14:paraId="614D016D" w14:textId="1686B3B7" w:rsidR="008167D8" w:rsidRPr="00880C0D" w:rsidRDefault="00984F5F" w:rsidP="002975A9">
            <w:pPr>
              <w:jc w:val="center"/>
              <w:rPr>
                <w:rFonts w:asciiTheme="majorHAnsi" w:hAnsiTheme="majorHAnsi" w:cs="Arial"/>
                <w:b/>
                <w:sz w:val="22"/>
                <w:szCs w:val="22"/>
              </w:rPr>
            </w:pPr>
            <w:r>
              <w:rPr>
                <w:rFonts w:asciiTheme="majorHAnsi" w:hAnsiTheme="majorHAnsi" w:cs="Arial"/>
                <w:b/>
                <w:sz w:val="22"/>
                <w:szCs w:val="22"/>
              </w:rPr>
              <w:t>4</w:t>
            </w:r>
          </w:p>
        </w:tc>
      </w:tr>
      <w:tr w:rsidR="008167D8" w:rsidRPr="00880C0D" w14:paraId="21BBA68E" w14:textId="77777777" w:rsidTr="50E117F3">
        <w:tc>
          <w:tcPr>
            <w:tcW w:w="4688" w:type="dxa"/>
          </w:tcPr>
          <w:p w14:paraId="4ACA14FE" w14:textId="102DEDCD" w:rsidR="008167D8" w:rsidRPr="00473939" w:rsidRDefault="00F25D2D" w:rsidP="002975A9">
            <w:pPr>
              <w:jc w:val="both"/>
              <w:rPr>
                <w:rFonts w:asciiTheme="majorHAnsi" w:hAnsiTheme="majorHAnsi" w:cs="Arial"/>
                <w:sz w:val="22"/>
                <w:szCs w:val="22"/>
                <w:highlight w:val="yellow"/>
              </w:rPr>
            </w:pPr>
            <w:r>
              <w:rPr>
                <w:rFonts w:asciiTheme="majorHAnsi" w:hAnsiTheme="majorHAnsi" w:cs="Arial"/>
                <w:sz w:val="22"/>
                <w:szCs w:val="22"/>
              </w:rPr>
              <w:t>7</w:t>
            </w:r>
            <w:r w:rsidR="008167D8" w:rsidRPr="00D10CD3">
              <w:rPr>
                <w:rFonts w:asciiTheme="majorHAnsi" w:hAnsiTheme="majorHAnsi" w:cs="Arial"/>
                <w:sz w:val="22"/>
                <w:szCs w:val="22"/>
              </w:rPr>
              <w:t>. Please provide a copy of your organisations Equality policy and confirm the lowest hourly rate paid to your employees.</w:t>
            </w:r>
          </w:p>
        </w:tc>
        <w:tc>
          <w:tcPr>
            <w:tcW w:w="6902" w:type="dxa"/>
            <w:gridSpan w:val="2"/>
          </w:tcPr>
          <w:p w14:paraId="4594389A"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624C4E19" w14:textId="77777777" w:rsidR="008167D8" w:rsidRPr="008B69A3" w:rsidRDefault="008167D8" w:rsidP="002975A9">
            <w:pPr>
              <w:jc w:val="center"/>
              <w:rPr>
                <w:rFonts w:asciiTheme="majorHAnsi" w:hAnsiTheme="majorHAnsi" w:cs="Arial"/>
                <w:b/>
                <w:sz w:val="22"/>
                <w:szCs w:val="22"/>
              </w:rPr>
            </w:pPr>
            <w:r>
              <w:rPr>
                <w:rFonts w:asciiTheme="majorHAnsi" w:hAnsiTheme="majorHAnsi" w:cs="Arial"/>
                <w:b/>
                <w:sz w:val="22"/>
                <w:szCs w:val="22"/>
              </w:rPr>
              <w:t>5</w:t>
            </w:r>
          </w:p>
        </w:tc>
        <w:tc>
          <w:tcPr>
            <w:tcW w:w="1051" w:type="dxa"/>
            <w:vAlign w:val="center"/>
          </w:tcPr>
          <w:p w14:paraId="245D1357" w14:textId="77777777" w:rsidR="008167D8" w:rsidRDefault="008167D8" w:rsidP="002975A9">
            <w:pPr>
              <w:jc w:val="center"/>
              <w:rPr>
                <w:rFonts w:asciiTheme="majorHAnsi" w:hAnsiTheme="majorHAnsi" w:cs="Arial"/>
                <w:b/>
                <w:sz w:val="22"/>
                <w:szCs w:val="22"/>
              </w:rPr>
            </w:pPr>
            <w:r>
              <w:rPr>
                <w:rFonts w:asciiTheme="majorHAnsi" w:hAnsiTheme="majorHAnsi" w:cs="Arial"/>
                <w:b/>
                <w:sz w:val="22"/>
                <w:szCs w:val="22"/>
              </w:rPr>
              <w:t>1</w:t>
            </w:r>
          </w:p>
        </w:tc>
      </w:tr>
      <w:tr w:rsidR="008167D8" w:rsidRPr="00880C0D" w14:paraId="450CE365" w14:textId="77777777" w:rsidTr="50E117F3">
        <w:tc>
          <w:tcPr>
            <w:tcW w:w="4688" w:type="dxa"/>
          </w:tcPr>
          <w:p w14:paraId="36F16709" w14:textId="5CB89ABD" w:rsidR="008167D8" w:rsidRPr="00312CAA" w:rsidRDefault="00F25D2D" w:rsidP="002975A9">
            <w:pPr>
              <w:rPr>
                <w:rFonts w:asciiTheme="majorHAnsi" w:hAnsiTheme="majorHAnsi" w:cs="Arial"/>
                <w:sz w:val="22"/>
                <w:szCs w:val="22"/>
              </w:rPr>
            </w:pPr>
            <w:r>
              <w:rPr>
                <w:rFonts w:asciiTheme="majorHAnsi" w:hAnsiTheme="majorHAnsi" w:cs="Arial"/>
                <w:sz w:val="22"/>
                <w:szCs w:val="22"/>
              </w:rPr>
              <w:t>8</w:t>
            </w:r>
            <w:r w:rsidR="008167D8">
              <w:rPr>
                <w:rFonts w:asciiTheme="majorHAnsi" w:hAnsiTheme="majorHAnsi" w:cs="Arial"/>
                <w:sz w:val="22"/>
                <w:szCs w:val="22"/>
              </w:rPr>
              <w:t>. S</w:t>
            </w:r>
            <w:r w:rsidR="008167D8" w:rsidRPr="00312CAA">
              <w:rPr>
                <w:rFonts w:asciiTheme="majorHAnsi" w:hAnsiTheme="majorHAnsi" w:cs="Arial"/>
                <w:sz w:val="22"/>
                <w:szCs w:val="22"/>
              </w:rPr>
              <w:t>port Wales is committed to addressing inequalities within sport. Please outline what steps you have taken to ensure equal opportunities for all within your organisation.</w:t>
            </w:r>
          </w:p>
          <w:p w14:paraId="660A88C1" w14:textId="77777777" w:rsidR="008167D8" w:rsidRPr="00D10CD3" w:rsidRDefault="008167D8" w:rsidP="002975A9">
            <w:pPr>
              <w:jc w:val="both"/>
              <w:rPr>
                <w:rFonts w:asciiTheme="majorHAnsi" w:hAnsiTheme="majorHAnsi" w:cs="Arial"/>
                <w:sz w:val="22"/>
                <w:szCs w:val="22"/>
              </w:rPr>
            </w:pPr>
          </w:p>
        </w:tc>
        <w:tc>
          <w:tcPr>
            <w:tcW w:w="6902" w:type="dxa"/>
            <w:gridSpan w:val="2"/>
          </w:tcPr>
          <w:p w14:paraId="3D2D2EB4"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09657A06" w14:textId="77777777" w:rsidR="008167D8" w:rsidRDefault="008167D8" w:rsidP="002975A9">
            <w:pPr>
              <w:jc w:val="center"/>
              <w:rPr>
                <w:rFonts w:asciiTheme="majorHAnsi" w:hAnsiTheme="majorHAnsi" w:cs="Arial"/>
                <w:b/>
                <w:sz w:val="22"/>
                <w:szCs w:val="22"/>
              </w:rPr>
            </w:pPr>
            <w:r>
              <w:rPr>
                <w:rFonts w:asciiTheme="majorHAnsi" w:hAnsiTheme="majorHAnsi" w:cs="Arial"/>
                <w:b/>
                <w:sz w:val="22"/>
                <w:szCs w:val="22"/>
              </w:rPr>
              <w:t>5</w:t>
            </w:r>
          </w:p>
        </w:tc>
        <w:tc>
          <w:tcPr>
            <w:tcW w:w="1051" w:type="dxa"/>
            <w:vAlign w:val="center"/>
          </w:tcPr>
          <w:p w14:paraId="1506E85D" w14:textId="77777777" w:rsidR="008167D8" w:rsidRDefault="008167D8" w:rsidP="002975A9">
            <w:pPr>
              <w:jc w:val="center"/>
              <w:rPr>
                <w:rFonts w:asciiTheme="majorHAnsi" w:hAnsiTheme="majorHAnsi" w:cs="Arial"/>
                <w:b/>
                <w:sz w:val="22"/>
                <w:szCs w:val="22"/>
              </w:rPr>
            </w:pPr>
            <w:r>
              <w:rPr>
                <w:rFonts w:asciiTheme="majorHAnsi" w:hAnsiTheme="majorHAnsi" w:cs="Arial"/>
                <w:b/>
                <w:sz w:val="22"/>
                <w:szCs w:val="22"/>
              </w:rPr>
              <w:t>1</w:t>
            </w:r>
          </w:p>
        </w:tc>
      </w:tr>
      <w:tr w:rsidR="008167D8" w:rsidRPr="008B69A3" w14:paraId="31C54CF6" w14:textId="77777777" w:rsidTr="50E117F3">
        <w:tc>
          <w:tcPr>
            <w:tcW w:w="13692" w:type="dxa"/>
            <w:gridSpan w:val="5"/>
            <w:tcBorders>
              <w:top w:val="single" w:sz="4" w:space="0" w:color="auto"/>
            </w:tcBorders>
            <w:shd w:val="clear" w:color="auto" w:fill="D99594" w:themeFill="accent2" w:themeFillTint="99"/>
          </w:tcPr>
          <w:p w14:paraId="1A7C6898" w14:textId="66E40C95" w:rsidR="008167D8" w:rsidRPr="008B69A3" w:rsidRDefault="008167D8" w:rsidP="002975A9">
            <w:pPr>
              <w:contextualSpacing/>
              <w:jc w:val="both"/>
              <w:rPr>
                <w:rFonts w:asciiTheme="majorHAnsi" w:hAnsiTheme="majorHAnsi" w:cs="Arial"/>
                <w:sz w:val="22"/>
                <w:szCs w:val="22"/>
              </w:rPr>
            </w:pPr>
            <w:r w:rsidRPr="008B69A3">
              <w:rPr>
                <w:rFonts w:asciiTheme="majorHAnsi" w:hAnsiTheme="majorHAnsi" w:cs="Arial"/>
                <w:b/>
                <w:sz w:val="22"/>
                <w:szCs w:val="22"/>
              </w:rPr>
              <w:t>COMMERCIAL RESPONSE (</w:t>
            </w:r>
            <w:r w:rsidR="003C3067">
              <w:rPr>
                <w:rFonts w:asciiTheme="majorHAnsi" w:hAnsiTheme="majorHAnsi" w:cs="Arial"/>
                <w:b/>
                <w:sz w:val="22"/>
                <w:szCs w:val="22"/>
              </w:rPr>
              <w:t>2</w:t>
            </w:r>
            <w:r w:rsidRPr="008B69A3">
              <w:rPr>
                <w:rFonts w:asciiTheme="majorHAnsi" w:hAnsiTheme="majorHAnsi" w:cs="Arial"/>
                <w:b/>
                <w:sz w:val="22"/>
                <w:szCs w:val="22"/>
              </w:rPr>
              <w:t>0%)</w:t>
            </w:r>
          </w:p>
        </w:tc>
      </w:tr>
      <w:tr w:rsidR="008167D8" w:rsidRPr="00880C0D" w14:paraId="317A60F0" w14:textId="77777777" w:rsidTr="50E117F3">
        <w:tc>
          <w:tcPr>
            <w:tcW w:w="4688" w:type="dxa"/>
          </w:tcPr>
          <w:p w14:paraId="7926469D" w14:textId="08D9DFEF" w:rsidR="008167D8" w:rsidRDefault="008167D8" w:rsidP="002975A9">
            <w:pPr>
              <w:spacing w:after="480"/>
              <w:contextualSpacing/>
              <w:rPr>
                <w:rFonts w:asciiTheme="majorHAnsi" w:hAnsiTheme="majorHAnsi" w:cs="Arial"/>
                <w:sz w:val="22"/>
                <w:szCs w:val="22"/>
              </w:rPr>
            </w:pPr>
            <w:r>
              <w:rPr>
                <w:rFonts w:asciiTheme="majorHAnsi" w:hAnsiTheme="majorHAnsi" w:cs="Arial"/>
                <w:sz w:val="22"/>
                <w:szCs w:val="22"/>
              </w:rPr>
              <w:lastRenderedPageBreak/>
              <w:t>1</w:t>
            </w:r>
            <w:r w:rsidRPr="008B69A3">
              <w:rPr>
                <w:rFonts w:asciiTheme="majorHAnsi" w:hAnsiTheme="majorHAnsi" w:cs="Arial"/>
                <w:sz w:val="22"/>
                <w:szCs w:val="22"/>
              </w:rPr>
              <w:t>.</w:t>
            </w:r>
            <w:r>
              <w:rPr>
                <w:rFonts w:asciiTheme="majorHAnsi" w:hAnsiTheme="majorHAnsi" w:cs="Arial"/>
                <w:sz w:val="22"/>
                <w:szCs w:val="22"/>
              </w:rPr>
              <w:t xml:space="preserve"> Please p</w:t>
            </w:r>
            <w:r w:rsidRPr="008B69A3">
              <w:rPr>
                <w:rFonts w:asciiTheme="majorHAnsi" w:hAnsiTheme="majorHAnsi" w:cs="Arial"/>
                <w:sz w:val="22"/>
                <w:szCs w:val="22"/>
              </w:rPr>
              <w:t xml:space="preserve">rovide </w:t>
            </w:r>
            <w:r>
              <w:rPr>
                <w:rFonts w:asciiTheme="majorHAnsi" w:hAnsiTheme="majorHAnsi" w:cs="Arial"/>
                <w:sz w:val="22"/>
                <w:szCs w:val="22"/>
              </w:rPr>
              <w:t xml:space="preserve">the total cost based on a </w:t>
            </w:r>
            <w:r w:rsidR="0093324C">
              <w:rPr>
                <w:rFonts w:asciiTheme="majorHAnsi" w:hAnsiTheme="majorHAnsi" w:cs="Arial"/>
                <w:sz w:val="22"/>
                <w:szCs w:val="22"/>
              </w:rPr>
              <w:t>3-year</w:t>
            </w:r>
            <w:r>
              <w:rPr>
                <w:rFonts w:asciiTheme="majorHAnsi" w:hAnsiTheme="majorHAnsi" w:cs="Arial"/>
                <w:sz w:val="22"/>
                <w:szCs w:val="22"/>
              </w:rPr>
              <w:t xml:space="preserve"> contract to include subscription, hosting, webinar and ongoing service costs.</w:t>
            </w:r>
          </w:p>
          <w:p w14:paraId="4C6FFFA7" w14:textId="77777777" w:rsidR="008167D8" w:rsidRPr="00AB7C48" w:rsidRDefault="008167D8" w:rsidP="002975A9">
            <w:pPr>
              <w:spacing w:after="480"/>
              <w:contextualSpacing/>
              <w:rPr>
                <w:rFonts w:asciiTheme="majorHAnsi" w:hAnsiTheme="majorHAnsi" w:cs="Calibri"/>
                <w:b/>
                <w:sz w:val="22"/>
                <w:szCs w:val="22"/>
              </w:rPr>
            </w:pPr>
          </w:p>
        </w:tc>
        <w:tc>
          <w:tcPr>
            <w:tcW w:w="6902" w:type="dxa"/>
            <w:gridSpan w:val="2"/>
          </w:tcPr>
          <w:p w14:paraId="7FAF8501" w14:textId="77777777" w:rsidR="008167D8" w:rsidRPr="008B69A3" w:rsidRDefault="008167D8" w:rsidP="002975A9">
            <w:pPr>
              <w:ind w:left="720"/>
              <w:contextualSpacing/>
              <w:rPr>
                <w:rFonts w:asciiTheme="majorHAnsi" w:hAnsiTheme="majorHAnsi" w:cs="Arial"/>
                <w:sz w:val="22"/>
                <w:szCs w:val="22"/>
              </w:rPr>
            </w:pPr>
          </w:p>
        </w:tc>
        <w:tc>
          <w:tcPr>
            <w:tcW w:w="1051" w:type="dxa"/>
            <w:vAlign w:val="center"/>
          </w:tcPr>
          <w:p w14:paraId="0B8E6151" w14:textId="77777777" w:rsidR="008167D8" w:rsidRPr="008B69A3" w:rsidRDefault="008167D8" w:rsidP="002975A9">
            <w:pPr>
              <w:jc w:val="center"/>
              <w:rPr>
                <w:rFonts w:asciiTheme="majorHAnsi" w:hAnsiTheme="majorHAnsi" w:cs="Arial"/>
                <w:b/>
                <w:sz w:val="22"/>
                <w:szCs w:val="22"/>
              </w:rPr>
            </w:pPr>
            <w:r w:rsidRPr="008B69A3">
              <w:rPr>
                <w:rFonts w:asciiTheme="majorHAnsi" w:hAnsiTheme="majorHAnsi" w:cs="Arial"/>
                <w:b/>
                <w:sz w:val="22"/>
                <w:szCs w:val="22"/>
              </w:rPr>
              <w:t>5</w:t>
            </w:r>
          </w:p>
        </w:tc>
        <w:tc>
          <w:tcPr>
            <w:tcW w:w="1051" w:type="dxa"/>
            <w:vAlign w:val="center"/>
          </w:tcPr>
          <w:p w14:paraId="70380DE8" w14:textId="22A79035" w:rsidR="008167D8" w:rsidRPr="00880C0D" w:rsidRDefault="4AD170C7" w:rsidP="50E117F3">
            <w:pPr>
              <w:jc w:val="center"/>
              <w:rPr>
                <w:rFonts w:asciiTheme="majorHAnsi" w:hAnsiTheme="majorHAnsi" w:cs="Arial"/>
                <w:b/>
                <w:bCs/>
                <w:sz w:val="22"/>
                <w:szCs w:val="22"/>
              </w:rPr>
            </w:pPr>
            <w:r w:rsidRPr="50E117F3">
              <w:rPr>
                <w:rFonts w:asciiTheme="majorHAnsi" w:hAnsiTheme="majorHAnsi" w:cs="Arial"/>
                <w:b/>
                <w:bCs/>
                <w:sz w:val="22"/>
                <w:szCs w:val="22"/>
              </w:rPr>
              <w:t>1</w:t>
            </w:r>
          </w:p>
        </w:tc>
      </w:tr>
      <w:tr w:rsidR="008B69A3" w:rsidRPr="008B69A3" w14:paraId="0347EC36" w14:textId="77777777" w:rsidTr="50E117F3">
        <w:tc>
          <w:tcPr>
            <w:tcW w:w="13692" w:type="dxa"/>
            <w:gridSpan w:val="5"/>
            <w:shd w:val="clear" w:color="auto" w:fill="D9D9D9" w:themeFill="background1" w:themeFillShade="D9"/>
          </w:tcPr>
          <w:p w14:paraId="25994063" w14:textId="77777777" w:rsidR="008B69A3" w:rsidRPr="008B69A3" w:rsidRDefault="008B69A3" w:rsidP="007C4B34">
            <w:pPr>
              <w:rPr>
                <w:rFonts w:asciiTheme="majorHAnsi" w:hAnsiTheme="majorHAnsi" w:cs="Arial"/>
                <w:b/>
                <w:sz w:val="22"/>
                <w:szCs w:val="22"/>
                <w:highlight w:val="yellow"/>
              </w:rPr>
            </w:pPr>
          </w:p>
        </w:tc>
      </w:tr>
    </w:tbl>
    <w:p w14:paraId="4A6FE27A" w14:textId="77777777" w:rsidR="003B329C" w:rsidRPr="008B69A3" w:rsidRDefault="003B329C" w:rsidP="003B329C">
      <w:pPr>
        <w:spacing w:after="480"/>
        <w:contextualSpacing/>
        <w:rPr>
          <w:rFonts w:asciiTheme="majorHAnsi" w:hAnsiTheme="majorHAnsi" w:cs="Calibri"/>
          <w:sz w:val="22"/>
          <w:szCs w:val="22"/>
        </w:rPr>
      </w:pPr>
    </w:p>
    <w:p w14:paraId="7D9B5360" w14:textId="77777777" w:rsidR="00064927" w:rsidRDefault="00064927" w:rsidP="00D76323">
      <w:pPr>
        <w:spacing w:after="480"/>
        <w:contextualSpacing/>
        <w:rPr>
          <w:rFonts w:asciiTheme="majorHAnsi" w:hAnsiTheme="majorHAnsi" w:cs="Calibri"/>
          <w:b/>
          <w:sz w:val="22"/>
          <w:szCs w:val="22"/>
        </w:rPr>
      </w:pPr>
    </w:p>
    <w:p w14:paraId="4ADA7818" w14:textId="77777777" w:rsidR="00064927" w:rsidRDefault="00064927" w:rsidP="00D76323">
      <w:pPr>
        <w:spacing w:after="480"/>
        <w:contextualSpacing/>
        <w:rPr>
          <w:rFonts w:asciiTheme="majorHAnsi" w:hAnsiTheme="majorHAnsi" w:cs="Calibri"/>
          <w:b/>
          <w:sz w:val="22"/>
          <w:szCs w:val="22"/>
        </w:rPr>
      </w:pPr>
    </w:p>
    <w:p w14:paraId="3A3E120D" w14:textId="77777777" w:rsidR="00064927" w:rsidRDefault="00064927" w:rsidP="00D76323">
      <w:pPr>
        <w:spacing w:after="480"/>
        <w:contextualSpacing/>
        <w:rPr>
          <w:rFonts w:asciiTheme="majorHAnsi" w:hAnsiTheme="majorHAnsi" w:cs="Calibri"/>
          <w:b/>
          <w:sz w:val="22"/>
          <w:szCs w:val="22"/>
        </w:rPr>
      </w:pPr>
    </w:p>
    <w:sectPr w:rsidR="00064927" w:rsidSect="008B69A3">
      <w:pgSz w:w="16838" w:h="11899" w:orient="landscape"/>
      <w:pgMar w:top="1128" w:right="1418" w:bottom="1134" w:left="1701" w:header="851"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6227" w14:textId="77777777" w:rsidR="0022730F" w:rsidRDefault="0022730F" w:rsidP="00FF1C3E">
      <w:r>
        <w:separator/>
      </w:r>
    </w:p>
  </w:endnote>
  <w:endnote w:type="continuationSeparator" w:id="0">
    <w:p w14:paraId="3D141AEB" w14:textId="77777777" w:rsidR="0022730F" w:rsidRDefault="0022730F" w:rsidP="00FF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B4BB" w14:textId="77777777" w:rsidR="0022730F" w:rsidRDefault="0022730F" w:rsidP="00FF1C3E">
      <w:r>
        <w:separator/>
      </w:r>
    </w:p>
  </w:footnote>
  <w:footnote w:type="continuationSeparator" w:id="0">
    <w:p w14:paraId="5160BDD7" w14:textId="77777777" w:rsidR="0022730F" w:rsidRDefault="0022730F" w:rsidP="00FF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0433" w14:textId="77777777" w:rsidR="009F5A05" w:rsidRPr="009F5A05" w:rsidRDefault="009F5A05">
    <w:pPr>
      <w:pStyle w:val="Header"/>
      <w:rPr>
        <w:b/>
      </w:rPr>
    </w:pPr>
    <w:r>
      <w:rPr>
        <w:noProof/>
        <w:lang w:eastAsia="en-GB"/>
      </w:rPr>
      <w:drawing>
        <wp:anchor distT="0" distB="0" distL="114300" distR="114300" simplePos="0" relativeHeight="251660288" behindDoc="1" locked="0" layoutInCell="1" allowOverlap="1" wp14:anchorId="79167517" wp14:editId="6D96F97A">
          <wp:simplePos x="0" y="0"/>
          <wp:positionH relativeFrom="column">
            <wp:posOffset>4691269</wp:posOffset>
          </wp:positionH>
          <wp:positionV relativeFrom="topMargin">
            <wp:align>bottom</wp:align>
          </wp:positionV>
          <wp:extent cx="1813686" cy="831273"/>
          <wp:effectExtent l="0" t="0" r="0" b="0"/>
          <wp:wrapNone/>
          <wp:docPr id="1" name="Picture 1" descr="Logo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A4.png"/>
                  <pic:cNvPicPr>
                    <a:picLocks noChangeAspect="1" noChangeArrowheads="1"/>
                  </pic:cNvPicPr>
                </pic:nvPicPr>
                <pic:blipFill>
                  <a:blip r:embed="rId1"/>
                  <a:srcRect l="66675" b="89249"/>
                  <a:stretch>
                    <a:fillRect/>
                  </a:stretch>
                </pic:blipFill>
                <pic:spPr bwMode="auto">
                  <a:xfrm>
                    <a:off x="0" y="0"/>
                    <a:ext cx="1813686" cy="8312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21CE07" w14:textId="341289FD" w:rsidR="005A00DC" w:rsidRDefault="005A0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C60"/>
    <w:multiLevelType w:val="hybridMultilevel"/>
    <w:tmpl w:val="931E76C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17012E41"/>
    <w:multiLevelType w:val="hybridMultilevel"/>
    <w:tmpl w:val="69FC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B43EA"/>
    <w:multiLevelType w:val="hybridMultilevel"/>
    <w:tmpl w:val="311C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95174"/>
    <w:multiLevelType w:val="hybridMultilevel"/>
    <w:tmpl w:val="2434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50F2F"/>
    <w:multiLevelType w:val="hybridMultilevel"/>
    <w:tmpl w:val="7BC0E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32874"/>
    <w:multiLevelType w:val="hybridMultilevel"/>
    <w:tmpl w:val="6AD0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169C0"/>
    <w:multiLevelType w:val="hybridMultilevel"/>
    <w:tmpl w:val="82EC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46D25"/>
    <w:multiLevelType w:val="hybridMultilevel"/>
    <w:tmpl w:val="F942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923DD"/>
    <w:multiLevelType w:val="hybridMultilevel"/>
    <w:tmpl w:val="F69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35C3C"/>
    <w:multiLevelType w:val="hybridMultilevel"/>
    <w:tmpl w:val="420ADD96"/>
    <w:lvl w:ilvl="0" w:tplc="7E0AE682">
      <w:start w:val="1"/>
      <w:numFmt w:val="decimal"/>
      <w:lvlText w:val="%1."/>
      <w:lvlJc w:val="left"/>
      <w:pPr>
        <w:tabs>
          <w:tab w:val="num" w:pos="360"/>
        </w:tabs>
        <w:ind w:left="360" w:hanging="360"/>
      </w:pPr>
      <w:rPr>
        <w:b/>
        <w:color w:val="auto"/>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FC71C33"/>
    <w:multiLevelType w:val="hybridMultilevel"/>
    <w:tmpl w:val="0CCA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00E91"/>
    <w:multiLevelType w:val="hybridMultilevel"/>
    <w:tmpl w:val="E9AC13E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71424789"/>
    <w:multiLevelType w:val="hybridMultilevel"/>
    <w:tmpl w:val="4BF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723986">
    <w:abstractNumId w:val="4"/>
  </w:num>
  <w:num w:numId="2" w16cid:durableId="451632789">
    <w:abstractNumId w:val="12"/>
  </w:num>
  <w:num w:numId="3" w16cid:durableId="335964130">
    <w:abstractNumId w:val="8"/>
  </w:num>
  <w:num w:numId="4" w16cid:durableId="917327607">
    <w:abstractNumId w:val="5"/>
  </w:num>
  <w:num w:numId="5" w16cid:durableId="1111362199">
    <w:abstractNumId w:val="1"/>
  </w:num>
  <w:num w:numId="6" w16cid:durableId="2078165004">
    <w:abstractNumId w:val="6"/>
  </w:num>
  <w:num w:numId="7" w16cid:durableId="1974630554">
    <w:abstractNumId w:val="2"/>
  </w:num>
  <w:num w:numId="8" w16cid:durableId="1966227682">
    <w:abstractNumId w:val="3"/>
  </w:num>
  <w:num w:numId="9" w16cid:durableId="499928550">
    <w:abstractNumId w:val="10"/>
  </w:num>
  <w:num w:numId="10" w16cid:durableId="235936729">
    <w:abstractNumId w:val="9"/>
  </w:num>
  <w:num w:numId="11" w16cid:durableId="61414105">
    <w:abstractNumId w:val="11"/>
  </w:num>
  <w:num w:numId="12" w16cid:durableId="915094764">
    <w:abstractNumId w:val="0"/>
  </w:num>
  <w:num w:numId="13" w16cid:durableId="170940405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CAE"/>
    <w:rsid w:val="00001D97"/>
    <w:rsid w:val="00013722"/>
    <w:rsid w:val="0002292C"/>
    <w:rsid w:val="00031144"/>
    <w:rsid w:val="00041346"/>
    <w:rsid w:val="00042167"/>
    <w:rsid w:val="000429AD"/>
    <w:rsid w:val="000469B8"/>
    <w:rsid w:val="0005250B"/>
    <w:rsid w:val="00052A9A"/>
    <w:rsid w:val="000606C9"/>
    <w:rsid w:val="00060883"/>
    <w:rsid w:val="000610A0"/>
    <w:rsid w:val="00064927"/>
    <w:rsid w:val="0006680A"/>
    <w:rsid w:val="00073DDA"/>
    <w:rsid w:val="00075E3C"/>
    <w:rsid w:val="00080777"/>
    <w:rsid w:val="00081165"/>
    <w:rsid w:val="00086C96"/>
    <w:rsid w:val="00090AC6"/>
    <w:rsid w:val="00093245"/>
    <w:rsid w:val="000A52CE"/>
    <w:rsid w:val="000C1CAE"/>
    <w:rsid w:val="000C41E1"/>
    <w:rsid w:val="000C4787"/>
    <w:rsid w:val="000D0809"/>
    <w:rsid w:val="000D5AB4"/>
    <w:rsid w:val="000E4918"/>
    <w:rsid w:val="000F431C"/>
    <w:rsid w:val="000F45D5"/>
    <w:rsid w:val="000F5087"/>
    <w:rsid w:val="000F7448"/>
    <w:rsid w:val="001003A6"/>
    <w:rsid w:val="00101C73"/>
    <w:rsid w:val="001076B9"/>
    <w:rsid w:val="00122E3B"/>
    <w:rsid w:val="00125B60"/>
    <w:rsid w:val="00131C97"/>
    <w:rsid w:val="00135272"/>
    <w:rsid w:val="00135860"/>
    <w:rsid w:val="00135E0D"/>
    <w:rsid w:val="0013650F"/>
    <w:rsid w:val="00147C67"/>
    <w:rsid w:val="001531A6"/>
    <w:rsid w:val="00153847"/>
    <w:rsid w:val="00157101"/>
    <w:rsid w:val="00157801"/>
    <w:rsid w:val="00160995"/>
    <w:rsid w:val="00162C57"/>
    <w:rsid w:val="001653DF"/>
    <w:rsid w:val="00171FCE"/>
    <w:rsid w:val="0017277C"/>
    <w:rsid w:val="00173966"/>
    <w:rsid w:val="001756C9"/>
    <w:rsid w:val="00182393"/>
    <w:rsid w:val="00183810"/>
    <w:rsid w:val="00184F5A"/>
    <w:rsid w:val="001A0EC4"/>
    <w:rsid w:val="001A1F3E"/>
    <w:rsid w:val="001A7E60"/>
    <w:rsid w:val="001B366D"/>
    <w:rsid w:val="001B3E98"/>
    <w:rsid w:val="001B5606"/>
    <w:rsid w:val="001D3758"/>
    <w:rsid w:val="001D618A"/>
    <w:rsid w:val="001D690D"/>
    <w:rsid w:val="001D6E83"/>
    <w:rsid w:val="001E3687"/>
    <w:rsid w:val="001F34C8"/>
    <w:rsid w:val="001F3ECC"/>
    <w:rsid w:val="001F59C3"/>
    <w:rsid w:val="00213981"/>
    <w:rsid w:val="00226EB8"/>
    <w:rsid w:val="0022730F"/>
    <w:rsid w:val="00231DE1"/>
    <w:rsid w:val="00237E8B"/>
    <w:rsid w:val="0025048B"/>
    <w:rsid w:val="002539A5"/>
    <w:rsid w:val="00273DA0"/>
    <w:rsid w:val="0027762B"/>
    <w:rsid w:val="00283EA0"/>
    <w:rsid w:val="0029403E"/>
    <w:rsid w:val="00295A0F"/>
    <w:rsid w:val="00295D04"/>
    <w:rsid w:val="002A0583"/>
    <w:rsid w:val="002A0BF3"/>
    <w:rsid w:val="002A17C9"/>
    <w:rsid w:val="002A27CC"/>
    <w:rsid w:val="002A5445"/>
    <w:rsid w:val="002B0270"/>
    <w:rsid w:val="002B1252"/>
    <w:rsid w:val="002B1661"/>
    <w:rsid w:val="002B34AC"/>
    <w:rsid w:val="002B72D4"/>
    <w:rsid w:val="002C0871"/>
    <w:rsid w:val="002C3C10"/>
    <w:rsid w:val="002C5779"/>
    <w:rsid w:val="002C6141"/>
    <w:rsid w:val="002C7048"/>
    <w:rsid w:val="00312BBE"/>
    <w:rsid w:val="00312CAA"/>
    <w:rsid w:val="00317001"/>
    <w:rsid w:val="00324E51"/>
    <w:rsid w:val="003367C5"/>
    <w:rsid w:val="0034756F"/>
    <w:rsid w:val="003518C5"/>
    <w:rsid w:val="00354C15"/>
    <w:rsid w:val="00355A13"/>
    <w:rsid w:val="00364672"/>
    <w:rsid w:val="003661CA"/>
    <w:rsid w:val="003710B1"/>
    <w:rsid w:val="00386B46"/>
    <w:rsid w:val="00386D8E"/>
    <w:rsid w:val="003A518A"/>
    <w:rsid w:val="003A7EC1"/>
    <w:rsid w:val="003B329C"/>
    <w:rsid w:val="003B5BFB"/>
    <w:rsid w:val="003C0172"/>
    <w:rsid w:val="003C3067"/>
    <w:rsid w:val="003C57FF"/>
    <w:rsid w:val="003D67BD"/>
    <w:rsid w:val="003E0730"/>
    <w:rsid w:val="003E148A"/>
    <w:rsid w:val="003F0911"/>
    <w:rsid w:val="003F0F44"/>
    <w:rsid w:val="00400D03"/>
    <w:rsid w:val="00407261"/>
    <w:rsid w:val="004117AD"/>
    <w:rsid w:val="004139D5"/>
    <w:rsid w:val="004142B0"/>
    <w:rsid w:val="00426156"/>
    <w:rsid w:val="00434DC5"/>
    <w:rsid w:val="00435B03"/>
    <w:rsid w:val="00445DF4"/>
    <w:rsid w:val="00450ECA"/>
    <w:rsid w:val="00465392"/>
    <w:rsid w:val="00473939"/>
    <w:rsid w:val="004753B3"/>
    <w:rsid w:val="00476BF7"/>
    <w:rsid w:val="00483B93"/>
    <w:rsid w:val="00484997"/>
    <w:rsid w:val="004858FE"/>
    <w:rsid w:val="00493821"/>
    <w:rsid w:val="004A1A17"/>
    <w:rsid w:val="004B026A"/>
    <w:rsid w:val="004B5025"/>
    <w:rsid w:val="004C2335"/>
    <w:rsid w:val="004C335B"/>
    <w:rsid w:val="004C5AAB"/>
    <w:rsid w:val="004C7DD3"/>
    <w:rsid w:val="004D410D"/>
    <w:rsid w:val="004E2ECB"/>
    <w:rsid w:val="004F10C1"/>
    <w:rsid w:val="004F3305"/>
    <w:rsid w:val="004F686D"/>
    <w:rsid w:val="004F739D"/>
    <w:rsid w:val="005072AB"/>
    <w:rsid w:val="005136D2"/>
    <w:rsid w:val="005205CF"/>
    <w:rsid w:val="00530A22"/>
    <w:rsid w:val="00530AE3"/>
    <w:rsid w:val="005430A2"/>
    <w:rsid w:val="00543AB0"/>
    <w:rsid w:val="005538F3"/>
    <w:rsid w:val="0055674D"/>
    <w:rsid w:val="00562A7C"/>
    <w:rsid w:val="00565D27"/>
    <w:rsid w:val="00574F96"/>
    <w:rsid w:val="00585096"/>
    <w:rsid w:val="00586D76"/>
    <w:rsid w:val="005947B6"/>
    <w:rsid w:val="005951BB"/>
    <w:rsid w:val="005964E3"/>
    <w:rsid w:val="005A00DC"/>
    <w:rsid w:val="005B1538"/>
    <w:rsid w:val="005E525C"/>
    <w:rsid w:val="005E5FCC"/>
    <w:rsid w:val="005F56C1"/>
    <w:rsid w:val="006060A5"/>
    <w:rsid w:val="00624DB9"/>
    <w:rsid w:val="00636149"/>
    <w:rsid w:val="00636FD1"/>
    <w:rsid w:val="00637976"/>
    <w:rsid w:val="00647835"/>
    <w:rsid w:val="00657284"/>
    <w:rsid w:val="00660CED"/>
    <w:rsid w:val="006744D2"/>
    <w:rsid w:val="006871FB"/>
    <w:rsid w:val="00691B16"/>
    <w:rsid w:val="00696B2D"/>
    <w:rsid w:val="006A1AE1"/>
    <w:rsid w:val="006A252A"/>
    <w:rsid w:val="006B4308"/>
    <w:rsid w:val="006C0299"/>
    <w:rsid w:val="006C2E45"/>
    <w:rsid w:val="006D3BB0"/>
    <w:rsid w:val="006D5EC9"/>
    <w:rsid w:val="006D73F4"/>
    <w:rsid w:val="006E13C4"/>
    <w:rsid w:val="006E5252"/>
    <w:rsid w:val="006E5A9A"/>
    <w:rsid w:val="006E5E27"/>
    <w:rsid w:val="006F4C50"/>
    <w:rsid w:val="006F4E26"/>
    <w:rsid w:val="006F5043"/>
    <w:rsid w:val="006F5051"/>
    <w:rsid w:val="007011E8"/>
    <w:rsid w:val="00703046"/>
    <w:rsid w:val="007050E6"/>
    <w:rsid w:val="00707B25"/>
    <w:rsid w:val="00721124"/>
    <w:rsid w:val="00721172"/>
    <w:rsid w:val="00722770"/>
    <w:rsid w:val="00726BBA"/>
    <w:rsid w:val="00727A53"/>
    <w:rsid w:val="00733D9E"/>
    <w:rsid w:val="0073484E"/>
    <w:rsid w:val="00752F00"/>
    <w:rsid w:val="00754592"/>
    <w:rsid w:val="007636C1"/>
    <w:rsid w:val="00764C72"/>
    <w:rsid w:val="007651C3"/>
    <w:rsid w:val="007673B2"/>
    <w:rsid w:val="00782866"/>
    <w:rsid w:val="00783097"/>
    <w:rsid w:val="00786570"/>
    <w:rsid w:val="00795CA2"/>
    <w:rsid w:val="007A3417"/>
    <w:rsid w:val="007B406B"/>
    <w:rsid w:val="007B6056"/>
    <w:rsid w:val="007C4B09"/>
    <w:rsid w:val="007E2E33"/>
    <w:rsid w:val="007E7525"/>
    <w:rsid w:val="007F22CA"/>
    <w:rsid w:val="008167D8"/>
    <w:rsid w:val="008200BE"/>
    <w:rsid w:val="00821526"/>
    <w:rsid w:val="008234AD"/>
    <w:rsid w:val="00826DD2"/>
    <w:rsid w:val="0082786B"/>
    <w:rsid w:val="00831FC4"/>
    <w:rsid w:val="008327AF"/>
    <w:rsid w:val="00835427"/>
    <w:rsid w:val="0084003C"/>
    <w:rsid w:val="008521CB"/>
    <w:rsid w:val="00854C51"/>
    <w:rsid w:val="00860E8A"/>
    <w:rsid w:val="00871AC6"/>
    <w:rsid w:val="008735CC"/>
    <w:rsid w:val="00875CEC"/>
    <w:rsid w:val="00880C0D"/>
    <w:rsid w:val="00886E15"/>
    <w:rsid w:val="00896222"/>
    <w:rsid w:val="008962E4"/>
    <w:rsid w:val="008A563F"/>
    <w:rsid w:val="008B69A3"/>
    <w:rsid w:val="008C3C30"/>
    <w:rsid w:val="008C4C4E"/>
    <w:rsid w:val="008C61FD"/>
    <w:rsid w:val="008E6E47"/>
    <w:rsid w:val="008F28E5"/>
    <w:rsid w:val="008F4E24"/>
    <w:rsid w:val="008F5F24"/>
    <w:rsid w:val="009032F6"/>
    <w:rsid w:val="00906262"/>
    <w:rsid w:val="00907ACF"/>
    <w:rsid w:val="0093324C"/>
    <w:rsid w:val="00945E00"/>
    <w:rsid w:val="00966C72"/>
    <w:rsid w:val="00972B59"/>
    <w:rsid w:val="00972F01"/>
    <w:rsid w:val="009763BD"/>
    <w:rsid w:val="00980FED"/>
    <w:rsid w:val="00981A12"/>
    <w:rsid w:val="00984F5F"/>
    <w:rsid w:val="00986006"/>
    <w:rsid w:val="00991AE8"/>
    <w:rsid w:val="00997D0C"/>
    <w:rsid w:val="009A316B"/>
    <w:rsid w:val="009A36A7"/>
    <w:rsid w:val="009A53A8"/>
    <w:rsid w:val="009A70BF"/>
    <w:rsid w:val="009B35BE"/>
    <w:rsid w:val="009B637C"/>
    <w:rsid w:val="009B6613"/>
    <w:rsid w:val="009B727C"/>
    <w:rsid w:val="009C0C1B"/>
    <w:rsid w:val="009C0FD4"/>
    <w:rsid w:val="009C7B6C"/>
    <w:rsid w:val="009D5535"/>
    <w:rsid w:val="009E25B4"/>
    <w:rsid w:val="009F1CDF"/>
    <w:rsid w:val="009F39E1"/>
    <w:rsid w:val="009F4454"/>
    <w:rsid w:val="009F5A05"/>
    <w:rsid w:val="009F7261"/>
    <w:rsid w:val="00A03EF9"/>
    <w:rsid w:val="00A11B57"/>
    <w:rsid w:val="00A16025"/>
    <w:rsid w:val="00A30AB2"/>
    <w:rsid w:val="00A3539C"/>
    <w:rsid w:val="00A45199"/>
    <w:rsid w:val="00A45E2B"/>
    <w:rsid w:val="00A45F77"/>
    <w:rsid w:val="00A64B52"/>
    <w:rsid w:val="00A66152"/>
    <w:rsid w:val="00A67CD1"/>
    <w:rsid w:val="00A74AEE"/>
    <w:rsid w:val="00A861F5"/>
    <w:rsid w:val="00A90F7D"/>
    <w:rsid w:val="00AA50D4"/>
    <w:rsid w:val="00AA5FD5"/>
    <w:rsid w:val="00AB2E62"/>
    <w:rsid w:val="00AB7C48"/>
    <w:rsid w:val="00AC6832"/>
    <w:rsid w:val="00AD7286"/>
    <w:rsid w:val="00AE1D15"/>
    <w:rsid w:val="00AE4FF6"/>
    <w:rsid w:val="00AE5BA5"/>
    <w:rsid w:val="00AE6B09"/>
    <w:rsid w:val="00AE6CB3"/>
    <w:rsid w:val="00AF7150"/>
    <w:rsid w:val="00B00106"/>
    <w:rsid w:val="00B07BD5"/>
    <w:rsid w:val="00B07F44"/>
    <w:rsid w:val="00B14B58"/>
    <w:rsid w:val="00B17BC1"/>
    <w:rsid w:val="00B20EA3"/>
    <w:rsid w:val="00B24330"/>
    <w:rsid w:val="00B25AF4"/>
    <w:rsid w:val="00B27DFB"/>
    <w:rsid w:val="00B41268"/>
    <w:rsid w:val="00B4400B"/>
    <w:rsid w:val="00B466D7"/>
    <w:rsid w:val="00B5035C"/>
    <w:rsid w:val="00B52A35"/>
    <w:rsid w:val="00B54005"/>
    <w:rsid w:val="00B572C9"/>
    <w:rsid w:val="00B72DE1"/>
    <w:rsid w:val="00B74D39"/>
    <w:rsid w:val="00B805EC"/>
    <w:rsid w:val="00B83FD0"/>
    <w:rsid w:val="00B84821"/>
    <w:rsid w:val="00B86F39"/>
    <w:rsid w:val="00B877DF"/>
    <w:rsid w:val="00B92973"/>
    <w:rsid w:val="00BA75A6"/>
    <w:rsid w:val="00BB00A2"/>
    <w:rsid w:val="00BB4DE3"/>
    <w:rsid w:val="00BB4E09"/>
    <w:rsid w:val="00BB5D19"/>
    <w:rsid w:val="00BB62FD"/>
    <w:rsid w:val="00BB6B69"/>
    <w:rsid w:val="00BC3ACF"/>
    <w:rsid w:val="00BC6436"/>
    <w:rsid w:val="00BD39A3"/>
    <w:rsid w:val="00BE4785"/>
    <w:rsid w:val="00BE52FB"/>
    <w:rsid w:val="00BE5A89"/>
    <w:rsid w:val="00BE68D6"/>
    <w:rsid w:val="00BE73CE"/>
    <w:rsid w:val="00BE7684"/>
    <w:rsid w:val="00BE7AEC"/>
    <w:rsid w:val="00BF1979"/>
    <w:rsid w:val="00BF314F"/>
    <w:rsid w:val="00C01FEC"/>
    <w:rsid w:val="00C2396B"/>
    <w:rsid w:val="00C418B1"/>
    <w:rsid w:val="00C43AE5"/>
    <w:rsid w:val="00C4467A"/>
    <w:rsid w:val="00C471D7"/>
    <w:rsid w:val="00C53EDF"/>
    <w:rsid w:val="00C56D59"/>
    <w:rsid w:val="00C570EE"/>
    <w:rsid w:val="00C60287"/>
    <w:rsid w:val="00C63EB2"/>
    <w:rsid w:val="00C65944"/>
    <w:rsid w:val="00C73E23"/>
    <w:rsid w:val="00C74589"/>
    <w:rsid w:val="00C80EAB"/>
    <w:rsid w:val="00C845D9"/>
    <w:rsid w:val="00C84BCA"/>
    <w:rsid w:val="00C86E70"/>
    <w:rsid w:val="00CA14F6"/>
    <w:rsid w:val="00CA51F3"/>
    <w:rsid w:val="00CB5762"/>
    <w:rsid w:val="00CB5AD4"/>
    <w:rsid w:val="00CC1F2E"/>
    <w:rsid w:val="00CC4EBB"/>
    <w:rsid w:val="00CC79D6"/>
    <w:rsid w:val="00CD613E"/>
    <w:rsid w:val="00CD7374"/>
    <w:rsid w:val="00CE3A79"/>
    <w:rsid w:val="00CF6087"/>
    <w:rsid w:val="00D04A01"/>
    <w:rsid w:val="00D07B02"/>
    <w:rsid w:val="00D10CD3"/>
    <w:rsid w:val="00D165CF"/>
    <w:rsid w:val="00D169DA"/>
    <w:rsid w:val="00D16F2F"/>
    <w:rsid w:val="00D26A4A"/>
    <w:rsid w:val="00D27305"/>
    <w:rsid w:val="00D43B6D"/>
    <w:rsid w:val="00D71D04"/>
    <w:rsid w:val="00D733D3"/>
    <w:rsid w:val="00D755E8"/>
    <w:rsid w:val="00D76323"/>
    <w:rsid w:val="00DA70FF"/>
    <w:rsid w:val="00DB7779"/>
    <w:rsid w:val="00DC09DF"/>
    <w:rsid w:val="00DC5070"/>
    <w:rsid w:val="00DD6C54"/>
    <w:rsid w:val="00DE6F4F"/>
    <w:rsid w:val="00DF0521"/>
    <w:rsid w:val="00DF4FB2"/>
    <w:rsid w:val="00DF5EE0"/>
    <w:rsid w:val="00E07F3B"/>
    <w:rsid w:val="00E20F48"/>
    <w:rsid w:val="00E30576"/>
    <w:rsid w:val="00E36426"/>
    <w:rsid w:val="00E40228"/>
    <w:rsid w:val="00E4069A"/>
    <w:rsid w:val="00E4484F"/>
    <w:rsid w:val="00E46017"/>
    <w:rsid w:val="00E643A8"/>
    <w:rsid w:val="00E66014"/>
    <w:rsid w:val="00E67F81"/>
    <w:rsid w:val="00E75802"/>
    <w:rsid w:val="00E811D0"/>
    <w:rsid w:val="00EA679C"/>
    <w:rsid w:val="00EB2FD4"/>
    <w:rsid w:val="00EB58EB"/>
    <w:rsid w:val="00EC173D"/>
    <w:rsid w:val="00EC3C37"/>
    <w:rsid w:val="00EC61F5"/>
    <w:rsid w:val="00EC781F"/>
    <w:rsid w:val="00ED4138"/>
    <w:rsid w:val="00ED6FE0"/>
    <w:rsid w:val="00EE0C4B"/>
    <w:rsid w:val="00EE14D1"/>
    <w:rsid w:val="00EE4450"/>
    <w:rsid w:val="00EE54A8"/>
    <w:rsid w:val="00EE70AB"/>
    <w:rsid w:val="00F25D2D"/>
    <w:rsid w:val="00F317DB"/>
    <w:rsid w:val="00F343C1"/>
    <w:rsid w:val="00F35D00"/>
    <w:rsid w:val="00F36A82"/>
    <w:rsid w:val="00F45B10"/>
    <w:rsid w:val="00F521EC"/>
    <w:rsid w:val="00F6272B"/>
    <w:rsid w:val="00F6277A"/>
    <w:rsid w:val="00F630C7"/>
    <w:rsid w:val="00F668AD"/>
    <w:rsid w:val="00F67CCD"/>
    <w:rsid w:val="00F75B75"/>
    <w:rsid w:val="00F75C8F"/>
    <w:rsid w:val="00F84DA9"/>
    <w:rsid w:val="00F906E7"/>
    <w:rsid w:val="00F90F01"/>
    <w:rsid w:val="00F91C3B"/>
    <w:rsid w:val="00F92915"/>
    <w:rsid w:val="00F9375B"/>
    <w:rsid w:val="00F9570C"/>
    <w:rsid w:val="00FA03E7"/>
    <w:rsid w:val="00FA233A"/>
    <w:rsid w:val="00FA5532"/>
    <w:rsid w:val="00FB2858"/>
    <w:rsid w:val="00FC2023"/>
    <w:rsid w:val="00FC6318"/>
    <w:rsid w:val="00FD10C7"/>
    <w:rsid w:val="00FD23C3"/>
    <w:rsid w:val="00FD479B"/>
    <w:rsid w:val="00FD48A4"/>
    <w:rsid w:val="00FE1DF3"/>
    <w:rsid w:val="00FE49C3"/>
    <w:rsid w:val="00FE7247"/>
    <w:rsid w:val="00FF1C3E"/>
    <w:rsid w:val="00FF1FA0"/>
    <w:rsid w:val="00FF2C57"/>
    <w:rsid w:val="00FF7841"/>
    <w:rsid w:val="42BD378D"/>
    <w:rsid w:val="4AD170C7"/>
    <w:rsid w:val="50E117F3"/>
    <w:rsid w:val="6E23BA40"/>
    <w:rsid w:val="773710A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712FE3"/>
  <w15:docId w15:val="{5F72F26F-946F-489E-8F74-712BC75F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A5"/>
    <w:rPr>
      <w:rFonts w:ascii="Arial" w:hAnsi="Arial"/>
      <w:sz w:val="24"/>
      <w:szCs w:val="24"/>
    </w:rPr>
  </w:style>
  <w:style w:type="paragraph" w:styleId="Heading1">
    <w:name w:val="heading 1"/>
    <w:basedOn w:val="Normal"/>
    <w:next w:val="Normal"/>
    <w:link w:val="Heading1Char"/>
    <w:uiPriority w:val="9"/>
    <w:qFormat/>
    <w:rsid w:val="003D67BD"/>
    <w:pPr>
      <w:keepNext/>
      <w:spacing w:before="240" w:after="60" w:line="276" w:lineRule="auto"/>
      <w:outlineLvl w:val="0"/>
    </w:pPr>
    <w:rPr>
      <w:rFonts w:eastAsia="Times New Roman" w:cs="Times New Roman"/>
      <w:b/>
      <w:bC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479B"/>
    <w:pPr>
      <w:ind w:left="720"/>
      <w:contextualSpacing/>
    </w:pPr>
  </w:style>
  <w:style w:type="table" w:styleId="TableGrid">
    <w:name w:val="Table Grid"/>
    <w:basedOn w:val="TableNormal"/>
    <w:uiPriority w:val="39"/>
    <w:rsid w:val="001E36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7D0C"/>
    <w:pPr>
      <w:tabs>
        <w:tab w:val="center" w:pos="4320"/>
        <w:tab w:val="right" w:pos="8640"/>
      </w:tabs>
    </w:pPr>
  </w:style>
  <w:style w:type="character" w:customStyle="1" w:styleId="HeaderChar">
    <w:name w:val="Header Char"/>
    <w:basedOn w:val="DefaultParagraphFont"/>
    <w:link w:val="Header"/>
    <w:uiPriority w:val="99"/>
    <w:rsid w:val="00997D0C"/>
    <w:rPr>
      <w:rFonts w:ascii="Arial" w:hAnsi="Arial"/>
      <w:sz w:val="24"/>
      <w:szCs w:val="24"/>
    </w:rPr>
  </w:style>
  <w:style w:type="paragraph" w:styleId="Footer">
    <w:name w:val="footer"/>
    <w:basedOn w:val="Normal"/>
    <w:link w:val="FooterChar"/>
    <w:uiPriority w:val="99"/>
    <w:unhideWhenUsed/>
    <w:rsid w:val="00997D0C"/>
    <w:pPr>
      <w:tabs>
        <w:tab w:val="center" w:pos="4320"/>
        <w:tab w:val="right" w:pos="8640"/>
      </w:tabs>
    </w:pPr>
  </w:style>
  <w:style w:type="character" w:customStyle="1" w:styleId="FooterChar">
    <w:name w:val="Footer Char"/>
    <w:basedOn w:val="DefaultParagraphFont"/>
    <w:link w:val="Footer"/>
    <w:uiPriority w:val="99"/>
    <w:rsid w:val="00997D0C"/>
    <w:rPr>
      <w:rFonts w:ascii="Arial" w:hAnsi="Arial"/>
      <w:sz w:val="24"/>
      <w:szCs w:val="24"/>
    </w:rPr>
  </w:style>
  <w:style w:type="paragraph" w:styleId="BalloonText">
    <w:name w:val="Balloon Text"/>
    <w:basedOn w:val="Normal"/>
    <w:link w:val="BalloonTextChar"/>
    <w:uiPriority w:val="99"/>
    <w:semiHidden/>
    <w:unhideWhenUsed/>
    <w:rsid w:val="007A3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17"/>
    <w:rPr>
      <w:rFonts w:ascii="Segoe UI" w:hAnsi="Segoe UI" w:cs="Segoe UI"/>
      <w:sz w:val="18"/>
      <w:szCs w:val="18"/>
    </w:rPr>
  </w:style>
  <w:style w:type="character" w:styleId="Hyperlink">
    <w:name w:val="Hyperlink"/>
    <w:rsid w:val="002C5779"/>
    <w:rPr>
      <w:color w:val="0000FF"/>
      <w:u w:val="single"/>
    </w:rPr>
  </w:style>
  <w:style w:type="paragraph" w:styleId="NoSpacing">
    <w:name w:val="No Spacing"/>
    <w:basedOn w:val="Normal"/>
    <w:uiPriority w:val="1"/>
    <w:qFormat/>
    <w:rsid w:val="002C5779"/>
    <w:rPr>
      <w:rFonts w:ascii="Calibri" w:eastAsia="Times New Roman" w:hAnsi="Calibri" w:cs="Times New Roman"/>
      <w:sz w:val="22"/>
      <w:szCs w:val="22"/>
      <w:lang w:bidi="en-US"/>
    </w:rPr>
  </w:style>
  <w:style w:type="character" w:styleId="CommentReference">
    <w:name w:val="annotation reference"/>
    <w:basedOn w:val="DefaultParagraphFont"/>
    <w:uiPriority w:val="99"/>
    <w:semiHidden/>
    <w:unhideWhenUsed/>
    <w:rsid w:val="00586D76"/>
    <w:rPr>
      <w:sz w:val="16"/>
      <w:szCs w:val="16"/>
    </w:rPr>
  </w:style>
  <w:style w:type="paragraph" w:styleId="CommentText">
    <w:name w:val="annotation text"/>
    <w:basedOn w:val="Normal"/>
    <w:link w:val="CommentTextChar"/>
    <w:uiPriority w:val="99"/>
    <w:unhideWhenUsed/>
    <w:rsid w:val="00586D76"/>
    <w:rPr>
      <w:sz w:val="20"/>
      <w:szCs w:val="20"/>
    </w:rPr>
  </w:style>
  <w:style w:type="character" w:customStyle="1" w:styleId="CommentTextChar">
    <w:name w:val="Comment Text Char"/>
    <w:basedOn w:val="DefaultParagraphFont"/>
    <w:link w:val="CommentText"/>
    <w:uiPriority w:val="99"/>
    <w:rsid w:val="00586D76"/>
    <w:rPr>
      <w:rFonts w:ascii="Arial" w:hAnsi="Arial"/>
    </w:rPr>
  </w:style>
  <w:style w:type="paragraph" w:styleId="CommentSubject">
    <w:name w:val="annotation subject"/>
    <w:basedOn w:val="CommentText"/>
    <w:next w:val="CommentText"/>
    <w:link w:val="CommentSubjectChar"/>
    <w:uiPriority w:val="99"/>
    <w:semiHidden/>
    <w:unhideWhenUsed/>
    <w:rsid w:val="00586D76"/>
    <w:rPr>
      <w:b/>
      <w:bCs/>
    </w:rPr>
  </w:style>
  <w:style w:type="character" w:customStyle="1" w:styleId="CommentSubjectChar">
    <w:name w:val="Comment Subject Char"/>
    <w:basedOn w:val="CommentTextChar"/>
    <w:link w:val="CommentSubject"/>
    <w:uiPriority w:val="99"/>
    <w:semiHidden/>
    <w:rsid w:val="00586D76"/>
    <w:rPr>
      <w:rFonts w:ascii="Arial" w:hAnsi="Arial"/>
      <w:b/>
      <w:bCs/>
    </w:rPr>
  </w:style>
  <w:style w:type="paragraph" w:styleId="BodyText">
    <w:name w:val="Body Text"/>
    <w:basedOn w:val="Normal"/>
    <w:link w:val="BodyTextChar"/>
    <w:uiPriority w:val="99"/>
    <w:semiHidden/>
    <w:unhideWhenUsed/>
    <w:rsid w:val="0084003C"/>
    <w:pPr>
      <w:spacing w:after="120"/>
    </w:pPr>
    <w:rPr>
      <w:rFonts w:ascii="Calibri" w:hAnsi="Calibri" w:cs="Times New Roman"/>
      <w:sz w:val="22"/>
      <w:szCs w:val="22"/>
    </w:rPr>
  </w:style>
  <w:style w:type="character" w:customStyle="1" w:styleId="BodyTextChar">
    <w:name w:val="Body Text Char"/>
    <w:basedOn w:val="DefaultParagraphFont"/>
    <w:link w:val="BodyText"/>
    <w:uiPriority w:val="99"/>
    <w:semiHidden/>
    <w:rsid w:val="0084003C"/>
    <w:rPr>
      <w:rFonts w:ascii="Calibri" w:hAnsi="Calibri" w:cs="Times New Roman"/>
      <w:sz w:val="22"/>
      <w:szCs w:val="22"/>
    </w:rPr>
  </w:style>
  <w:style w:type="paragraph" w:styleId="NormalWeb">
    <w:name w:val="Normal (Web)"/>
    <w:basedOn w:val="Normal"/>
    <w:uiPriority w:val="99"/>
    <w:semiHidden/>
    <w:unhideWhenUsed/>
    <w:rsid w:val="00131C97"/>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E7AE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3D67BD"/>
    <w:rPr>
      <w:rFonts w:ascii="Arial" w:eastAsia="Times New Roman" w:hAnsi="Arial" w:cs="Times New Roman"/>
      <w:b/>
      <w:bCs/>
      <w:color w:val="000000"/>
      <w:kern w:val="32"/>
      <w:sz w:val="24"/>
      <w:szCs w:val="32"/>
    </w:rPr>
  </w:style>
  <w:style w:type="character" w:customStyle="1" w:styleId="ListParagraphChar">
    <w:name w:val="List Paragraph Char"/>
    <w:link w:val="ListParagraph"/>
    <w:uiPriority w:val="34"/>
    <w:locked/>
    <w:rsid w:val="003D67B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811">
      <w:bodyDiv w:val="1"/>
      <w:marLeft w:val="0"/>
      <w:marRight w:val="0"/>
      <w:marTop w:val="0"/>
      <w:marBottom w:val="0"/>
      <w:divBdr>
        <w:top w:val="none" w:sz="0" w:space="0" w:color="auto"/>
        <w:left w:val="none" w:sz="0" w:space="0" w:color="auto"/>
        <w:bottom w:val="none" w:sz="0" w:space="0" w:color="auto"/>
        <w:right w:val="none" w:sz="0" w:space="0" w:color="auto"/>
      </w:divBdr>
      <w:divsChild>
        <w:div w:id="1232229552">
          <w:marLeft w:val="0"/>
          <w:marRight w:val="0"/>
          <w:marTop w:val="0"/>
          <w:marBottom w:val="0"/>
          <w:divBdr>
            <w:top w:val="none" w:sz="0" w:space="0" w:color="auto"/>
            <w:left w:val="none" w:sz="0" w:space="0" w:color="auto"/>
            <w:bottom w:val="none" w:sz="0" w:space="0" w:color="auto"/>
            <w:right w:val="none" w:sz="0" w:space="0" w:color="auto"/>
          </w:divBdr>
        </w:div>
      </w:divsChild>
    </w:div>
    <w:div w:id="256716304">
      <w:bodyDiv w:val="1"/>
      <w:marLeft w:val="0"/>
      <w:marRight w:val="0"/>
      <w:marTop w:val="0"/>
      <w:marBottom w:val="0"/>
      <w:divBdr>
        <w:top w:val="none" w:sz="0" w:space="0" w:color="auto"/>
        <w:left w:val="none" w:sz="0" w:space="0" w:color="auto"/>
        <w:bottom w:val="none" w:sz="0" w:space="0" w:color="auto"/>
        <w:right w:val="none" w:sz="0" w:space="0" w:color="auto"/>
      </w:divBdr>
    </w:div>
    <w:div w:id="296766297">
      <w:bodyDiv w:val="1"/>
      <w:marLeft w:val="0"/>
      <w:marRight w:val="0"/>
      <w:marTop w:val="0"/>
      <w:marBottom w:val="0"/>
      <w:divBdr>
        <w:top w:val="none" w:sz="0" w:space="0" w:color="auto"/>
        <w:left w:val="none" w:sz="0" w:space="0" w:color="auto"/>
        <w:bottom w:val="none" w:sz="0" w:space="0" w:color="auto"/>
        <w:right w:val="none" w:sz="0" w:space="0" w:color="auto"/>
      </w:divBdr>
    </w:div>
    <w:div w:id="514223178">
      <w:bodyDiv w:val="1"/>
      <w:marLeft w:val="0"/>
      <w:marRight w:val="0"/>
      <w:marTop w:val="0"/>
      <w:marBottom w:val="0"/>
      <w:divBdr>
        <w:top w:val="none" w:sz="0" w:space="0" w:color="auto"/>
        <w:left w:val="none" w:sz="0" w:space="0" w:color="auto"/>
        <w:bottom w:val="none" w:sz="0" w:space="0" w:color="auto"/>
        <w:right w:val="none" w:sz="0" w:space="0" w:color="auto"/>
      </w:divBdr>
    </w:div>
    <w:div w:id="823664986">
      <w:bodyDiv w:val="1"/>
      <w:marLeft w:val="0"/>
      <w:marRight w:val="0"/>
      <w:marTop w:val="0"/>
      <w:marBottom w:val="0"/>
      <w:divBdr>
        <w:top w:val="none" w:sz="0" w:space="0" w:color="auto"/>
        <w:left w:val="none" w:sz="0" w:space="0" w:color="auto"/>
        <w:bottom w:val="none" w:sz="0" w:space="0" w:color="auto"/>
        <w:right w:val="none" w:sz="0" w:space="0" w:color="auto"/>
      </w:divBdr>
    </w:div>
    <w:div w:id="838427673">
      <w:bodyDiv w:val="1"/>
      <w:marLeft w:val="0"/>
      <w:marRight w:val="0"/>
      <w:marTop w:val="0"/>
      <w:marBottom w:val="0"/>
      <w:divBdr>
        <w:top w:val="none" w:sz="0" w:space="0" w:color="auto"/>
        <w:left w:val="none" w:sz="0" w:space="0" w:color="auto"/>
        <w:bottom w:val="none" w:sz="0" w:space="0" w:color="auto"/>
        <w:right w:val="none" w:sz="0" w:space="0" w:color="auto"/>
      </w:divBdr>
    </w:div>
    <w:div w:id="841550467">
      <w:bodyDiv w:val="1"/>
      <w:marLeft w:val="0"/>
      <w:marRight w:val="0"/>
      <w:marTop w:val="0"/>
      <w:marBottom w:val="0"/>
      <w:divBdr>
        <w:top w:val="none" w:sz="0" w:space="0" w:color="auto"/>
        <w:left w:val="none" w:sz="0" w:space="0" w:color="auto"/>
        <w:bottom w:val="none" w:sz="0" w:space="0" w:color="auto"/>
        <w:right w:val="none" w:sz="0" w:space="0" w:color="auto"/>
      </w:divBdr>
    </w:div>
    <w:div w:id="1109424175">
      <w:bodyDiv w:val="1"/>
      <w:marLeft w:val="0"/>
      <w:marRight w:val="0"/>
      <w:marTop w:val="0"/>
      <w:marBottom w:val="0"/>
      <w:divBdr>
        <w:top w:val="none" w:sz="0" w:space="0" w:color="auto"/>
        <w:left w:val="none" w:sz="0" w:space="0" w:color="auto"/>
        <w:bottom w:val="none" w:sz="0" w:space="0" w:color="auto"/>
        <w:right w:val="none" w:sz="0" w:space="0" w:color="auto"/>
      </w:divBdr>
    </w:div>
    <w:div w:id="1222058031">
      <w:bodyDiv w:val="1"/>
      <w:marLeft w:val="0"/>
      <w:marRight w:val="0"/>
      <w:marTop w:val="0"/>
      <w:marBottom w:val="0"/>
      <w:divBdr>
        <w:top w:val="none" w:sz="0" w:space="0" w:color="auto"/>
        <w:left w:val="none" w:sz="0" w:space="0" w:color="auto"/>
        <w:bottom w:val="none" w:sz="0" w:space="0" w:color="auto"/>
        <w:right w:val="none" w:sz="0" w:space="0" w:color="auto"/>
      </w:divBdr>
    </w:div>
    <w:div w:id="1300722397">
      <w:bodyDiv w:val="1"/>
      <w:marLeft w:val="0"/>
      <w:marRight w:val="0"/>
      <w:marTop w:val="0"/>
      <w:marBottom w:val="0"/>
      <w:divBdr>
        <w:top w:val="none" w:sz="0" w:space="0" w:color="auto"/>
        <w:left w:val="none" w:sz="0" w:space="0" w:color="auto"/>
        <w:bottom w:val="none" w:sz="0" w:space="0" w:color="auto"/>
        <w:right w:val="none" w:sz="0" w:space="0" w:color="auto"/>
      </w:divBdr>
    </w:div>
    <w:div w:id="1371496729">
      <w:bodyDiv w:val="1"/>
      <w:marLeft w:val="0"/>
      <w:marRight w:val="0"/>
      <w:marTop w:val="0"/>
      <w:marBottom w:val="0"/>
      <w:divBdr>
        <w:top w:val="none" w:sz="0" w:space="0" w:color="auto"/>
        <w:left w:val="none" w:sz="0" w:space="0" w:color="auto"/>
        <w:bottom w:val="none" w:sz="0" w:space="0" w:color="auto"/>
        <w:right w:val="none" w:sz="0" w:space="0" w:color="auto"/>
      </w:divBdr>
    </w:div>
    <w:div w:id="1380787306">
      <w:bodyDiv w:val="1"/>
      <w:marLeft w:val="0"/>
      <w:marRight w:val="0"/>
      <w:marTop w:val="0"/>
      <w:marBottom w:val="0"/>
      <w:divBdr>
        <w:top w:val="none" w:sz="0" w:space="0" w:color="auto"/>
        <w:left w:val="none" w:sz="0" w:space="0" w:color="auto"/>
        <w:bottom w:val="none" w:sz="0" w:space="0" w:color="auto"/>
        <w:right w:val="none" w:sz="0" w:space="0" w:color="auto"/>
      </w:divBdr>
    </w:div>
    <w:div w:id="1381512809">
      <w:bodyDiv w:val="1"/>
      <w:marLeft w:val="0"/>
      <w:marRight w:val="0"/>
      <w:marTop w:val="0"/>
      <w:marBottom w:val="0"/>
      <w:divBdr>
        <w:top w:val="none" w:sz="0" w:space="0" w:color="auto"/>
        <w:left w:val="none" w:sz="0" w:space="0" w:color="auto"/>
        <w:bottom w:val="none" w:sz="0" w:space="0" w:color="auto"/>
        <w:right w:val="none" w:sz="0" w:space="0" w:color="auto"/>
      </w:divBdr>
    </w:div>
    <w:div w:id="1535728753">
      <w:bodyDiv w:val="1"/>
      <w:marLeft w:val="0"/>
      <w:marRight w:val="0"/>
      <w:marTop w:val="0"/>
      <w:marBottom w:val="0"/>
      <w:divBdr>
        <w:top w:val="none" w:sz="0" w:space="0" w:color="auto"/>
        <w:left w:val="none" w:sz="0" w:space="0" w:color="auto"/>
        <w:bottom w:val="none" w:sz="0" w:space="0" w:color="auto"/>
        <w:right w:val="none" w:sz="0" w:space="0" w:color="auto"/>
      </w:divBdr>
    </w:div>
    <w:div w:id="1707410888">
      <w:bodyDiv w:val="1"/>
      <w:marLeft w:val="0"/>
      <w:marRight w:val="0"/>
      <w:marTop w:val="0"/>
      <w:marBottom w:val="0"/>
      <w:divBdr>
        <w:top w:val="none" w:sz="0" w:space="0" w:color="auto"/>
        <w:left w:val="none" w:sz="0" w:space="0" w:color="auto"/>
        <w:bottom w:val="none" w:sz="0" w:space="0" w:color="auto"/>
        <w:right w:val="none" w:sz="0" w:space="0" w:color="auto"/>
      </w:divBdr>
    </w:div>
    <w:div w:id="1739479386">
      <w:bodyDiv w:val="1"/>
      <w:marLeft w:val="0"/>
      <w:marRight w:val="0"/>
      <w:marTop w:val="0"/>
      <w:marBottom w:val="0"/>
      <w:divBdr>
        <w:top w:val="none" w:sz="0" w:space="0" w:color="auto"/>
        <w:left w:val="none" w:sz="0" w:space="0" w:color="auto"/>
        <w:bottom w:val="none" w:sz="0" w:space="0" w:color="auto"/>
        <w:right w:val="none" w:sz="0" w:space="0" w:color="auto"/>
      </w:divBdr>
    </w:div>
    <w:div w:id="179740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ort.w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b6a5190f-ebbd-42e3-bc8b-869af9a80cc9"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496F-9215-4398-BD0A-E82A12BD3803}">
  <ds:schemaRefs>
    <ds:schemaRef ds:uri="http://schemas.microsoft.com/sharepoint/v3/contenttype/forms"/>
  </ds:schemaRefs>
</ds:datastoreItem>
</file>

<file path=customXml/itemProps2.xml><?xml version="1.0" encoding="utf-8"?>
<ds:datastoreItem xmlns:ds="http://schemas.openxmlformats.org/officeDocument/2006/customXml" ds:itemID="{7F54C25D-6414-469B-AD4A-3268CC45C3F5}">
  <ds:schemaRefs>
    <ds:schemaRef ds:uri="http://schemas.microsoft.com/office/2006/metadata/properties"/>
    <ds:schemaRef ds:uri="http://schemas.microsoft.com/office/infopath/2007/PartnerControls"/>
    <ds:schemaRef ds:uri="0b22347c-f1d2-4d06-afcd-5322e966e31c"/>
    <ds:schemaRef ds:uri="2165bb26-cf07-4171-837f-761416201f12"/>
  </ds:schemaRefs>
</ds:datastoreItem>
</file>

<file path=customXml/itemProps3.xml><?xml version="1.0" encoding="utf-8"?>
<ds:datastoreItem xmlns:ds="http://schemas.openxmlformats.org/officeDocument/2006/customXml" ds:itemID="{01006764-5B59-4F07-829D-28BCA798219A}">
  <ds:schemaRefs>
    <ds:schemaRef ds:uri="Microsoft.SharePoint.Taxonomy.ContentTypeSync"/>
  </ds:schemaRefs>
</ds:datastoreItem>
</file>

<file path=customXml/itemProps4.xml><?xml version="1.0" encoding="utf-8"?>
<ds:datastoreItem xmlns:ds="http://schemas.openxmlformats.org/officeDocument/2006/customXml" ds:itemID="{5CF2D6E2-F846-47AC-B66B-E7EBF9B2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5bb26-cf07-4171-837f-761416201f12"/>
    <ds:schemaRef ds:uri="0b22347c-f1d2-4d06-afcd-5322e966e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02B25-1E5A-44D7-A592-48A77C98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2365</Words>
  <Characters>13481</Characters>
  <Application>Microsoft Office Word</Application>
  <DocSecurity>0</DocSecurity>
  <Lines>112</Lines>
  <Paragraphs>31</Paragraphs>
  <ScaleCrop>false</ScaleCrop>
  <Company>Cardiff Met</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Christianson</dc:creator>
  <cp:lastModifiedBy>Ceri Twohey</cp:lastModifiedBy>
  <cp:revision>3</cp:revision>
  <cp:lastPrinted>2017-07-21T07:59:00Z</cp:lastPrinted>
  <dcterms:created xsi:type="dcterms:W3CDTF">2026-01-05T09:16:00Z</dcterms:created>
  <dcterms:modified xsi:type="dcterms:W3CDTF">2026-01-05T09:26:00Z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