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B142" w14:textId="425BB36A" w:rsidR="00AD73D3" w:rsidRPr="00AD73D3" w:rsidRDefault="003F28F3" w:rsidP="00AD73D3">
      <w:pPr>
        <w:pStyle w:val="Title"/>
      </w:pPr>
      <w:r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A51544" wp14:editId="0F4EEE6E">
                <wp:simplePos x="0" y="0"/>
                <wp:positionH relativeFrom="margin">
                  <wp:align>left</wp:align>
                </wp:positionH>
                <wp:positionV relativeFrom="page">
                  <wp:posOffset>4467225</wp:posOffset>
                </wp:positionV>
                <wp:extent cx="5524500" cy="1195070"/>
                <wp:effectExtent l="0" t="0" r="0" b="5080"/>
                <wp:wrapNone/>
                <wp:docPr id="1674865718" name="Text Box 167486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195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73ED69" w14:textId="77777777" w:rsidR="003F28F3" w:rsidRPr="00053AFA" w:rsidRDefault="003F28F3" w:rsidP="003F28F3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>Commercial - response template</w:t>
                            </w:r>
                          </w:p>
                          <w:p w14:paraId="0B878C3E" w14:textId="266EB073" w:rsidR="00053AFA" w:rsidRPr="00053AFA" w:rsidRDefault="00053AFA" w:rsidP="00053AFA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51544" id="_x0000_t202" coordsize="21600,21600" o:spt="202" path="m,l,21600r21600,l21600,xe">
                <v:stroke joinstyle="miter"/>
                <v:path gradientshapeok="t" o:connecttype="rect"/>
              </v:shapetype>
              <v:shape id="Text Box 1674865718" o:spid="_x0000_s1026" type="#_x0000_t202" style="position:absolute;margin-left:0;margin-top:351.75pt;width:435pt;height:94.1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" filled="f" stroked="f" strokeweight=".5pt">
                <v:textbox inset="0,0,0,0">
                  <w:txbxContent>
                    <w:p w14:paraId="7F73ED69" w14:textId="77777777" w:rsidR="003F28F3" w:rsidRPr="00053AFA" w:rsidRDefault="003F28F3" w:rsidP="003F28F3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  <w:t>Commercial - response template</w:t>
                      </w:r>
                    </w:p>
                    <w:p w14:paraId="0B878C3E" w14:textId="266EB073" w:rsidR="00053AFA" w:rsidRPr="00053AFA" w:rsidRDefault="00053AFA" w:rsidP="00053AFA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44E29">
        <w:rPr>
          <w:noProof/>
          <w:vertAlign w:val="subscript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A16D06" wp14:editId="68184C47">
                <wp:simplePos x="0" y="0"/>
                <wp:positionH relativeFrom="column">
                  <wp:posOffset>-962137</wp:posOffset>
                </wp:positionH>
                <wp:positionV relativeFrom="paragraph">
                  <wp:posOffset>-3866702</wp:posOffset>
                </wp:positionV>
                <wp:extent cx="10914006" cy="10764520"/>
                <wp:effectExtent l="0" t="0" r="0" b="5080"/>
                <wp:wrapNone/>
                <wp:docPr id="43938048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4006" cy="10764520"/>
                          <a:chOff x="0" y="0"/>
                          <a:chExt cx="10914006" cy="10764520"/>
                        </a:xfrm>
                      </wpg:grpSpPr>
                      <wps:wsp>
                        <wps:cNvPr id="1207704444" name="Rectangle 1"/>
                        <wps:cNvSpPr/>
                        <wps:spPr>
                          <a:xfrm>
                            <a:off x="0" y="3065930"/>
                            <a:ext cx="6621517" cy="7672070"/>
                          </a:xfrm>
                          <a:prstGeom prst="rect">
                            <a:avLst/>
                          </a:prstGeom>
                          <a:solidFill>
                            <a:srgbClr val="164B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1127487" name="Picture 1622374731" descr="A blue and red rectangl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7976" y="0"/>
                            <a:ext cx="7606030" cy="10764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33F26FB" id="Group 5" o:spid="_x0000_s1026" style="position:absolute;margin-left:-75.75pt;margin-top:-304.45pt;width:859.35pt;height:847.6pt;z-index:251658239;mso-width-relative:margin" coordsize="109140,107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">
                <v:rect id="Rectangle 1" o:spid="_x0000_s1027" style="position:absolute;top:30659;width:66215;height:76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" fillcolor="#164b64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22374731" o:spid="_x0000_s1028" type="#_x0000_t75" alt="A blue and red rectangle&#10;&#10;AI-generated content may be incorrect." style="position:absolute;left:33079;width:76061;height:10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">
                  <v:imagedata r:id="rId11" o:title="A blue and red rectangle&#10;&#10;AI-generated content may be incorrect"/>
                </v:shape>
              </v:group>
            </w:pict>
          </mc:Fallback>
        </mc:AlternateContent>
      </w:r>
      <w:r w:rsidR="00CB7E45"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D9C1A3" wp14:editId="10C04BEA">
                <wp:simplePos x="0" y="0"/>
                <wp:positionH relativeFrom="page">
                  <wp:posOffset>712694</wp:posOffset>
                </wp:positionH>
                <wp:positionV relativeFrom="page">
                  <wp:posOffset>1479176</wp:posOffset>
                </wp:positionV>
                <wp:extent cx="7436224" cy="2659380"/>
                <wp:effectExtent l="0" t="0" r="635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6224" cy="265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BE8CA" w14:textId="0E8FE966" w:rsidR="00F907C0" w:rsidRPr="00483176" w:rsidRDefault="0082404C" w:rsidP="00483176">
                            <w:pPr>
                              <w:pStyle w:val="Title"/>
                            </w:pPr>
                            <w:r>
                              <w:t xml:space="preserve">Sport Wales </w:t>
                            </w:r>
                            <w:r w:rsidR="00CC3442">
                              <w:t>Data &amp; Insight Alpha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9C1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56.1pt;margin-top:116.45pt;width:585.55pt;height:209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" filled="f" stroked="f" strokeweight=".5pt">
                <v:textbox inset="0,0,0,0">
                  <w:txbxContent>
                    <w:p w14:paraId="0CCBE8CA" w14:textId="0E8FE966" w:rsidR="00F907C0" w:rsidRPr="00483176" w:rsidRDefault="0082404C" w:rsidP="00483176">
                      <w:pPr>
                        <w:pStyle w:val="Title"/>
                      </w:pPr>
                      <w:r>
                        <w:t xml:space="preserve">Sport Wales </w:t>
                      </w:r>
                      <w:r w:rsidR="00CC3442">
                        <w:t>Data &amp; Insight Alpha Project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532A"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2839C97" wp14:editId="0B5304DD">
                <wp:simplePos x="0" y="0"/>
                <wp:positionH relativeFrom="page">
                  <wp:posOffset>714375</wp:posOffset>
                </wp:positionH>
                <wp:positionV relativeFrom="page">
                  <wp:posOffset>6398358</wp:posOffset>
                </wp:positionV>
                <wp:extent cx="5120640" cy="742277"/>
                <wp:effectExtent l="0" t="0" r="0" b="7620"/>
                <wp:wrapNone/>
                <wp:docPr id="1773138741" name="Text Box 1773138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F7DED" w14:textId="0F9DD105" w:rsidR="00053AFA" w:rsidRPr="00483176" w:rsidRDefault="00CC3442" w:rsidP="00483176">
                            <w:pPr>
                              <w:pStyle w:val="Cover-Documentdateversion"/>
                            </w:pPr>
                            <w:r>
                              <w:t>23.01.2026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39C97" id="Text Box 1773138741" o:spid="_x0000_s1028" type="#_x0000_t202" style="position:absolute;margin-left:56.25pt;margin-top:503.8pt;width:403.2pt;height:58.4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" filled="f" stroked="f" strokeweight=".5pt">
                <v:textbox inset="0,0,0,0">
                  <w:txbxContent>
                    <w:p w14:paraId="473F7DED" w14:textId="0F9DD105" w:rsidR="00053AFA" w:rsidRPr="00483176" w:rsidRDefault="00CC3442" w:rsidP="00483176">
                      <w:pPr>
                        <w:pStyle w:val="Cover-Documentdateversion"/>
                      </w:pPr>
                      <w:r>
                        <w:t>23.01.2026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>
        <w:rPr>
          <w:noProof/>
        </w:rPr>
        <w:drawing>
          <wp:anchor distT="0" distB="0" distL="114300" distR="114300" simplePos="0" relativeHeight="251658242" behindDoc="0" locked="0" layoutInCell="1" allowOverlap="1" wp14:anchorId="2623643F" wp14:editId="514F4526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D3" w:rsidRPr="00AD73D3">
        <w:br w:type="page"/>
      </w:r>
    </w:p>
    <w:p w14:paraId="70F7A156" w14:textId="0087AC26" w:rsidR="007D4F8E" w:rsidRDefault="007D4F8E" w:rsidP="00390174">
      <w:pPr>
        <w:pStyle w:val="Heading2"/>
        <w:numPr>
          <w:ilvl w:val="0"/>
          <w:numId w:val="4"/>
        </w:numPr>
      </w:pPr>
      <w:r>
        <w:lastRenderedPageBreak/>
        <w:t xml:space="preserve">Guidance </w:t>
      </w:r>
    </w:p>
    <w:p w14:paraId="66F54731" w14:textId="77777777" w:rsidR="007D4F8E" w:rsidRPr="00997313" w:rsidRDefault="007D4F8E" w:rsidP="007D4F8E">
      <w:pPr>
        <w:pStyle w:val="NoSpacing"/>
        <w:rPr>
          <w:sz w:val="22"/>
        </w:rPr>
      </w:pPr>
    </w:p>
    <w:p w14:paraId="6AB912D1" w14:textId="77777777" w:rsidR="007D4F8E" w:rsidRPr="00997313" w:rsidRDefault="007D4F8E" w:rsidP="007D4F8E">
      <w:pPr>
        <w:pStyle w:val="ListParagraph"/>
        <w:numPr>
          <w:ilvl w:val="1"/>
          <w:numId w:val="4"/>
        </w:numPr>
        <w:spacing w:line="228" w:lineRule="auto"/>
        <w:ind w:left="720"/>
        <w:jc w:val="both"/>
        <w:rPr>
          <w:sz w:val="22"/>
        </w:rPr>
      </w:pPr>
      <w:r w:rsidRPr="00997313">
        <w:rPr>
          <w:sz w:val="22"/>
        </w:rPr>
        <w:t xml:space="preserve">The </w:t>
      </w:r>
      <w:r>
        <w:rPr>
          <w:sz w:val="22"/>
        </w:rPr>
        <w:t>Commercial</w:t>
      </w:r>
      <w:r w:rsidRPr="00997313">
        <w:rPr>
          <w:sz w:val="22"/>
        </w:rPr>
        <w:t xml:space="preserve"> </w:t>
      </w:r>
      <w:r>
        <w:rPr>
          <w:sz w:val="22"/>
        </w:rPr>
        <w:t>R</w:t>
      </w:r>
      <w:r w:rsidRPr="00997313">
        <w:rPr>
          <w:sz w:val="22"/>
        </w:rPr>
        <w:t xml:space="preserve">esponse </w:t>
      </w:r>
      <w:r>
        <w:rPr>
          <w:sz w:val="22"/>
        </w:rPr>
        <w:t>template</w:t>
      </w:r>
      <w:r w:rsidRPr="00997313">
        <w:rPr>
          <w:sz w:val="22"/>
        </w:rPr>
        <w:t xml:space="preserve"> is to be completed by the tenderer. </w:t>
      </w:r>
    </w:p>
    <w:p w14:paraId="5913CAF8" w14:textId="77777777" w:rsidR="007D4F8E" w:rsidRPr="00997313" w:rsidRDefault="007D4F8E" w:rsidP="007D4F8E">
      <w:pPr>
        <w:pStyle w:val="ListParagraph"/>
        <w:ind w:left="489" w:right="-28"/>
        <w:jc w:val="both"/>
        <w:rPr>
          <w:rFonts w:ascii="Arial" w:hAnsi="Arial" w:cs="Arial"/>
          <w:color w:val="02183A"/>
          <w:sz w:val="22"/>
        </w:rPr>
      </w:pPr>
    </w:p>
    <w:p w14:paraId="675E6D46" w14:textId="48DA823B" w:rsidR="007D4F8E" w:rsidRDefault="007D4F8E" w:rsidP="007D4F8E">
      <w:pPr>
        <w:pStyle w:val="ListParagraph"/>
        <w:numPr>
          <w:ilvl w:val="1"/>
          <w:numId w:val="4"/>
        </w:numPr>
        <w:spacing w:after="0"/>
        <w:ind w:left="720" w:right="-28"/>
        <w:jc w:val="both"/>
        <w:rPr>
          <w:sz w:val="22"/>
        </w:rPr>
      </w:pPr>
      <w:r w:rsidRPr="00997313">
        <w:rPr>
          <w:sz w:val="22"/>
        </w:rPr>
        <w:t>Only responses using the</w:t>
      </w:r>
      <w:r w:rsidR="006654E2">
        <w:rPr>
          <w:sz w:val="22"/>
        </w:rPr>
        <w:t xml:space="preserve"> provided response templates</w:t>
      </w:r>
      <w:r w:rsidRPr="00997313">
        <w:rPr>
          <w:sz w:val="22"/>
        </w:rPr>
        <w:t xml:space="preserve"> will be accepted for evaluation.</w:t>
      </w:r>
    </w:p>
    <w:p w14:paraId="2C9306D3" w14:textId="77777777" w:rsidR="007D4F8E" w:rsidRPr="00702E26" w:rsidRDefault="007D4F8E" w:rsidP="007D4F8E">
      <w:pPr>
        <w:pStyle w:val="ListParagraph"/>
        <w:rPr>
          <w:sz w:val="22"/>
        </w:rPr>
      </w:pPr>
    </w:p>
    <w:p w14:paraId="1F7991D0" w14:textId="77777777" w:rsidR="007D4F8E" w:rsidRPr="00997313" w:rsidRDefault="007D4F8E" w:rsidP="007D4F8E">
      <w:pPr>
        <w:pStyle w:val="ListParagraph"/>
        <w:numPr>
          <w:ilvl w:val="1"/>
          <w:numId w:val="4"/>
        </w:numPr>
        <w:spacing w:after="0"/>
        <w:ind w:left="720" w:right="-28"/>
        <w:jc w:val="both"/>
        <w:rPr>
          <w:sz w:val="22"/>
        </w:rPr>
      </w:pPr>
      <w:r w:rsidRPr="00702E26">
        <w:rPr>
          <w:sz w:val="22"/>
        </w:rPr>
        <w:t>Please complete the table below, ensuring all costs are provided in GBP (£) and are exclusive of VAT unless otherwise stated.</w:t>
      </w:r>
    </w:p>
    <w:p w14:paraId="15DBA524" w14:textId="77777777" w:rsidR="007D4F8E" w:rsidRPr="00997313" w:rsidRDefault="007D4F8E" w:rsidP="007D4F8E">
      <w:pPr>
        <w:spacing w:after="0"/>
        <w:ind w:right="-28"/>
        <w:jc w:val="both"/>
        <w:rPr>
          <w:sz w:val="22"/>
        </w:rPr>
      </w:pPr>
    </w:p>
    <w:p w14:paraId="265B21FB" w14:textId="77777777" w:rsidR="007D4F8E" w:rsidRPr="00997313" w:rsidRDefault="007D4F8E" w:rsidP="007D4F8E">
      <w:pPr>
        <w:pStyle w:val="ListParagraph"/>
        <w:numPr>
          <w:ilvl w:val="1"/>
          <w:numId w:val="4"/>
        </w:numPr>
        <w:spacing w:after="0"/>
        <w:ind w:left="720"/>
        <w:jc w:val="both"/>
        <w:rPr>
          <w:sz w:val="22"/>
        </w:rPr>
      </w:pPr>
      <w:r w:rsidRPr="00997313">
        <w:rPr>
          <w:sz w:val="22"/>
        </w:rPr>
        <w:t xml:space="preserve">Tenderers must consider and </w:t>
      </w:r>
      <w:proofErr w:type="gramStart"/>
      <w:r w:rsidRPr="00997313">
        <w:rPr>
          <w:sz w:val="22"/>
        </w:rPr>
        <w:t>make due</w:t>
      </w:r>
      <w:proofErr w:type="gramEnd"/>
      <w:r w:rsidRPr="00997313">
        <w:rPr>
          <w:sz w:val="22"/>
        </w:rPr>
        <w:t xml:space="preserve"> regard to any further guidance of the Invitation to Tender document when completing their response.</w:t>
      </w:r>
    </w:p>
    <w:p w14:paraId="1133741A" w14:textId="77777777" w:rsidR="007D4F8E" w:rsidRPr="00997313" w:rsidRDefault="007D4F8E" w:rsidP="007D4F8E">
      <w:pPr>
        <w:pStyle w:val="ListParagraph"/>
        <w:ind w:left="360"/>
        <w:jc w:val="both"/>
        <w:rPr>
          <w:sz w:val="22"/>
        </w:rPr>
      </w:pPr>
    </w:p>
    <w:p w14:paraId="4B118012" w14:textId="77777777" w:rsidR="007D4F8E" w:rsidRPr="00997313" w:rsidRDefault="007D4F8E" w:rsidP="007D4F8E">
      <w:pPr>
        <w:pStyle w:val="ListParagraph"/>
        <w:numPr>
          <w:ilvl w:val="1"/>
          <w:numId w:val="4"/>
        </w:numPr>
        <w:spacing w:after="0"/>
        <w:ind w:left="720"/>
        <w:jc w:val="both"/>
        <w:rPr>
          <w:sz w:val="22"/>
        </w:rPr>
      </w:pPr>
      <w:r w:rsidRPr="00997313">
        <w:rPr>
          <w:sz w:val="22"/>
        </w:rPr>
        <w:t>Each question response must be provided using a legible font and size.</w:t>
      </w:r>
    </w:p>
    <w:p w14:paraId="796B08C7" w14:textId="77777777" w:rsidR="007D4F8E" w:rsidRPr="00997313" w:rsidRDefault="007D4F8E" w:rsidP="007D4F8E">
      <w:pPr>
        <w:pStyle w:val="ListParagraph"/>
        <w:rPr>
          <w:sz w:val="22"/>
        </w:rPr>
      </w:pPr>
    </w:p>
    <w:p w14:paraId="1A3CBD1F" w14:textId="79CBD9BE" w:rsidR="007D4F8E" w:rsidRPr="00C83A19" w:rsidRDefault="007D4F8E" w:rsidP="007D4F8E">
      <w:pPr>
        <w:pStyle w:val="ListParagraph"/>
        <w:numPr>
          <w:ilvl w:val="1"/>
          <w:numId w:val="4"/>
        </w:numPr>
        <w:spacing w:after="0"/>
        <w:ind w:left="720"/>
        <w:jc w:val="both"/>
        <w:rPr>
          <w:sz w:val="22"/>
        </w:rPr>
      </w:pPr>
      <w:r w:rsidRPr="00997313">
        <w:rPr>
          <w:sz w:val="22"/>
        </w:rPr>
        <w:t xml:space="preserve">As per </w:t>
      </w:r>
      <w:r>
        <w:rPr>
          <w:sz w:val="22"/>
        </w:rPr>
        <w:t>section</w:t>
      </w:r>
      <w:r w:rsidRPr="005B75ED">
        <w:rPr>
          <w:sz w:val="22"/>
        </w:rPr>
        <w:t xml:space="preserve"> </w:t>
      </w:r>
      <w:r w:rsidRPr="00E41020">
        <w:rPr>
          <w:sz w:val="22"/>
        </w:rPr>
        <w:t>1</w:t>
      </w:r>
      <w:r w:rsidR="00AB0553">
        <w:rPr>
          <w:sz w:val="22"/>
        </w:rPr>
        <w:t>8</w:t>
      </w:r>
      <w:r>
        <w:rPr>
          <w:sz w:val="22"/>
        </w:rPr>
        <w:t xml:space="preserve"> (Assessment Process) </w:t>
      </w:r>
      <w:r w:rsidRPr="00997313">
        <w:rPr>
          <w:sz w:val="22"/>
        </w:rPr>
        <w:t>of the Invitation to Tender document</w:t>
      </w:r>
      <w:r>
        <w:rPr>
          <w:sz w:val="22"/>
        </w:rPr>
        <w:t>,</w:t>
      </w:r>
      <w:r w:rsidRPr="00997313">
        <w:rPr>
          <w:sz w:val="22"/>
        </w:rPr>
        <w:t xml:space="preserve"> the </w:t>
      </w:r>
      <w:r>
        <w:rPr>
          <w:sz w:val="22"/>
        </w:rPr>
        <w:t>commercial</w:t>
      </w:r>
      <w:r w:rsidRPr="00997313">
        <w:rPr>
          <w:sz w:val="22"/>
        </w:rPr>
        <w:t xml:space="preserve"> component will account for 20% of the overall evaluation score, ensuring cost is a significant but not overriding factor in the selection process.</w:t>
      </w:r>
    </w:p>
    <w:p w14:paraId="794A58A3" w14:textId="77777777" w:rsidR="00CB7E45" w:rsidRDefault="00CB7E45">
      <w:pPr>
        <w:spacing w:after="160" w:line="259" w:lineRule="auto"/>
      </w:pPr>
      <w:r>
        <w:br w:type="page"/>
      </w:r>
    </w:p>
    <w:p w14:paraId="0359D535" w14:textId="2E6AB74F" w:rsidR="00390174" w:rsidRDefault="00390174" w:rsidP="00390174">
      <w:pPr>
        <w:pStyle w:val="Heading2"/>
        <w:numPr>
          <w:ilvl w:val="0"/>
          <w:numId w:val="4"/>
        </w:numPr>
      </w:pPr>
      <w:r>
        <w:lastRenderedPageBreak/>
        <w:t>Response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7176"/>
      </w:tblGrid>
      <w:tr w:rsidR="000777B1" w:rsidRPr="000F08B8" w14:paraId="6B4E9DF1" w14:textId="77777777" w:rsidTr="000777B1">
        <w:tc>
          <w:tcPr>
            <w:tcW w:w="6232" w:type="dxa"/>
          </w:tcPr>
          <w:p w14:paraId="2017A151" w14:textId="0A027ED5" w:rsidR="000777B1" w:rsidRPr="000F08B8" w:rsidRDefault="000777B1" w:rsidP="000777B1">
            <w:r w:rsidRPr="000F08B8">
              <w:rPr>
                <w:b/>
                <w:bCs/>
                <w:sz w:val="28"/>
                <w:szCs w:val="32"/>
              </w:rPr>
              <w:t>Item</w:t>
            </w:r>
          </w:p>
        </w:tc>
        <w:tc>
          <w:tcPr>
            <w:tcW w:w="7176" w:type="dxa"/>
          </w:tcPr>
          <w:p w14:paraId="459474B8" w14:textId="7BD3B874" w:rsidR="000777B1" w:rsidRPr="000F08B8" w:rsidRDefault="00200D98" w:rsidP="000777B1">
            <w:r w:rsidRPr="000F08B8">
              <w:rPr>
                <w:b/>
                <w:bCs/>
                <w:sz w:val="28"/>
                <w:szCs w:val="32"/>
              </w:rPr>
              <w:t>Cost in £ excluding VAT</w:t>
            </w:r>
          </w:p>
        </w:tc>
      </w:tr>
      <w:tr w:rsidR="000777B1" w:rsidRPr="000F08B8" w14:paraId="45CB29D4" w14:textId="77777777" w:rsidTr="000777B1">
        <w:tc>
          <w:tcPr>
            <w:tcW w:w="6232" w:type="dxa"/>
          </w:tcPr>
          <w:p w14:paraId="78EDF38A" w14:textId="77777777" w:rsidR="000777B1" w:rsidRPr="000F08B8" w:rsidRDefault="00117511" w:rsidP="000777B1">
            <w:pPr>
              <w:rPr>
                <w:b/>
                <w:bCs/>
                <w:sz w:val="22"/>
                <w:szCs w:val="20"/>
              </w:rPr>
            </w:pPr>
            <w:r w:rsidRPr="000F08B8">
              <w:rPr>
                <w:b/>
                <w:bCs/>
                <w:sz w:val="22"/>
                <w:szCs w:val="20"/>
              </w:rPr>
              <w:t>Overall Project Costs</w:t>
            </w:r>
          </w:p>
          <w:p w14:paraId="6E7A6E4C" w14:textId="345AC77F" w:rsidR="00B34021" w:rsidRPr="000F08B8" w:rsidRDefault="0059214C" w:rsidP="000777B1">
            <w:pPr>
              <w:rPr>
                <w:sz w:val="22"/>
                <w:szCs w:val="20"/>
              </w:rPr>
            </w:pPr>
            <w:r w:rsidRPr="0059214C">
              <w:rPr>
                <w:sz w:val="22"/>
                <w:szCs w:val="20"/>
              </w:rPr>
              <w:t>All costs associated with delivery of the Alpha phase proof of concept, including supplier resources across technical and cultural activity, delivery and collaboration activities, and any associated expenses.</w:t>
            </w:r>
          </w:p>
        </w:tc>
        <w:tc>
          <w:tcPr>
            <w:tcW w:w="7176" w:type="dxa"/>
          </w:tcPr>
          <w:p w14:paraId="69E65EAE" w14:textId="77777777" w:rsidR="000777B1" w:rsidRPr="000F08B8" w:rsidRDefault="000777B1" w:rsidP="000777B1"/>
        </w:tc>
      </w:tr>
    </w:tbl>
    <w:p w14:paraId="58A3D14A" w14:textId="77777777" w:rsidR="000777B1" w:rsidRPr="000F08B8" w:rsidRDefault="000777B1" w:rsidP="000777B1"/>
    <w:p w14:paraId="11ED93DD" w14:textId="3E4F2D84" w:rsidR="00390174" w:rsidRDefault="00200D98" w:rsidP="00390174">
      <w:r w:rsidRPr="000F08B8">
        <w:t>Please use the table</w:t>
      </w:r>
      <w:r w:rsidR="001B7DA4" w:rsidRPr="000F08B8">
        <w:t xml:space="preserve"> below to describe how the overall project costs are broken down, as well as providing information on any optional or additional added-value activities you may offer, as well as any assumptions that you are making which underpin your pricing.</w:t>
      </w:r>
      <w:r w:rsidR="001B7DA4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7176"/>
      </w:tblGrid>
      <w:tr w:rsidR="00B66601" w14:paraId="66D251F1" w14:textId="77777777" w:rsidTr="004B48BF">
        <w:tc>
          <w:tcPr>
            <w:tcW w:w="6232" w:type="dxa"/>
          </w:tcPr>
          <w:p w14:paraId="4448307F" w14:textId="3A240AEA" w:rsidR="00B66601" w:rsidRDefault="00AE2E63" w:rsidP="00390174">
            <w:r>
              <w:rPr>
                <w:b/>
                <w:bCs/>
                <w:sz w:val="28"/>
                <w:szCs w:val="32"/>
              </w:rPr>
              <w:t>Item</w:t>
            </w:r>
          </w:p>
        </w:tc>
        <w:tc>
          <w:tcPr>
            <w:tcW w:w="7176" w:type="dxa"/>
          </w:tcPr>
          <w:p w14:paraId="2079417E" w14:textId="714D4018" w:rsidR="00B66601" w:rsidRDefault="004642D3" w:rsidP="00390174">
            <w:r>
              <w:rPr>
                <w:b/>
                <w:bCs/>
                <w:sz w:val="28"/>
                <w:szCs w:val="32"/>
              </w:rPr>
              <w:t xml:space="preserve">Tenderer </w:t>
            </w:r>
            <w:r w:rsidR="00895971">
              <w:rPr>
                <w:b/>
                <w:bCs/>
                <w:sz w:val="28"/>
                <w:szCs w:val="32"/>
              </w:rPr>
              <w:t>r</w:t>
            </w:r>
            <w:r>
              <w:rPr>
                <w:b/>
                <w:bCs/>
                <w:sz w:val="28"/>
                <w:szCs w:val="32"/>
              </w:rPr>
              <w:t>esponse</w:t>
            </w:r>
          </w:p>
        </w:tc>
      </w:tr>
      <w:tr w:rsidR="00B66601" w14:paraId="6D62BC9E" w14:textId="77777777" w:rsidTr="004B48BF">
        <w:tc>
          <w:tcPr>
            <w:tcW w:w="6232" w:type="dxa"/>
          </w:tcPr>
          <w:p w14:paraId="64487640" w14:textId="77777777" w:rsidR="002C0057" w:rsidRPr="002C0057" w:rsidRDefault="002C0057" w:rsidP="005C4C71">
            <w:pPr>
              <w:jc w:val="both"/>
              <w:rPr>
                <w:b/>
                <w:bCs/>
                <w:sz w:val="22"/>
                <w:szCs w:val="24"/>
              </w:rPr>
            </w:pPr>
            <w:r w:rsidRPr="005C4C71">
              <w:rPr>
                <w:b/>
                <w:bCs/>
                <w:sz w:val="22"/>
                <w:szCs w:val="24"/>
              </w:rPr>
              <w:t>Alpha delivery and coordination</w:t>
            </w:r>
          </w:p>
          <w:p w14:paraId="4AED5D8D" w14:textId="77777777" w:rsidR="002C0057" w:rsidRPr="002C0057" w:rsidRDefault="002C0057" w:rsidP="002C0057">
            <w:pPr>
              <w:jc w:val="both"/>
              <w:rPr>
                <w:sz w:val="22"/>
                <w:szCs w:val="24"/>
              </w:rPr>
            </w:pPr>
            <w:r w:rsidRPr="002C0057">
              <w:rPr>
                <w:sz w:val="22"/>
                <w:szCs w:val="24"/>
              </w:rPr>
              <w:t>All costs associated with coordinating and managing delivery of the Alpha phase proof of concept, including:</w:t>
            </w:r>
          </w:p>
          <w:p w14:paraId="0F2ABE12" w14:textId="77777777" w:rsidR="002C0057" w:rsidRPr="002C0057" w:rsidRDefault="002C0057" w:rsidP="002C0057">
            <w:pPr>
              <w:pStyle w:val="ListParagraph"/>
              <w:numPr>
                <w:ilvl w:val="0"/>
                <w:numId w:val="11"/>
              </w:numPr>
              <w:spacing w:line="228" w:lineRule="auto"/>
              <w:jc w:val="both"/>
              <w:rPr>
                <w:sz w:val="22"/>
                <w:szCs w:val="24"/>
              </w:rPr>
            </w:pPr>
            <w:r w:rsidRPr="002C0057">
              <w:rPr>
                <w:sz w:val="22"/>
                <w:szCs w:val="24"/>
              </w:rPr>
              <w:t>Day-to-day delivery management and coordination across technical and cultural activities</w:t>
            </w:r>
          </w:p>
          <w:p w14:paraId="75CA75D4" w14:textId="77777777" w:rsidR="002C0057" w:rsidRPr="002C0057" w:rsidRDefault="002C0057" w:rsidP="002C0057">
            <w:pPr>
              <w:pStyle w:val="ListParagraph"/>
              <w:numPr>
                <w:ilvl w:val="0"/>
                <w:numId w:val="11"/>
              </w:numPr>
              <w:spacing w:line="228" w:lineRule="auto"/>
              <w:jc w:val="both"/>
              <w:rPr>
                <w:sz w:val="22"/>
                <w:szCs w:val="24"/>
              </w:rPr>
            </w:pPr>
            <w:r w:rsidRPr="002C0057">
              <w:rPr>
                <w:sz w:val="22"/>
                <w:szCs w:val="24"/>
              </w:rPr>
              <w:t>Sprint or iteration planning, prioritisation, and risk management</w:t>
            </w:r>
          </w:p>
          <w:p w14:paraId="2D9E7C38" w14:textId="35EDAF63" w:rsidR="0025171D" w:rsidRPr="005C4C71" w:rsidRDefault="002C0057" w:rsidP="005C4C71">
            <w:pPr>
              <w:pStyle w:val="ListParagraph"/>
              <w:numPr>
                <w:ilvl w:val="0"/>
                <w:numId w:val="11"/>
              </w:numPr>
              <w:spacing w:line="228" w:lineRule="auto"/>
              <w:jc w:val="both"/>
              <w:rPr>
                <w:sz w:val="22"/>
                <w:szCs w:val="24"/>
              </w:rPr>
            </w:pPr>
            <w:r w:rsidRPr="002C0057">
              <w:rPr>
                <w:sz w:val="22"/>
                <w:szCs w:val="24"/>
              </w:rPr>
              <w:t>Progress reporting, show-and-tell sessions, and engagement with the Sport Wales project team</w:t>
            </w:r>
          </w:p>
        </w:tc>
        <w:tc>
          <w:tcPr>
            <w:tcW w:w="7176" w:type="dxa"/>
          </w:tcPr>
          <w:p w14:paraId="341038E0" w14:textId="77777777" w:rsidR="00B66601" w:rsidRDefault="00B66601" w:rsidP="00390174"/>
        </w:tc>
      </w:tr>
      <w:tr w:rsidR="00B66601" w14:paraId="79BD31A5" w14:textId="77777777" w:rsidTr="004B48BF">
        <w:tc>
          <w:tcPr>
            <w:tcW w:w="6232" w:type="dxa"/>
          </w:tcPr>
          <w:p w14:paraId="48581F67" w14:textId="77777777" w:rsidR="005C4C71" w:rsidRDefault="005C4C71" w:rsidP="00DD452D">
            <w:pPr>
              <w:jc w:val="both"/>
              <w:rPr>
                <w:b/>
                <w:bCs/>
                <w:sz w:val="22"/>
                <w:szCs w:val="24"/>
              </w:rPr>
            </w:pPr>
            <w:r w:rsidRPr="005C4C71">
              <w:rPr>
                <w:b/>
                <w:bCs/>
                <w:sz w:val="22"/>
                <w:szCs w:val="24"/>
              </w:rPr>
              <w:t>Technical delivery and data pipeline build</w:t>
            </w:r>
          </w:p>
          <w:p w14:paraId="4E067077" w14:textId="77777777" w:rsidR="005C4C71" w:rsidRPr="005C4C71" w:rsidRDefault="005C4C71" w:rsidP="005C4C71">
            <w:pPr>
              <w:jc w:val="both"/>
              <w:rPr>
                <w:sz w:val="22"/>
                <w:szCs w:val="24"/>
              </w:rPr>
            </w:pPr>
            <w:r w:rsidRPr="005C4C71">
              <w:rPr>
                <w:sz w:val="22"/>
                <w:szCs w:val="24"/>
              </w:rPr>
              <w:t>All costs associated with the technical aspects of the Alpha phase, including:</w:t>
            </w:r>
          </w:p>
          <w:p w14:paraId="68156AFB" w14:textId="77777777" w:rsidR="005C4C71" w:rsidRPr="005C4C71" w:rsidRDefault="005C4C71" w:rsidP="005C4C71">
            <w:pPr>
              <w:pStyle w:val="ListParagraph"/>
              <w:numPr>
                <w:ilvl w:val="0"/>
                <w:numId w:val="11"/>
              </w:numPr>
              <w:spacing w:line="228" w:lineRule="auto"/>
              <w:jc w:val="both"/>
              <w:rPr>
                <w:sz w:val="22"/>
                <w:szCs w:val="24"/>
              </w:rPr>
            </w:pPr>
            <w:r w:rsidRPr="005C4C71">
              <w:rPr>
                <w:sz w:val="22"/>
                <w:szCs w:val="24"/>
              </w:rPr>
              <w:lastRenderedPageBreak/>
              <w:t>Design, build, and testing of the proof-of-concept data pipeline</w:t>
            </w:r>
          </w:p>
          <w:p w14:paraId="18B612A7" w14:textId="77777777" w:rsidR="005C4C71" w:rsidRPr="005C4C71" w:rsidRDefault="005C4C71" w:rsidP="005C4C71">
            <w:pPr>
              <w:pStyle w:val="ListParagraph"/>
              <w:numPr>
                <w:ilvl w:val="0"/>
                <w:numId w:val="11"/>
              </w:numPr>
              <w:spacing w:line="228" w:lineRule="auto"/>
              <w:jc w:val="both"/>
              <w:rPr>
                <w:sz w:val="22"/>
                <w:szCs w:val="24"/>
              </w:rPr>
            </w:pPr>
            <w:r w:rsidRPr="005C4C71">
              <w:rPr>
                <w:sz w:val="22"/>
                <w:szCs w:val="24"/>
              </w:rPr>
              <w:t>Data ingestion, transformation, modelling, and quality activities</w:t>
            </w:r>
          </w:p>
          <w:p w14:paraId="1BF640A0" w14:textId="77777777" w:rsidR="005C4C71" w:rsidRPr="005C4C71" w:rsidRDefault="005C4C71" w:rsidP="005C4C71">
            <w:pPr>
              <w:pStyle w:val="ListParagraph"/>
              <w:numPr>
                <w:ilvl w:val="0"/>
                <w:numId w:val="11"/>
              </w:numPr>
              <w:spacing w:line="228" w:lineRule="auto"/>
              <w:jc w:val="both"/>
              <w:rPr>
                <w:sz w:val="22"/>
                <w:szCs w:val="24"/>
              </w:rPr>
            </w:pPr>
            <w:r w:rsidRPr="005C4C71">
              <w:rPr>
                <w:sz w:val="22"/>
                <w:szCs w:val="24"/>
              </w:rPr>
              <w:t>Development of sample reporting or visualisations to demonstrate the agreed use case</w:t>
            </w:r>
          </w:p>
          <w:p w14:paraId="50E0B4C8" w14:textId="77777777" w:rsidR="0025171D" w:rsidRDefault="005C4C71" w:rsidP="00DD452D">
            <w:pPr>
              <w:pStyle w:val="ListParagraph"/>
              <w:numPr>
                <w:ilvl w:val="0"/>
                <w:numId w:val="11"/>
              </w:numPr>
              <w:spacing w:line="228" w:lineRule="auto"/>
              <w:jc w:val="both"/>
              <w:rPr>
                <w:sz w:val="22"/>
                <w:szCs w:val="24"/>
              </w:rPr>
            </w:pPr>
            <w:r w:rsidRPr="005C4C71">
              <w:rPr>
                <w:sz w:val="22"/>
                <w:szCs w:val="24"/>
              </w:rPr>
              <w:t>Technical documentation, diagrams, and artefacts required to support internal ownership</w:t>
            </w:r>
          </w:p>
          <w:p w14:paraId="0A47E25C" w14:textId="77777777" w:rsidR="004F1EED" w:rsidRDefault="004F1EED" w:rsidP="00DD452D">
            <w:pPr>
              <w:pStyle w:val="ListParagraph"/>
              <w:numPr>
                <w:ilvl w:val="0"/>
                <w:numId w:val="11"/>
              </w:numPr>
              <w:spacing w:line="228" w:lineRule="auto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Licensing </w:t>
            </w:r>
            <w:r w:rsidR="00927879">
              <w:rPr>
                <w:sz w:val="22"/>
                <w:szCs w:val="24"/>
              </w:rPr>
              <w:t>costs for the initial 6-months</w:t>
            </w:r>
            <w:r w:rsidR="003F67C8">
              <w:rPr>
                <w:sz w:val="22"/>
                <w:szCs w:val="24"/>
              </w:rPr>
              <w:t xml:space="preserve"> of PoC delivery</w:t>
            </w:r>
          </w:p>
          <w:p w14:paraId="38D82E0A" w14:textId="77777777" w:rsidR="00AB1C1C" w:rsidRDefault="00AB1C1C" w:rsidP="00AB1C1C">
            <w:pPr>
              <w:pStyle w:val="ListParagraph"/>
              <w:spacing w:line="228" w:lineRule="auto"/>
              <w:ind w:left="360"/>
              <w:jc w:val="both"/>
              <w:rPr>
                <w:sz w:val="22"/>
                <w:szCs w:val="24"/>
              </w:rPr>
            </w:pPr>
          </w:p>
          <w:p w14:paraId="7FEAF208" w14:textId="760239DF" w:rsidR="003F67C8" w:rsidRPr="005C4C71" w:rsidRDefault="003F67C8" w:rsidP="00DD452D">
            <w:pPr>
              <w:pStyle w:val="ListParagraph"/>
              <w:numPr>
                <w:ilvl w:val="0"/>
                <w:numId w:val="11"/>
              </w:numPr>
              <w:spacing w:line="228" w:lineRule="auto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Ongoing licensing costs, including </w:t>
            </w:r>
            <w:r w:rsidR="000F69E7">
              <w:rPr>
                <w:sz w:val="22"/>
                <w:szCs w:val="24"/>
              </w:rPr>
              <w:t>costs associated with scaling the PoC [</w:t>
            </w:r>
            <w:r w:rsidR="000F69E7">
              <w:rPr>
                <w:i/>
                <w:iCs/>
                <w:sz w:val="22"/>
                <w:szCs w:val="24"/>
              </w:rPr>
              <w:t>note. tenderers will not be scored against their ongoing</w:t>
            </w:r>
            <w:r w:rsidR="00645803">
              <w:rPr>
                <w:i/>
                <w:iCs/>
                <w:sz w:val="22"/>
                <w:szCs w:val="24"/>
              </w:rPr>
              <w:t xml:space="preserve"> [beyond PoC]</w:t>
            </w:r>
            <w:r w:rsidR="000F69E7">
              <w:rPr>
                <w:i/>
                <w:iCs/>
                <w:sz w:val="22"/>
                <w:szCs w:val="24"/>
              </w:rPr>
              <w:t xml:space="preserve"> or scalability costs, nor do these costs need to be accounted for in the overall project costs</w:t>
            </w:r>
            <w:r w:rsidR="00645803">
              <w:rPr>
                <w:i/>
                <w:iCs/>
                <w:sz w:val="22"/>
                <w:szCs w:val="24"/>
              </w:rPr>
              <w:t>]</w:t>
            </w:r>
          </w:p>
        </w:tc>
        <w:tc>
          <w:tcPr>
            <w:tcW w:w="7176" w:type="dxa"/>
          </w:tcPr>
          <w:p w14:paraId="735407D3" w14:textId="77777777" w:rsidR="00B66601" w:rsidRDefault="00B66601" w:rsidP="00390174"/>
        </w:tc>
      </w:tr>
      <w:tr w:rsidR="00B66601" w14:paraId="085D03BB" w14:textId="77777777" w:rsidTr="004B48BF">
        <w:tc>
          <w:tcPr>
            <w:tcW w:w="6232" w:type="dxa"/>
          </w:tcPr>
          <w:p w14:paraId="03F3F748" w14:textId="77777777" w:rsidR="009B08BB" w:rsidRDefault="009B08BB" w:rsidP="001B2573">
            <w:pPr>
              <w:jc w:val="both"/>
              <w:rPr>
                <w:b/>
                <w:bCs/>
                <w:sz w:val="22"/>
                <w:szCs w:val="24"/>
              </w:rPr>
            </w:pPr>
            <w:r w:rsidRPr="009B08BB">
              <w:rPr>
                <w:b/>
                <w:bCs/>
                <w:sz w:val="22"/>
                <w:szCs w:val="24"/>
              </w:rPr>
              <w:t>Cultural, capability, and adoption activity</w:t>
            </w:r>
          </w:p>
          <w:p w14:paraId="60368FAA" w14:textId="77777777" w:rsidR="009B08BB" w:rsidRPr="009B08BB" w:rsidRDefault="009B08BB" w:rsidP="009B08BB">
            <w:pPr>
              <w:jc w:val="both"/>
              <w:rPr>
                <w:sz w:val="22"/>
                <w:szCs w:val="24"/>
              </w:rPr>
            </w:pPr>
            <w:r w:rsidRPr="009B08BB">
              <w:rPr>
                <w:sz w:val="22"/>
                <w:szCs w:val="24"/>
              </w:rPr>
              <w:t>All costs associated with understanding and enabling organisational readiness to adopt and sustain the data pipeline, including:</w:t>
            </w:r>
          </w:p>
          <w:p w14:paraId="28326612" w14:textId="77777777" w:rsidR="009B08BB" w:rsidRPr="009B08BB" w:rsidRDefault="009B08BB" w:rsidP="009B08BB">
            <w:pPr>
              <w:pStyle w:val="ListParagraph"/>
              <w:numPr>
                <w:ilvl w:val="0"/>
                <w:numId w:val="11"/>
              </w:numPr>
              <w:spacing w:line="228" w:lineRule="auto"/>
              <w:jc w:val="both"/>
              <w:rPr>
                <w:sz w:val="22"/>
                <w:szCs w:val="24"/>
              </w:rPr>
            </w:pPr>
            <w:r w:rsidRPr="009B08BB">
              <w:rPr>
                <w:sz w:val="22"/>
                <w:szCs w:val="24"/>
              </w:rPr>
              <w:t>Assessment of data culture, readiness, and capability</w:t>
            </w:r>
          </w:p>
          <w:p w14:paraId="308276F0" w14:textId="77777777" w:rsidR="009B08BB" w:rsidRPr="009B08BB" w:rsidRDefault="009B08BB" w:rsidP="009B08BB">
            <w:pPr>
              <w:pStyle w:val="ListParagraph"/>
              <w:numPr>
                <w:ilvl w:val="0"/>
                <w:numId w:val="11"/>
              </w:numPr>
              <w:spacing w:line="228" w:lineRule="auto"/>
              <w:jc w:val="both"/>
              <w:rPr>
                <w:sz w:val="22"/>
                <w:szCs w:val="24"/>
              </w:rPr>
            </w:pPr>
            <w:r w:rsidRPr="009B08BB">
              <w:rPr>
                <w:sz w:val="22"/>
                <w:szCs w:val="24"/>
              </w:rPr>
              <w:t>Design of proportionate adoption, governance, and capability-building recommendations</w:t>
            </w:r>
          </w:p>
          <w:p w14:paraId="1819AA16" w14:textId="77777777" w:rsidR="009B08BB" w:rsidRPr="009B08BB" w:rsidRDefault="009B08BB" w:rsidP="009B08BB">
            <w:pPr>
              <w:pStyle w:val="ListParagraph"/>
              <w:numPr>
                <w:ilvl w:val="0"/>
                <w:numId w:val="11"/>
              </w:numPr>
              <w:spacing w:line="228" w:lineRule="auto"/>
              <w:jc w:val="both"/>
              <w:rPr>
                <w:sz w:val="22"/>
                <w:szCs w:val="24"/>
              </w:rPr>
            </w:pPr>
            <w:r w:rsidRPr="009B08BB">
              <w:rPr>
                <w:sz w:val="22"/>
                <w:szCs w:val="24"/>
              </w:rPr>
              <w:t>Change, engagement, and adoption planning appropriate to an Alpha phase</w:t>
            </w:r>
          </w:p>
          <w:p w14:paraId="6A267ADA" w14:textId="213C2483" w:rsidR="0025171D" w:rsidRPr="009B08BB" w:rsidRDefault="009B08BB" w:rsidP="001B2573">
            <w:pPr>
              <w:pStyle w:val="ListParagraph"/>
              <w:numPr>
                <w:ilvl w:val="0"/>
                <w:numId w:val="11"/>
              </w:numPr>
              <w:spacing w:line="228" w:lineRule="auto"/>
              <w:jc w:val="both"/>
              <w:rPr>
                <w:sz w:val="22"/>
                <w:szCs w:val="24"/>
              </w:rPr>
            </w:pPr>
            <w:r w:rsidRPr="009B08BB">
              <w:rPr>
                <w:sz w:val="22"/>
                <w:szCs w:val="24"/>
              </w:rPr>
              <w:t>Integration of cultural and change activity with technical delivery</w:t>
            </w:r>
          </w:p>
        </w:tc>
        <w:tc>
          <w:tcPr>
            <w:tcW w:w="7176" w:type="dxa"/>
          </w:tcPr>
          <w:p w14:paraId="6143FD65" w14:textId="77777777" w:rsidR="00B66601" w:rsidRDefault="00B66601" w:rsidP="00390174"/>
        </w:tc>
      </w:tr>
      <w:tr w:rsidR="006E6CA7" w14:paraId="19EF9198" w14:textId="77777777" w:rsidTr="004B48BF">
        <w:tc>
          <w:tcPr>
            <w:tcW w:w="6232" w:type="dxa"/>
          </w:tcPr>
          <w:p w14:paraId="21247DB0" w14:textId="77777777" w:rsidR="008E08B6" w:rsidRDefault="008E08B6" w:rsidP="001B2573">
            <w:pPr>
              <w:jc w:val="both"/>
              <w:rPr>
                <w:b/>
                <w:bCs/>
                <w:sz w:val="22"/>
                <w:szCs w:val="24"/>
              </w:rPr>
            </w:pPr>
            <w:r w:rsidRPr="008E08B6">
              <w:rPr>
                <w:b/>
                <w:bCs/>
                <w:sz w:val="22"/>
                <w:szCs w:val="24"/>
              </w:rPr>
              <w:t xml:space="preserve">Travel and Subsistence </w:t>
            </w:r>
          </w:p>
          <w:p w14:paraId="5808047A" w14:textId="4F5093FA" w:rsidR="006E6CA7" w:rsidRPr="009B08BB" w:rsidRDefault="008E08B6" w:rsidP="008E08B6">
            <w:pPr>
              <w:pStyle w:val="NormalWeb"/>
              <w:rPr>
                <w:b/>
                <w:bCs/>
                <w:sz w:val="22"/>
              </w:rPr>
            </w:pPr>
            <w:r w:rsidRPr="008E08B6">
              <w:rPr>
                <w:rFonts w:asciiTheme="minorHAnsi" w:eastAsiaTheme="minorEastAsia" w:hAnsiTheme="minorHAnsi" w:cstheme="minorBidi"/>
                <w:sz w:val="22"/>
                <w:lang w:eastAsia="en-US"/>
              </w:rPr>
              <w:t xml:space="preserve">Any costs associated with travel, accommodation, or subsistence necessary to deliver the work (if applicable). Sport Wales operates a hybrid working </w:t>
            </w:r>
            <w:r w:rsidRPr="008E08B6">
              <w:rPr>
                <w:rFonts w:asciiTheme="minorHAnsi" w:eastAsiaTheme="minorEastAsia" w:hAnsiTheme="minorHAnsi" w:cstheme="minorBidi"/>
                <w:sz w:val="22"/>
                <w:lang w:eastAsia="en-US"/>
              </w:rPr>
              <w:lastRenderedPageBreak/>
              <w:t>model and expects most engagement to be conducted virtually; any physical attendance should be agreed in advance.</w:t>
            </w:r>
          </w:p>
        </w:tc>
        <w:tc>
          <w:tcPr>
            <w:tcW w:w="7176" w:type="dxa"/>
          </w:tcPr>
          <w:p w14:paraId="46A097E2" w14:textId="77777777" w:rsidR="006E6CA7" w:rsidRDefault="006E6CA7" w:rsidP="00390174"/>
        </w:tc>
      </w:tr>
      <w:tr w:rsidR="00B66601" w14:paraId="538A38F8" w14:textId="77777777" w:rsidTr="004B48BF">
        <w:tc>
          <w:tcPr>
            <w:tcW w:w="6232" w:type="dxa"/>
          </w:tcPr>
          <w:p w14:paraId="33A03381" w14:textId="77777777" w:rsidR="006E6CA7" w:rsidRDefault="006E6CA7" w:rsidP="009B08BB">
            <w:pPr>
              <w:spacing w:line="228" w:lineRule="auto"/>
              <w:jc w:val="both"/>
              <w:rPr>
                <w:b/>
                <w:bCs/>
                <w:sz w:val="22"/>
                <w:szCs w:val="24"/>
              </w:rPr>
            </w:pPr>
            <w:r w:rsidRPr="006E6CA7">
              <w:rPr>
                <w:b/>
                <w:bCs/>
                <w:sz w:val="22"/>
                <w:szCs w:val="24"/>
              </w:rPr>
              <w:t>Resource allocation and roles</w:t>
            </w:r>
          </w:p>
          <w:p w14:paraId="6BA47156" w14:textId="77777777" w:rsidR="006E6CA7" w:rsidRDefault="006E6CA7" w:rsidP="006E6CA7">
            <w:pPr>
              <w:pStyle w:val="NormalWeb"/>
            </w:pPr>
            <w:r w:rsidRPr="006E6CA7">
              <w:rPr>
                <w:rFonts w:asciiTheme="minorHAnsi" w:eastAsiaTheme="minorEastAsia" w:hAnsiTheme="minorHAnsi" w:cstheme="minorBidi"/>
                <w:sz w:val="22"/>
                <w:lang w:eastAsia="en-US"/>
              </w:rPr>
              <w:t>A breakdown of resource allocation by role, including</w:t>
            </w:r>
            <w:r>
              <w:t>:</w:t>
            </w:r>
          </w:p>
          <w:p w14:paraId="1E9CD446" w14:textId="77777777" w:rsidR="006E6CA7" w:rsidRPr="006E6CA7" w:rsidRDefault="006E6CA7" w:rsidP="006E6CA7">
            <w:pPr>
              <w:pStyle w:val="ListParagraph"/>
              <w:numPr>
                <w:ilvl w:val="0"/>
                <w:numId w:val="11"/>
              </w:numPr>
              <w:spacing w:line="228" w:lineRule="auto"/>
              <w:jc w:val="both"/>
              <w:rPr>
                <w:sz w:val="22"/>
                <w:szCs w:val="24"/>
              </w:rPr>
            </w:pPr>
            <w:r w:rsidRPr="006E6CA7">
              <w:rPr>
                <w:sz w:val="22"/>
                <w:szCs w:val="24"/>
              </w:rPr>
              <w:t>Role descriptions (e.g. technical lead, data engineer, analyst, change specialist)</w:t>
            </w:r>
          </w:p>
          <w:p w14:paraId="018847CB" w14:textId="77777777" w:rsidR="006E6CA7" w:rsidRPr="006E6CA7" w:rsidRDefault="006E6CA7" w:rsidP="006E6CA7">
            <w:pPr>
              <w:pStyle w:val="ListParagraph"/>
              <w:numPr>
                <w:ilvl w:val="0"/>
                <w:numId w:val="11"/>
              </w:numPr>
              <w:spacing w:line="228" w:lineRule="auto"/>
              <w:jc w:val="both"/>
              <w:rPr>
                <w:sz w:val="22"/>
                <w:szCs w:val="24"/>
              </w:rPr>
            </w:pPr>
            <w:r w:rsidRPr="006E6CA7">
              <w:rPr>
                <w:sz w:val="22"/>
                <w:szCs w:val="24"/>
              </w:rPr>
              <w:t>Day rates and estimated number of days per role</w:t>
            </w:r>
          </w:p>
          <w:p w14:paraId="7364CFF5" w14:textId="4A2375FA" w:rsidR="00B66601" w:rsidRPr="006E6CA7" w:rsidRDefault="006E6CA7" w:rsidP="006E6CA7">
            <w:pPr>
              <w:pStyle w:val="ListParagraph"/>
              <w:numPr>
                <w:ilvl w:val="0"/>
                <w:numId w:val="11"/>
              </w:numPr>
              <w:spacing w:line="228" w:lineRule="auto"/>
              <w:jc w:val="both"/>
              <w:rPr>
                <w:sz w:val="22"/>
                <w:szCs w:val="24"/>
              </w:rPr>
            </w:pPr>
            <w:r w:rsidRPr="006E6CA7">
              <w:rPr>
                <w:sz w:val="22"/>
                <w:szCs w:val="24"/>
              </w:rPr>
              <w:t>How resource effort is distributed across technical delivery, cultural activity, and knowledge transfer</w:t>
            </w:r>
          </w:p>
        </w:tc>
        <w:tc>
          <w:tcPr>
            <w:tcW w:w="7176" w:type="dxa"/>
          </w:tcPr>
          <w:p w14:paraId="7D8ADE97" w14:textId="77777777" w:rsidR="00B66601" w:rsidRDefault="00B66601" w:rsidP="00390174"/>
        </w:tc>
      </w:tr>
      <w:tr w:rsidR="00B66601" w14:paraId="46FCDAD0" w14:textId="77777777" w:rsidTr="004B48BF">
        <w:tc>
          <w:tcPr>
            <w:tcW w:w="6232" w:type="dxa"/>
          </w:tcPr>
          <w:p w14:paraId="5A4E965D" w14:textId="77777777" w:rsidR="00A74180" w:rsidRPr="00A74180" w:rsidRDefault="00A74180" w:rsidP="00A74180">
            <w:pPr>
              <w:spacing w:line="228" w:lineRule="auto"/>
              <w:jc w:val="both"/>
              <w:rPr>
                <w:b/>
                <w:bCs/>
                <w:sz w:val="22"/>
                <w:szCs w:val="24"/>
              </w:rPr>
            </w:pPr>
            <w:r w:rsidRPr="00A74180">
              <w:rPr>
                <w:b/>
                <w:bCs/>
                <w:sz w:val="22"/>
                <w:szCs w:val="24"/>
              </w:rPr>
              <w:t>Optional or Additional Services</w:t>
            </w:r>
          </w:p>
          <w:p w14:paraId="222D6380" w14:textId="67484366" w:rsidR="00A74180" w:rsidRPr="00A74180" w:rsidRDefault="00A74180" w:rsidP="00A74180">
            <w:pPr>
              <w:spacing w:line="228" w:lineRule="auto"/>
              <w:jc w:val="both"/>
              <w:rPr>
                <w:b/>
                <w:bCs/>
                <w:sz w:val="22"/>
              </w:rPr>
            </w:pPr>
            <w:r w:rsidRPr="00A74180">
              <w:rPr>
                <w:sz w:val="22"/>
                <w:szCs w:val="24"/>
              </w:rPr>
              <w:t>Tenderers may include any optional or value-added activities that they believe would enhance the project outcomes (e.g. additional research, training, or implementation support). These should be clearly itemised and costed separately.</w:t>
            </w:r>
          </w:p>
          <w:p w14:paraId="78B87482" w14:textId="239A955A" w:rsidR="00895971" w:rsidRDefault="00895971" w:rsidP="00895971">
            <w:pPr>
              <w:pStyle w:val="NoSpacing"/>
              <w:ind w:left="720"/>
            </w:pPr>
          </w:p>
        </w:tc>
        <w:tc>
          <w:tcPr>
            <w:tcW w:w="7176" w:type="dxa"/>
          </w:tcPr>
          <w:p w14:paraId="575A8713" w14:textId="77777777" w:rsidR="00B66601" w:rsidRDefault="00B66601" w:rsidP="00390174"/>
        </w:tc>
      </w:tr>
      <w:tr w:rsidR="00B66601" w14:paraId="101A8AC2" w14:textId="77777777" w:rsidTr="004B48BF">
        <w:tc>
          <w:tcPr>
            <w:tcW w:w="6232" w:type="dxa"/>
          </w:tcPr>
          <w:p w14:paraId="077E5DC6" w14:textId="77777777" w:rsidR="00790A50" w:rsidRPr="00790A50" w:rsidRDefault="00790A50" w:rsidP="00790A50">
            <w:pPr>
              <w:spacing w:line="228" w:lineRule="auto"/>
              <w:jc w:val="both"/>
              <w:rPr>
                <w:b/>
                <w:bCs/>
                <w:sz w:val="22"/>
              </w:rPr>
            </w:pPr>
            <w:r w:rsidRPr="00790A50">
              <w:rPr>
                <w:b/>
                <w:bCs/>
                <w:sz w:val="22"/>
                <w:szCs w:val="24"/>
              </w:rPr>
              <w:t>Cost assumptions</w:t>
            </w:r>
          </w:p>
          <w:p w14:paraId="15E02509" w14:textId="77777777" w:rsidR="00790A50" w:rsidRPr="00790A50" w:rsidRDefault="00790A50" w:rsidP="00790A50">
            <w:pPr>
              <w:jc w:val="both"/>
              <w:rPr>
                <w:sz w:val="22"/>
                <w:szCs w:val="24"/>
              </w:rPr>
            </w:pPr>
            <w:r w:rsidRPr="00790A50">
              <w:rPr>
                <w:sz w:val="22"/>
                <w:szCs w:val="24"/>
              </w:rPr>
              <w:t>Tenderers must specify any assumptions underpinning their pricing, including:</w:t>
            </w:r>
          </w:p>
          <w:p w14:paraId="52F99546" w14:textId="77777777" w:rsidR="00790A50" w:rsidRPr="00C6064D" w:rsidRDefault="00790A50" w:rsidP="00790A50">
            <w:pPr>
              <w:pStyle w:val="ListParagraph"/>
              <w:numPr>
                <w:ilvl w:val="0"/>
                <w:numId w:val="11"/>
              </w:numPr>
              <w:spacing w:line="228" w:lineRule="auto"/>
              <w:jc w:val="both"/>
              <w:rPr>
                <w:b/>
                <w:bCs/>
                <w:sz w:val="22"/>
              </w:rPr>
            </w:pPr>
            <w:r w:rsidRPr="00C6064D">
              <w:rPr>
                <w:sz w:val="22"/>
                <w:szCs w:val="24"/>
              </w:rPr>
              <w:t>Currency and tax position (e.g., VAT inclusive or exclusive)</w:t>
            </w:r>
          </w:p>
          <w:p w14:paraId="4BE07173" w14:textId="77777777" w:rsidR="00790A50" w:rsidRPr="00C6064D" w:rsidRDefault="00790A50" w:rsidP="00790A50">
            <w:pPr>
              <w:pStyle w:val="ListParagraph"/>
              <w:numPr>
                <w:ilvl w:val="0"/>
                <w:numId w:val="11"/>
              </w:numPr>
              <w:spacing w:line="228" w:lineRule="auto"/>
              <w:jc w:val="both"/>
              <w:rPr>
                <w:b/>
                <w:bCs/>
                <w:sz w:val="22"/>
              </w:rPr>
            </w:pPr>
            <w:r w:rsidRPr="00C6064D">
              <w:rPr>
                <w:sz w:val="22"/>
                <w:szCs w:val="24"/>
              </w:rPr>
              <w:t>Price validity period</w:t>
            </w:r>
          </w:p>
          <w:p w14:paraId="7C6D2C81" w14:textId="77777777" w:rsidR="00790A50" w:rsidRPr="00C6064D" w:rsidRDefault="00790A50" w:rsidP="00790A50">
            <w:pPr>
              <w:pStyle w:val="ListParagraph"/>
              <w:numPr>
                <w:ilvl w:val="0"/>
                <w:numId w:val="11"/>
              </w:numPr>
              <w:spacing w:line="228" w:lineRule="auto"/>
              <w:jc w:val="both"/>
              <w:rPr>
                <w:b/>
                <w:bCs/>
                <w:sz w:val="22"/>
              </w:rPr>
            </w:pPr>
            <w:r w:rsidRPr="00C6064D">
              <w:rPr>
                <w:sz w:val="22"/>
                <w:szCs w:val="24"/>
              </w:rPr>
              <w:t>Any cost dependencies or conditions</w:t>
            </w:r>
          </w:p>
          <w:p w14:paraId="0BF9B96D" w14:textId="6419D874" w:rsidR="00895971" w:rsidRDefault="00895971" w:rsidP="00895971">
            <w:pPr>
              <w:pStyle w:val="NoSpacing"/>
              <w:ind w:left="720"/>
            </w:pPr>
          </w:p>
        </w:tc>
        <w:tc>
          <w:tcPr>
            <w:tcW w:w="7176" w:type="dxa"/>
          </w:tcPr>
          <w:p w14:paraId="064B4173" w14:textId="77777777" w:rsidR="00B66601" w:rsidRDefault="00B66601" w:rsidP="00390174"/>
        </w:tc>
      </w:tr>
    </w:tbl>
    <w:p w14:paraId="76150596" w14:textId="1F4FBF45" w:rsidR="001F1BA1" w:rsidRPr="001B4DAF" w:rsidRDefault="001F1BA1" w:rsidP="00895971"/>
    <w:sectPr w:rsidR="001F1BA1" w:rsidRPr="001B4DAF" w:rsidSect="004D0D4E">
      <w:type w:val="continuous"/>
      <w:pgSz w:w="16820" w:h="11900" w:orient="landscape"/>
      <w:pgMar w:top="1134" w:right="226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Extra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Black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12B"/>
    <w:multiLevelType w:val="multilevel"/>
    <w:tmpl w:val="158C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64695"/>
    <w:multiLevelType w:val="multilevel"/>
    <w:tmpl w:val="FD2C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A6BB1"/>
    <w:multiLevelType w:val="multilevel"/>
    <w:tmpl w:val="837A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C0EF4"/>
    <w:multiLevelType w:val="hybridMultilevel"/>
    <w:tmpl w:val="D80CD2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513CC4"/>
    <w:multiLevelType w:val="multilevel"/>
    <w:tmpl w:val="C80641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B234C44"/>
    <w:multiLevelType w:val="hybridMultilevel"/>
    <w:tmpl w:val="34C23EF8"/>
    <w:lvl w:ilvl="0" w:tplc="19F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E4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48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6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C7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6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6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96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64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015725D"/>
    <w:multiLevelType w:val="multilevel"/>
    <w:tmpl w:val="4F3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6E7EC4"/>
    <w:multiLevelType w:val="hybridMultilevel"/>
    <w:tmpl w:val="F356EB6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2B1C6B"/>
    <w:multiLevelType w:val="multilevel"/>
    <w:tmpl w:val="DDBA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40182"/>
    <w:multiLevelType w:val="multilevel"/>
    <w:tmpl w:val="06BA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5F189E"/>
    <w:multiLevelType w:val="multilevel"/>
    <w:tmpl w:val="450E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FB3E10"/>
    <w:multiLevelType w:val="multilevel"/>
    <w:tmpl w:val="6C1E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D028BB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6532E28"/>
    <w:multiLevelType w:val="multilevel"/>
    <w:tmpl w:val="EEE8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456461">
    <w:abstractNumId w:val="10"/>
  </w:num>
  <w:num w:numId="2" w16cid:durableId="779566732">
    <w:abstractNumId w:val="9"/>
  </w:num>
  <w:num w:numId="3" w16cid:durableId="1034312679">
    <w:abstractNumId w:val="5"/>
  </w:num>
  <w:num w:numId="4" w16cid:durableId="1231767979">
    <w:abstractNumId w:val="14"/>
  </w:num>
  <w:num w:numId="5" w16cid:durableId="1929728273">
    <w:abstractNumId w:val="12"/>
  </w:num>
  <w:num w:numId="6" w16cid:durableId="159078371">
    <w:abstractNumId w:val="8"/>
  </w:num>
  <w:num w:numId="7" w16cid:durableId="1227842852">
    <w:abstractNumId w:val="6"/>
  </w:num>
  <w:num w:numId="8" w16cid:durableId="1505318230">
    <w:abstractNumId w:val="2"/>
  </w:num>
  <w:num w:numId="9" w16cid:durableId="1915117423">
    <w:abstractNumId w:val="4"/>
  </w:num>
  <w:num w:numId="10" w16cid:durableId="1289824185">
    <w:abstractNumId w:val="3"/>
  </w:num>
  <w:num w:numId="11" w16cid:durableId="1299460213">
    <w:abstractNumId w:val="7"/>
  </w:num>
  <w:num w:numId="12" w16cid:durableId="45224251">
    <w:abstractNumId w:val="0"/>
  </w:num>
  <w:num w:numId="13" w16cid:durableId="1159687384">
    <w:abstractNumId w:val="1"/>
  </w:num>
  <w:num w:numId="14" w16cid:durableId="353657907">
    <w:abstractNumId w:val="15"/>
  </w:num>
  <w:num w:numId="15" w16cid:durableId="1736777939">
    <w:abstractNumId w:val="13"/>
  </w:num>
  <w:num w:numId="16" w16cid:durableId="5977622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2A"/>
    <w:rsid w:val="00026921"/>
    <w:rsid w:val="00053AFA"/>
    <w:rsid w:val="000777B1"/>
    <w:rsid w:val="0008721D"/>
    <w:rsid w:val="000E401C"/>
    <w:rsid w:val="000F08B8"/>
    <w:rsid w:val="000F3F31"/>
    <w:rsid w:val="000F69E7"/>
    <w:rsid w:val="00114A8F"/>
    <w:rsid w:val="00117511"/>
    <w:rsid w:val="0012131A"/>
    <w:rsid w:val="001377E6"/>
    <w:rsid w:val="00142259"/>
    <w:rsid w:val="00172E8B"/>
    <w:rsid w:val="00184520"/>
    <w:rsid w:val="001B2573"/>
    <w:rsid w:val="001B4DAF"/>
    <w:rsid w:val="001B7DA4"/>
    <w:rsid w:val="001C43BB"/>
    <w:rsid w:val="001F1BA1"/>
    <w:rsid w:val="001F360E"/>
    <w:rsid w:val="00200D98"/>
    <w:rsid w:val="0021532A"/>
    <w:rsid w:val="0025171D"/>
    <w:rsid w:val="00252FFF"/>
    <w:rsid w:val="002727B3"/>
    <w:rsid w:val="002C0057"/>
    <w:rsid w:val="00315AD5"/>
    <w:rsid w:val="003322E8"/>
    <w:rsid w:val="00390174"/>
    <w:rsid w:val="003C1E82"/>
    <w:rsid w:val="003E21B4"/>
    <w:rsid w:val="003F28F3"/>
    <w:rsid w:val="003F67C8"/>
    <w:rsid w:val="0041727B"/>
    <w:rsid w:val="004642D3"/>
    <w:rsid w:val="00483176"/>
    <w:rsid w:val="004A6F2F"/>
    <w:rsid w:val="004B48BF"/>
    <w:rsid w:val="004D0D4E"/>
    <w:rsid w:val="004D1419"/>
    <w:rsid w:val="004F1EED"/>
    <w:rsid w:val="00513EA6"/>
    <w:rsid w:val="00544E29"/>
    <w:rsid w:val="0059214C"/>
    <w:rsid w:val="005C4C71"/>
    <w:rsid w:val="005E47A6"/>
    <w:rsid w:val="00645803"/>
    <w:rsid w:val="00652C71"/>
    <w:rsid w:val="006654E2"/>
    <w:rsid w:val="00694220"/>
    <w:rsid w:val="006A1CC8"/>
    <w:rsid w:val="006E5BAC"/>
    <w:rsid w:val="006E6CA7"/>
    <w:rsid w:val="006F03C1"/>
    <w:rsid w:val="007023E4"/>
    <w:rsid w:val="007461CB"/>
    <w:rsid w:val="00765C8C"/>
    <w:rsid w:val="00784185"/>
    <w:rsid w:val="00790A50"/>
    <w:rsid w:val="007C60F4"/>
    <w:rsid w:val="007D4F8E"/>
    <w:rsid w:val="007D71A6"/>
    <w:rsid w:val="0082404C"/>
    <w:rsid w:val="00846E98"/>
    <w:rsid w:val="0086272D"/>
    <w:rsid w:val="00867EC3"/>
    <w:rsid w:val="00895971"/>
    <w:rsid w:val="008A4501"/>
    <w:rsid w:val="008D460B"/>
    <w:rsid w:val="008E08B6"/>
    <w:rsid w:val="008E0A4A"/>
    <w:rsid w:val="00920D09"/>
    <w:rsid w:val="00927879"/>
    <w:rsid w:val="00951B02"/>
    <w:rsid w:val="009A49FC"/>
    <w:rsid w:val="009B08BB"/>
    <w:rsid w:val="00A14348"/>
    <w:rsid w:val="00A74180"/>
    <w:rsid w:val="00A81616"/>
    <w:rsid w:val="00AB0553"/>
    <w:rsid w:val="00AB1C1C"/>
    <w:rsid w:val="00AC44C7"/>
    <w:rsid w:val="00AD73D3"/>
    <w:rsid w:val="00AE2E63"/>
    <w:rsid w:val="00B34021"/>
    <w:rsid w:val="00B41922"/>
    <w:rsid w:val="00B52C66"/>
    <w:rsid w:val="00B66601"/>
    <w:rsid w:val="00B826A7"/>
    <w:rsid w:val="00BD5C7A"/>
    <w:rsid w:val="00BE5685"/>
    <w:rsid w:val="00BE58B0"/>
    <w:rsid w:val="00C319EB"/>
    <w:rsid w:val="00C61982"/>
    <w:rsid w:val="00CB7E45"/>
    <w:rsid w:val="00CC3442"/>
    <w:rsid w:val="00D10939"/>
    <w:rsid w:val="00D52560"/>
    <w:rsid w:val="00D52AF2"/>
    <w:rsid w:val="00D842E1"/>
    <w:rsid w:val="00DD452D"/>
    <w:rsid w:val="00E70FB7"/>
    <w:rsid w:val="00E74455"/>
    <w:rsid w:val="00EF52C5"/>
    <w:rsid w:val="00F6350B"/>
    <w:rsid w:val="00F907C0"/>
    <w:rsid w:val="00FA29B0"/>
    <w:rsid w:val="00FE77E1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E406D"/>
  <w15:chartTrackingRefBased/>
  <w15:docId w15:val="{50B5C0BB-E525-0848-9FFC-2E7C1052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qFormat/>
    <w:rsid w:val="004D0D4E"/>
    <w:pPr>
      <w:spacing w:after="240" w:line="240" w:lineRule="auto"/>
    </w:pPr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D0D4E"/>
    <w:pPr>
      <w:numPr>
        <w:numId w:val="1"/>
      </w:numPr>
      <w:spacing w:after="60" w:line="240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D0D4E"/>
    <w:pPr>
      <w:numPr>
        <w:numId w:val="2"/>
      </w:numPr>
      <w:spacing w:after="60" w:line="240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7D4F8E"/>
    <w:rPr>
      <w:rFonts w:eastAsiaTheme="minorEastAs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5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8B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8B0"/>
    <w:rPr>
      <w:rFonts w:eastAsiaTheme="minorEastAsia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C00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005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1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4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1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b6a5190f-ebbd-42e3-bc8b-869af9a80cc9" ContentTypeId="0x0101" PreviousValue="false"/>
</file>

<file path=customXml/itemProps1.xml><?xml version="1.0" encoding="utf-8"?>
<ds:datastoreItem xmlns:ds="http://schemas.openxmlformats.org/officeDocument/2006/customXml" ds:itemID="{52B323E3-EE21-9E40-8A2E-C595DD1B7D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DFF3AA-5067-4782-959E-1C0504265614}"/>
</file>

<file path=customXml/itemProps3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</dc:creator>
  <cp:keywords/>
  <dc:description/>
  <cp:lastModifiedBy>Steffan Berrow</cp:lastModifiedBy>
  <cp:revision>63</cp:revision>
  <dcterms:created xsi:type="dcterms:W3CDTF">2025-07-07T16:08:00Z</dcterms:created>
  <dcterms:modified xsi:type="dcterms:W3CDTF">2026-01-23T09:06:00Z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</Properties>
</file>