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spacing w:after="281" w:before="281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</w:rPr>
        <w:drawing>
          <wp:inline distB="0" distT="0" distL="114300" distR="114300">
            <wp:extent cx="3948113" cy="73245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48113" cy="7324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lv0h6zhu1lb4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Parc Clwyd RFQ – Evaluation Scoring Guide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Overview:</w:t>
        <w:br w:type="textWrapping"/>
        <w:t xml:space="preserve">All compliant submissions will be evaluated against three criteria: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Price – 40%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Quality – 50%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Social Value – 10%</w:t>
        <w:br w:type="textWrapping"/>
      </w:r>
    </w:p>
    <w:p w:rsidR="00000000" w:rsidDel="00000000" w:rsidP="00000000" w:rsidRDefault="00000000" w:rsidRPr="00000000" w14:paraId="00000007">
      <w:pPr>
        <w:spacing w:after="240" w:before="240" w:lineRule="auto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Bidders may apply for Lot 1 (Supply), Lot 2 (Installation), or both lots.</w:t>
        <w:br w:type="textWrapping"/>
        <w:t xml:space="preserve">Each lot will be evaluated separately where applicable, using the same scoring framework</w:t>
      </w:r>
    </w:p>
    <w:p w:rsidR="00000000" w:rsidDel="00000000" w:rsidP="00000000" w:rsidRDefault="00000000" w:rsidRPr="00000000" w14:paraId="00000008">
      <w:pPr>
        <w:spacing w:after="240" w:before="240" w:lineRule="auto"/>
        <w:jc w:val="left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before="360" w:lineRule="auto"/>
        <w:rPr>
          <w:rFonts w:ascii="Aptos" w:cs="Aptos" w:eastAsia="Aptos" w:hAnsi="Aptos"/>
          <w:b w:val="1"/>
          <w:bCs w:val="1"/>
          <w:color w:val="000000"/>
          <w:sz w:val="34"/>
          <w:szCs w:val="34"/>
        </w:rPr>
      </w:pPr>
      <w:bookmarkStart w:colFirst="0" w:colLast="0" w:name="_heading=h.ie2gfvdibc2z" w:id="1"/>
      <w:bookmarkEnd w:id="1"/>
      <w:r w:rsidDel="00000000" w:rsidR="00000000" w:rsidRPr="00000000">
        <w:rPr>
          <w:rFonts w:ascii="Aptos" w:cs="Aptos" w:eastAsia="Aptos" w:hAnsi="Aptos"/>
          <w:b w:val="1"/>
          <w:bCs w:val="1"/>
          <w:color w:val="000000"/>
          <w:sz w:val="34"/>
          <w:szCs w:val="34"/>
          <w:rtl w:val="0"/>
        </w:rPr>
        <w:t xml:space="preserve">Evaluation Criteria and Weightings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/>
      </w:pPr>
      <w:bookmarkStart w:colFirst="0" w:colLast="0" w:name="_heading=h.6lbtqt40e9er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Price – 40%</w:t>
      </w:r>
      <w:r w:rsidDel="00000000" w:rsidR="00000000" w:rsidRPr="00000000">
        <w:rPr>
          <w:rtl w:val="0"/>
        </w:rPr>
      </w:r>
    </w:p>
    <w:tbl>
      <w:tblPr>
        <w:tblStyle w:val="Table1"/>
        <w:tblW w:w="10185.0" w:type="dxa"/>
        <w:jc w:val="left"/>
        <w:tblInd w:w="-5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15"/>
        <w:gridCol w:w="1530"/>
        <w:gridCol w:w="1935"/>
        <w:gridCol w:w="4305"/>
        <w:tblGridChange w:id="0">
          <w:tblGrid>
            <w:gridCol w:w="2415"/>
            <w:gridCol w:w="1530"/>
            <w:gridCol w:w="1935"/>
            <w:gridCol w:w="4305"/>
          </w:tblGrid>
        </w:tblGridChange>
      </w:tblGrid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Criteria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Max Score (out of 100)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Contribution to Total Score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Cost Competitiveness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20%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Lot 1: equipment supply &amp; delivery costs. Lot 2: installation, surfacing, and associated works.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Transparency of Pricing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10%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Clear and detailed cost breakdown per lot.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Payment Terms &amp; Conditions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10%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Fairness, flexibility, and clarity of proposed terms.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Subtotal – Price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Raw score converted to weighted Price score per lot.</w:t>
            </w:r>
          </w:p>
        </w:tc>
      </w:tr>
    </w:tbl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gw5gggu954g8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jm574yn5wq7w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Quality – 50%</w:t>
      </w:r>
    </w:p>
    <w:tbl>
      <w:tblPr>
        <w:tblStyle w:val="Table2"/>
        <w:tblW w:w="10155.0" w:type="dxa"/>
        <w:jc w:val="left"/>
        <w:tblInd w:w="-5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85"/>
        <w:gridCol w:w="1560"/>
        <w:gridCol w:w="1935"/>
        <w:gridCol w:w="4275"/>
        <w:tblGridChange w:id="0">
          <w:tblGrid>
            <w:gridCol w:w="2385"/>
            <w:gridCol w:w="1560"/>
            <w:gridCol w:w="1935"/>
            <w:gridCol w:w="4275"/>
          </w:tblGrid>
        </w:tblGridChange>
      </w:tblGrid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Criteria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Max Score (out of 100)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Contribution to Total Score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Product Quality &amp; Suitability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20%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Lot 1: product compliance, durability, fitness for purpose. Lot 2: installation methodology and technical approach.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Relevant Experience &amp; Case Studies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15%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Demonstrated experience delivering similar projects; references required.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Installation &amp; Maintenance Support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15%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Lot 1: maintenance guidance, warranties, and post-supply support. Lot 2: installation approach, programme, aftercare, and ongoing servicing.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Subtotal – Quality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Scores applied per lot.</w:t>
            </w:r>
          </w:p>
        </w:tc>
      </w:tr>
    </w:tbl>
    <w:p w:rsidR="00000000" w:rsidDel="00000000" w:rsidP="00000000" w:rsidRDefault="00000000" w:rsidRPr="00000000" w14:paraId="00000035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3"/>
        <w:keepNext w:val="0"/>
        <w:keepLines w:val="0"/>
        <w:spacing w:before="280" w:lineRule="auto"/>
        <w:jc w:val="center"/>
        <w:rPr>
          <w:b w:val="1"/>
          <w:bCs w:val="1"/>
          <w:color w:val="000000"/>
          <w:sz w:val="26"/>
          <w:szCs w:val="26"/>
        </w:rPr>
      </w:pPr>
      <w:bookmarkStart w:colFirst="0" w:colLast="0" w:name="_heading=h.cjd4egwn2gl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3"/>
        <w:keepNext w:val="0"/>
        <w:keepLines w:val="0"/>
        <w:spacing w:before="280" w:lineRule="auto"/>
        <w:jc w:val="center"/>
        <w:rPr>
          <w:b w:val="1"/>
          <w:bCs w:val="1"/>
          <w:color w:val="000000"/>
          <w:sz w:val="26"/>
          <w:szCs w:val="26"/>
        </w:rPr>
      </w:pPr>
      <w:bookmarkStart w:colFirst="0" w:colLast="0" w:name="_heading=h.obltplqif3pc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3"/>
        <w:keepNext w:val="0"/>
        <w:keepLines w:val="0"/>
        <w:spacing w:before="280" w:lineRule="auto"/>
        <w:jc w:val="center"/>
        <w:rPr>
          <w:b w:val="1"/>
          <w:bCs w:val="1"/>
          <w:color w:val="000000"/>
          <w:sz w:val="26"/>
          <w:szCs w:val="26"/>
        </w:rPr>
      </w:pPr>
      <w:bookmarkStart w:colFirst="0" w:colLast="0" w:name="_heading=h.fzxux26fp1ly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mejfdhomc9kz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Social Value – 10%</w:t>
      </w:r>
    </w:p>
    <w:tbl>
      <w:tblPr>
        <w:tblStyle w:val="Table3"/>
        <w:tblW w:w="10155.0" w:type="dxa"/>
        <w:jc w:val="left"/>
        <w:tblInd w:w="-5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45"/>
        <w:gridCol w:w="1470"/>
        <w:gridCol w:w="1980"/>
        <w:gridCol w:w="4260"/>
        <w:tblGridChange w:id="0">
          <w:tblGrid>
            <w:gridCol w:w="2445"/>
            <w:gridCol w:w="1470"/>
            <w:gridCol w:w="1980"/>
            <w:gridCol w:w="4260"/>
          </w:tblGrid>
        </w:tblGridChange>
      </w:tblGrid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Criteria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Max Score (out of 100)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Contribution to Total Score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Environmental Impact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4%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Lot 1: sustainable materials and manufacturing. Lot 2: minimising environmental impact during installation.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Local Economic Contribution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4%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Use of local suppliers, local workforce, and regional spend.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Community Engagement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2%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Lot 1: engagement through supply or education. Lot 2: community involvement during installation and delivery.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Subtotal – Social Value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Applied per lot and combined where bidders apply for both.</w:t>
            </w:r>
          </w:p>
        </w:tc>
      </w:tr>
    </w:tbl>
    <w:p w:rsidR="00000000" w:rsidDel="00000000" w:rsidP="00000000" w:rsidRDefault="00000000" w:rsidRPr="00000000" w14:paraId="0000004E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2"/>
        <w:keepNext w:val="0"/>
        <w:keepLines w:val="0"/>
        <w:spacing w:before="360" w:lineRule="auto"/>
        <w:jc w:val="center"/>
        <w:rPr>
          <w:rFonts w:ascii="Aptos" w:cs="Aptos" w:eastAsia="Aptos" w:hAnsi="Aptos"/>
          <w:b w:val="1"/>
          <w:bCs w:val="1"/>
          <w:color w:val="000000"/>
          <w:sz w:val="34"/>
          <w:szCs w:val="34"/>
        </w:rPr>
      </w:pPr>
      <w:bookmarkStart w:colFirst="0" w:colLast="0" w:name="_heading=h.41wurpo8pd7d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2"/>
        <w:keepNext w:val="0"/>
        <w:keepLines w:val="0"/>
        <w:spacing w:before="360" w:lineRule="auto"/>
        <w:jc w:val="center"/>
        <w:rPr>
          <w:rFonts w:ascii="Aptos" w:cs="Aptos" w:eastAsia="Aptos" w:hAnsi="Aptos"/>
          <w:b w:val="1"/>
          <w:bCs w:val="1"/>
          <w:color w:val="000000"/>
          <w:sz w:val="34"/>
          <w:szCs w:val="34"/>
        </w:rPr>
      </w:pPr>
      <w:bookmarkStart w:colFirst="0" w:colLast="0" w:name="_heading=h.ic4l7blqh6r1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2"/>
        <w:keepNext w:val="0"/>
        <w:keepLines w:val="0"/>
        <w:spacing w:before="360" w:lineRule="auto"/>
        <w:jc w:val="center"/>
        <w:rPr>
          <w:rFonts w:ascii="Aptos" w:cs="Aptos" w:eastAsia="Aptos" w:hAnsi="Aptos"/>
          <w:b w:val="1"/>
          <w:bCs w:val="1"/>
          <w:color w:val="000000"/>
          <w:sz w:val="34"/>
          <w:szCs w:val="34"/>
        </w:rPr>
      </w:pPr>
      <w:bookmarkStart w:colFirst="0" w:colLast="0" w:name="_heading=h.i70hzh8e8gj3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2"/>
        <w:keepNext w:val="0"/>
        <w:keepLines w:val="0"/>
        <w:spacing w:before="360" w:lineRule="auto"/>
        <w:jc w:val="center"/>
        <w:rPr>
          <w:rFonts w:ascii="Aptos" w:cs="Aptos" w:eastAsia="Aptos" w:hAnsi="Aptos"/>
          <w:b w:val="1"/>
          <w:bCs w:val="1"/>
          <w:color w:val="000000"/>
          <w:sz w:val="34"/>
          <w:szCs w:val="34"/>
        </w:rPr>
      </w:pPr>
      <w:bookmarkStart w:colFirst="0" w:colLast="0" w:name="_heading=h.4hsvhrtpk1aj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2"/>
        <w:keepNext w:val="0"/>
        <w:keepLines w:val="0"/>
        <w:spacing w:before="360" w:lineRule="auto"/>
        <w:jc w:val="center"/>
        <w:rPr>
          <w:rFonts w:ascii="Aptos" w:cs="Aptos" w:eastAsia="Aptos" w:hAnsi="Aptos"/>
          <w:b w:val="1"/>
          <w:bCs w:val="1"/>
          <w:color w:val="000000"/>
          <w:sz w:val="34"/>
          <w:szCs w:val="34"/>
        </w:rPr>
      </w:pPr>
      <w:bookmarkStart w:colFirst="0" w:colLast="0" w:name="_heading=h.p74kcod5x6yq" w:id="13"/>
      <w:bookmarkEnd w:id="13"/>
      <w:r w:rsidDel="00000000" w:rsidR="00000000" w:rsidRPr="00000000">
        <w:rPr>
          <w:rFonts w:ascii="Aptos" w:cs="Aptos" w:eastAsia="Aptos" w:hAnsi="Aptos"/>
          <w:b w:val="1"/>
          <w:bCs w:val="1"/>
          <w:color w:val="000000"/>
          <w:sz w:val="34"/>
          <w:szCs w:val="34"/>
          <w:rtl w:val="0"/>
        </w:rPr>
        <w:t xml:space="preserve">Overall Scoring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Each section (Price, Quality, Social Value) is scored out of </w:t>
      </w:r>
      <w:r w:rsidDel="00000000" w:rsidR="00000000" w:rsidRPr="00000000">
        <w:rPr>
          <w:b w:val="1"/>
          <w:bCs w:val="1"/>
          <w:rtl w:val="0"/>
        </w:rPr>
        <w:t xml:space="preserve">100</w:t>
        <w:br w:type="textWrapping"/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Section scores are then </w:t>
      </w:r>
      <w:r w:rsidDel="00000000" w:rsidR="00000000" w:rsidRPr="00000000">
        <w:rPr>
          <w:b w:val="1"/>
          <w:bCs w:val="1"/>
          <w:rtl w:val="0"/>
        </w:rPr>
        <w:t xml:space="preserve">weighted</w:t>
      </w:r>
      <w:r w:rsidDel="00000000" w:rsidR="00000000" w:rsidRPr="00000000">
        <w:rPr>
          <w:rtl w:val="0"/>
        </w:rPr>
        <w:t xml:space="preserve"> in line with the percentages above</w:t>
        <w:br w:type="textWrapping"/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final score is a </w:t>
      </w:r>
      <w:r w:rsidDel="00000000" w:rsidR="00000000" w:rsidRPr="00000000">
        <w:rPr>
          <w:b w:val="1"/>
          <w:bCs w:val="1"/>
          <w:rtl w:val="0"/>
        </w:rPr>
        <w:t xml:space="preserve">weighted total out of 100%</w:t>
        <w:br w:type="textWrapping"/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highest scoring compliant bid per lot will be recommended for award</w:t>
      </w:r>
    </w:p>
    <w:p w:rsidR="00000000" w:rsidDel="00000000" w:rsidP="00000000" w:rsidRDefault="00000000" w:rsidRPr="00000000" w14:paraId="00000058">
      <w:pPr>
        <w:pStyle w:val="Heading2"/>
        <w:keepNext w:val="0"/>
        <w:keepLines w:val="0"/>
        <w:spacing w:before="360" w:lineRule="auto"/>
        <w:jc w:val="center"/>
        <w:rPr>
          <w:rFonts w:ascii="Aptos" w:cs="Aptos" w:eastAsia="Aptos" w:hAnsi="Aptos"/>
          <w:b w:val="1"/>
          <w:bCs w:val="1"/>
          <w:color w:val="000000"/>
          <w:sz w:val="34"/>
          <w:szCs w:val="34"/>
        </w:rPr>
      </w:pPr>
      <w:bookmarkStart w:colFirst="0" w:colLast="0" w:name="_heading=h.iux7s68iqu8z" w:id="14"/>
      <w:bookmarkEnd w:id="14"/>
      <w:r w:rsidDel="00000000" w:rsidR="00000000" w:rsidRPr="00000000">
        <w:rPr>
          <w:rFonts w:ascii="Aptos" w:cs="Aptos" w:eastAsia="Aptos" w:hAnsi="Aptos"/>
          <w:b w:val="1"/>
          <w:bCs w:val="1"/>
          <w:color w:val="000000"/>
          <w:sz w:val="34"/>
          <w:szCs w:val="34"/>
          <w:rtl w:val="0"/>
        </w:rPr>
        <w:t xml:space="preserve">Scoring Scale (All Sections)</w:t>
      </w:r>
    </w:p>
    <w:tbl>
      <w:tblPr>
        <w:tblStyle w:val="Table4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"/>
        <w:gridCol w:w="7935"/>
        <w:tblGridChange w:id="0">
          <w:tblGrid>
            <w:gridCol w:w="1080"/>
            <w:gridCol w:w="793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Excellent</w:t>
            </w:r>
            <w:r w:rsidDel="00000000" w:rsidR="00000000" w:rsidRPr="00000000">
              <w:rPr>
                <w:rtl w:val="0"/>
              </w:rPr>
              <w:t xml:space="preserve"> – Fully meets requirements with significant added value. Clear, thorough, and well-evidenced response.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Good</w:t>
            </w:r>
            <w:r w:rsidDel="00000000" w:rsidR="00000000" w:rsidRPr="00000000">
              <w:rPr>
                <w:rtl w:val="0"/>
              </w:rPr>
              <w:t xml:space="preserve"> – Meets requirements with no major weaknesses. Clear and credible approach.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Satisfactory</w:t>
            </w:r>
            <w:r w:rsidDel="00000000" w:rsidR="00000000" w:rsidRPr="00000000">
              <w:rPr>
                <w:rtl w:val="0"/>
              </w:rPr>
              <w:t xml:space="preserve"> – Meets requirements but lacks depth or clarity in places.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Fair</w:t>
            </w:r>
            <w:r w:rsidDel="00000000" w:rsidR="00000000" w:rsidRPr="00000000">
              <w:rPr>
                <w:rtl w:val="0"/>
              </w:rPr>
              <w:t xml:space="preserve"> – Partially meets requirements; important elements missing or underdeveloped.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Poor</w:t>
            </w:r>
            <w:r w:rsidDel="00000000" w:rsidR="00000000" w:rsidRPr="00000000">
              <w:rPr>
                <w:rtl w:val="0"/>
              </w:rPr>
              <w:t xml:space="preserve"> – Does not meet most requirements; response is unclear or insufficient.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 response or response is wholly inadequate.</w:t>
            </w:r>
          </w:p>
        </w:tc>
      </w:tr>
    </w:tbl>
    <w:p w:rsidR="00000000" w:rsidDel="00000000" w:rsidP="00000000" w:rsidRDefault="00000000" w:rsidRPr="00000000" w14:paraId="00000067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spacing w:after="240" w:before="240" w:lineRule="auto"/>
      <w:jc w:val="cente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Style w:val="Heading3"/>
      <w:spacing w:after="281" w:before="281" w:lineRule="auto"/>
      <w:rPr/>
    </w:pPr>
    <w:bookmarkStart w:colFirst="0" w:colLast="0" w:name="_heading=h.jfpkc3hwu9wp" w:id="15"/>
    <w:bookmarkEnd w:id="15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_GB"/>
      </w:rPr>
    </w:rPrDefault>
    <w:pPrDefault>
      <w:pPr>
        <w:spacing w:after="160" w:line="27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cstheme="majorBidi" w:eastAsiaTheme="majorEastAsia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unhideWhenUsed w:val="1"/>
    <w:qFormat w:val="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8">
    <w:name w:val="heading 8"/>
    <w:basedOn w:val="Normal"/>
    <w:next w:val="Normal"/>
    <w:link w:val="Heading8Char"/>
    <w:uiPriority w:val="9"/>
    <w:unhideWhenUsed w:val="1"/>
    <w:qFormat w:val="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cstheme="majorBidi" w:eastAsiaTheme="majorEastAsia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unhideWhenUsed w:val="1"/>
    <w:qFormat w:val="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 w:val="1"/>
    <w:rPr>
      <w:i w:val="1"/>
      <w:iCs w:val="1"/>
      <w:color w:val="0f4761" w:themeColor="accent1" w:themeShade="0000BF"/>
    </w:rPr>
  </w:style>
  <w:style w:type="character" w:styleId="QuoteChar" w:customStyle="1">
    <w:name w:val="Quote Char"/>
    <w:basedOn w:val="DefaultParagraphFont"/>
    <w:link w:val="Quote"/>
    <w:uiPriority w:val="29"/>
    <w:rPr>
      <w:i w:val="1"/>
      <w:iCs w:val="1"/>
      <w:color w:val="404040" w:themeColor="text1" w:themeTint="0000BF"/>
    </w:rPr>
  </w:style>
  <w:style w:type="paragraph" w:styleId="Quote">
    <w:name w:val="Quote"/>
    <w:basedOn w:val="Normal"/>
    <w:next w:val="Normal"/>
    <w:link w:val="QuoteChar"/>
    <w:uiPriority w:val="29"/>
    <w:qFormat w:val="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Pr>
      <w:b w:val="1"/>
      <w:bCs w:val="1"/>
      <w:smallCaps w:val="1"/>
      <w:color w:val="0f4761" w:themeColor="accent1" w:themeShade="0000BF"/>
      <w:spacing w:val="5"/>
    </w:rPr>
  </w:style>
  <w:style w:type="paragraph" w:styleId="ListParagraph">
    <w:name w:val="List Paragraph"/>
    <w:basedOn w:val="Normal"/>
    <w:uiPriority w:val="34"/>
    <w:qFormat w:val="1"/>
    <w:rsid w:val="71424B9A"/>
    <w:pPr>
      <w:spacing/>
      <w:ind w:left="720"/>
      <w:contextualSpacing w:val="1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qZO3zJr+vAquMVpXyxER5jxdNQ==">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2025-04-10T11:21:17.0000000Z</dcterms:created>
  <dc:creator>Andrew Edwards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0x0101009B8AF44431B7584D84000C0E110A18E4</vt:lpwstr>
  </property>
  <property fmtid="{D5CDD505-2E9C-101B-9397-08002B2CF9AE}" pid="3" name="MediaServiceImageTags">
    <vt:lpwstr/>
  </property>
</Properties>
</file>