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ind w:left="720" w:hanging="720"/>
        <w:rPr/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2589312" cy="7620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-19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9312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Appendix 1</w:t>
      </w:r>
    </w:p>
    <w:p w:rsidR="00000000" w:rsidDel="00000000" w:rsidP="00000000" w:rsidRDefault="00000000" w:rsidRPr="00000000" w14:paraId="00000004">
      <w:pPr>
        <w:pStyle w:val="Heading1"/>
        <w:ind w:left="432" w:hanging="432"/>
        <w:rPr/>
      </w:pPr>
      <w:r w:rsidDel="00000000" w:rsidR="00000000" w:rsidRPr="00000000">
        <w:rPr>
          <w:rtl w:val="0"/>
        </w:rPr>
        <w:t xml:space="preserve">General Project Management and Estates Consultancy</w:t>
      </w:r>
    </w:p>
    <w:p w:rsidR="00000000" w:rsidDel="00000000" w:rsidP="00000000" w:rsidRDefault="00000000" w:rsidRPr="00000000" w14:paraId="00000005">
      <w:pPr>
        <w:pStyle w:val="Heading1"/>
        <w:ind w:left="432" w:hanging="432"/>
        <w:rPr/>
      </w:pPr>
      <w:r w:rsidDel="00000000" w:rsidR="00000000" w:rsidRPr="00000000">
        <w:rPr>
          <w:rtl w:val="0"/>
        </w:rPr>
        <w:t xml:space="preserve">Scope of Services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framework is intended to support the delivery of capital and estate-related projects through the provision of high-quality, collaborative professional consultancy services. Consultants appointed will provide strategic, technical, and project-level advice to Institutions, enabling effective planning, delivery, and management of built environment projects.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Services may include, but are not limited to:</w:t>
      </w:r>
    </w:p>
    <w:p w:rsidR="00000000" w:rsidDel="00000000" w:rsidP="00000000" w:rsidRDefault="00000000" w:rsidRPr="00000000" w14:paraId="00000008">
      <w:pPr>
        <w:pStyle w:val="Heading2"/>
        <w:numPr>
          <w:ilvl w:val="1"/>
          <w:numId w:val="8"/>
        </w:numPr>
        <w:ind w:left="576" w:hanging="576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Project and programme management (inc. Lead Consultant role) </w:t>
      </w:r>
    </w:p>
    <w:p w:rsidR="00000000" w:rsidDel="00000000" w:rsidP="00000000" w:rsidRDefault="00000000" w:rsidRPr="00000000" w14:paraId="00000009">
      <w:pPr>
        <w:pStyle w:val="Heading2"/>
        <w:numPr>
          <w:ilvl w:val="1"/>
          <w:numId w:val="8"/>
        </w:numPr>
        <w:ind w:left="576" w:hanging="576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Quantity Surveying / Cost Consultancy</w:t>
      </w:r>
      <w:r w:rsidDel="00000000" w:rsidR="00000000" w:rsidRPr="00000000">
        <w:rPr>
          <w:b w:val="0"/>
          <w:bCs w:val="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2"/>
        <w:numPr>
          <w:ilvl w:val="1"/>
          <w:numId w:val="8"/>
        </w:numPr>
        <w:ind w:left="576" w:hanging="576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Building Surveying (Condition &amp; Lifecycle)</w:t>
      </w:r>
    </w:p>
    <w:p w:rsidR="00000000" w:rsidDel="00000000" w:rsidP="00000000" w:rsidRDefault="00000000" w:rsidRPr="00000000" w14:paraId="0000000B">
      <w:pPr>
        <w:pStyle w:val="Heading2"/>
        <w:numPr>
          <w:ilvl w:val="1"/>
          <w:numId w:val="8"/>
        </w:numPr>
        <w:ind w:left="576" w:hanging="576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Architecture and Design </w:t>
      </w:r>
    </w:p>
    <w:p w:rsidR="00000000" w:rsidDel="00000000" w:rsidP="00000000" w:rsidRDefault="00000000" w:rsidRPr="00000000" w14:paraId="0000000C">
      <w:pPr>
        <w:pStyle w:val="Heading2"/>
        <w:numPr>
          <w:ilvl w:val="1"/>
          <w:numId w:val="8"/>
        </w:numPr>
        <w:ind w:left="576" w:hanging="576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M&amp;E / Building Services Consultancy </w:t>
      </w:r>
    </w:p>
    <w:p w:rsidR="00000000" w:rsidDel="00000000" w:rsidP="00000000" w:rsidRDefault="00000000" w:rsidRPr="00000000" w14:paraId="0000000D">
      <w:pPr>
        <w:pStyle w:val="Heading2"/>
        <w:numPr>
          <w:ilvl w:val="1"/>
          <w:numId w:val="8"/>
        </w:numPr>
        <w:ind w:left="576" w:hanging="576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Principal Designer / H&amp;S Consultancy </w:t>
      </w:r>
    </w:p>
    <w:p w:rsidR="00000000" w:rsidDel="00000000" w:rsidP="00000000" w:rsidRDefault="00000000" w:rsidRPr="00000000" w14:paraId="0000000E">
      <w:pPr>
        <w:pStyle w:val="Heading2"/>
        <w:numPr>
          <w:ilvl w:val="1"/>
          <w:numId w:val="8"/>
        </w:numPr>
        <w:ind w:left="576" w:hanging="576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Structural Engineer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It is acknowledged that roles may overlap; consultants may be required to operate flexibly across these functions, depending on project needs.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Where applicable, all services must adhere to relevant statutory requirements, including </w:t>
      </w:r>
      <w:r w:rsidDel="00000000" w:rsidR="00000000" w:rsidRPr="00000000">
        <w:rPr>
          <w:b w:val="1"/>
          <w:bCs w:val="1"/>
          <w:rtl w:val="0"/>
        </w:rPr>
        <w:t xml:space="preserve">CDM Regulations 2015</w:t>
      </w:r>
      <w:r w:rsidDel="00000000" w:rsidR="00000000" w:rsidRPr="00000000">
        <w:rPr>
          <w:rtl w:val="0"/>
        </w:rPr>
        <w:t xml:space="preserve">, building regulations, planning legislation, and health and safety law.</w:t>
      </w:r>
    </w:p>
    <w:p w:rsidR="00000000" w:rsidDel="00000000" w:rsidP="00000000" w:rsidRDefault="00000000" w:rsidRPr="00000000" w14:paraId="00000011">
      <w:pPr>
        <w:pStyle w:val="Heading1"/>
        <w:ind w:left="432" w:hanging="432"/>
        <w:rPr/>
      </w:pPr>
      <w:r w:rsidDel="00000000" w:rsidR="00000000" w:rsidRPr="00000000">
        <w:rPr>
          <w:rtl w:val="0"/>
        </w:rPr>
        <w:t xml:space="preserve">Service Descriptions and Requirements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This section outlines the specific responsibilities associated with each service area, acknowledging that delivery may be combined or adapted to meet individual project needs:</w:t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7"/>
        </w:numPr>
        <w:ind w:left="432" w:hanging="432"/>
        <w:rPr/>
      </w:pPr>
      <w:r w:rsidDel="00000000" w:rsidR="00000000" w:rsidRPr="00000000">
        <w:rPr>
          <w:rtl w:val="0"/>
        </w:rPr>
        <w:t xml:space="preserve">Project and Programme Management (inc. Lead Consultant role*)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Lead or support the end-to-end delivery of capital projects.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Develop project execution plans, stakeholder engagement strategies, and governance models.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Monitor performance against time, cost, quality, and risk parameters.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Ensure compliance with internal approval gateways and funding conditions.</w:t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*Please note:</w:t>
      </w:r>
      <w:r w:rsidDel="00000000" w:rsidR="00000000" w:rsidRPr="00000000">
        <w:rPr>
          <w:rtl w:val="0"/>
        </w:rPr>
        <w:t xml:space="preserve"> UWTSD reserves the right to appoint a Lead Consultant, on a project-by-project basis, to coordinate multi-disciplinary services where appropriate. The Lead Consultant may be selected from any relevant sub-lot. Tenderers are required to declare their proposed coordination uplift percentage in the Pricing Schedule (Appendix B), which shall apply only where the role is instructed.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7"/>
        </w:numPr>
        <w:ind w:left="432" w:hanging="432"/>
        <w:rPr/>
      </w:pPr>
      <w:r w:rsidDel="00000000" w:rsidR="00000000" w:rsidRPr="00000000">
        <w:rPr>
          <w:rtl w:val="0"/>
        </w:rPr>
        <w:t xml:space="preserve">Quantity Surveying / Cost Consultancy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Provide feasibility-level cost estimates.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Monitor budgets, tender returns, and financial performance throughout the project lifecycle.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Undertake value engineering where appropriate.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Report on financial status to project boards and funders.</w:t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7"/>
        </w:numPr>
        <w:ind w:left="432" w:hanging="432"/>
        <w:rPr/>
      </w:pPr>
      <w:r w:rsidDel="00000000" w:rsidR="00000000" w:rsidRPr="00000000">
        <w:rPr>
          <w:rtl w:val="0"/>
        </w:rPr>
        <w:t xml:space="preserve"> Building Surveying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Inspect and report on the condition, compliance, and lifecycle of buildings and fabric.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Prepare specifications and schedules of work for repairs, refurbishments, and alterations.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Administer construction and maintenance contracts, including valuations and certification.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Advise on statutory compliance, building regulations, and health and safety.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Support feasibility studies, option appraisals, and asset management planning.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Contribute to CDM compliance and act as Principal Designer where required.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Provide post-completion inspections and advise on defect resolution.</w:t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7"/>
        </w:numPr>
        <w:ind w:left="432" w:hanging="432"/>
        <w:rPr/>
      </w:pPr>
      <w:r w:rsidDel="00000000" w:rsidR="00000000" w:rsidRPr="00000000">
        <w:rPr>
          <w:rtl w:val="0"/>
        </w:rPr>
        <w:t xml:space="preserve">Architecture &amp; Design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Prepare architectural concept designs, planning drawings, and technical working drawings.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Ensure that designs meet institutional briefs, comply with planning and regulatory requirements, and reflect sustainability, accessibility, and operational considerations.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Liaise with statutory consultees (e.g. planning, fire, access).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 with multidisciplinary teams to integrate architectural proposals with M&amp;E and structural inputs.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16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Provide input to design risk assessments and CDM documentation.</w:t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7"/>
        </w:numPr>
        <w:ind w:left="432" w:hanging="432"/>
        <w:rPr/>
      </w:pPr>
      <w:r w:rsidDel="00000000" w:rsidR="00000000" w:rsidRPr="00000000">
        <w:rPr>
          <w:rtl w:val="0"/>
        </w:rPr>
        <w:t xml:space="preserve">Mechanical and Electrical (M&amp;E) / Building Services Consultancy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designs for mechanical, electrical, and public health services, including heating, ventilation, lighting, power, and building management systems.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and carry out performance specifications, load assessments, and system integration plans.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design aligns with energy efficiency and decarbonisation goals, including net zero strategies.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 with architectural and structural designers and contribute to clash detection processes using BIM where applicable.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commissioning, snagging, and handover stages as needed.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Advise on energy efficiency, decarbonisation strategies, and operational optimisation.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ongoing technical guidance, feasibility studies, and specialist consultancy throughout the project lifecycle.</w:t>
      </w:r>
    </w:p>
    <w:p w:rsidR="00000000" w:rsidDel="00000000" w:rsidP="00000000" w:rsidRDefault="00000000" w:rsidRPr="00000000" w14:paraId="00000034">
      <w:pPr>
        <w:pStyle w:val="Heading1"/>
        <w:numPr>
          <w:ilvl w:val="0"/>
          <w:numId w:val="7"/>
        </w:numPr>
        <w:ind w:left="432" w:hanging="432"/>
        <w:rPr/>
      </w:pPr>
      <w:r w:rsidDel="00000000" w:rsidR="00000000" w:rsidRPr="00000000">
        <w:rPr>
          <w:rtl w:val="0"/>
        </w:rPr>
        <w:t xml:space="preserve">Principal Designer / H&amp;S Consultancy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Deliver the Principal Designer role under the CDM Regulations 2015.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 and manage pre-construction information, design risk registers, and CDM documentation.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ongoing health and safety oversight throughout project stages.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 audits, advise on risk assessments, and ensure contractor compliance.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training and incident reporting as required.</w:t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7"/>
        </w:numPr>
        <w:ind w:left="432" w:hanging="432"/>
        <w:rPr/>
      </w:pPr>
      <w:r w:rsidDel="00000000" w:rsidR="00000000" w:rsidRPr="00000000">
        <w:rPr>
          <w:rtl w:val="0"/>
        </w:rPr>
        <w:t xml:space="preserve">Structural Engineer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structural design and analysis services for new build, refurbishment, and alteration projects.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Undertake structural condition and stress assessments, including evaluation of load capacity, structural integrity, and signs of distress, fatigue, or failure.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Undertake structural inspections, surveys, and condition assessments of existing structures, including appraisal of structural slabs, frames, and load-bearing elements, and RAAC/RACS investigations where applicable.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structural solutions that are safe, compliant, buildable, and aligned with project constraints.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structural calculations, drawings, specifications, and reports suitable for planning, tender, and construction stages.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Advise on structural risks, constraints, temporary works, and buildability considerations.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Liaise and coordinate with architectural, M&amp;E, and other consultancy disciplines.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input into feasibility studies, option appraisals, and technical due diligence.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statutory approvals and compliance with relevant codes, standards, and regulations.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160" w:line="259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Attend site visits, design team meetings, and provide construction-stage technical support where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160" w:line="259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Contribute to CDM compliance, including design risk assessments and residual risk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ind w:left="432" w:hanging="432"/>
        <w:rPr/>
      </w:pPr>
      <w:r w:rsidDel="00000000" w:rsidR="00000000" w:rsidRPr="00000000">
        <w:rPr>
          <w:rtl w:val="0"/>
        </w:rPr>
        <w:t xml:space="preserve">Collaborative Working and Governance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Consultants appointed will be expected to work collaboratively with Institutions, fostering openness, knowledge sharing, and joint problem-solving. Core expectations include: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Engaging constructively with internal client roles, including the Investment Decision Maker (IDM), Senior Responsible Owner (SRO), and Client Project Manager (CPM)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cross-functional delivery involving stakeholders from Estates, Procurement, Finance, and Academic departments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Representing the Institution in communications with contractors, regulators, and external partners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post-project reflection, continuous improvement, and knowledge transfer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appointed Consultant will play an essential role in facilitating communication and trust among all parties, helping to align project outputs with institutional strategy and long-term estate goals.</w:t>
      </w:r>
    </w:p>
    <w:p w:rsidR="00000000" w:rsidDel="00000000" w:rsidP="00000000" w:rsidRDefault="00000000" w:rsidRPr="00000000" w14:paraId="0000004D">
      <w:pPr>
        <w:pStyle w:val="Heading1"/>
        <w:numPr>
          <w:ilvl w:val="0"/>
          <w:numId w:val="7"/>
        </w:numPr>
        <w:ind w:left="432" w:hanging="432"/>
        <w:rPr/>
      </w:pPr>
      <w:r w:rsidDel="00000000" w:rsidR="00000000" w:rsidRPr="00000000">
        <w:rPr>
          <w:rtl w:val="0"/>
        </w:rPr>
        <w:t xml:space="preserve">Outcomes and Legislative Alignment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Services delivered under must contribute to the wider public good, in alignment with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Welsh Procurement Act 2023</w:t>
      </w:r>
      <w:r w:rsidDel="00000000" w:rsidR="00000000" w:rsidRPr="00000000">
        <w:rPr>
          <w:sz w:val="24"/>
          <w:szCs w:val="24"/>
          <w:rtl w:val="0"/>
        </w:rPr>
        <w:t xml:space="preserve"> and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Well-being of Future Generations (Wales) Act 2015</w:t>
      </w:r>
      <w:r w:rsidDel="00000000" w:rsidR="00000000" w:rsidRPr="00000000">
        <w:rPr>
          <w:sz w:val="24"/>
          <w:szCs w:val="24"/>
          <w:rtl w:val="0"/>
        </w:rPr>
        <w:t xml:space="preserve">. Consultants are expected to demonstrate their contribution to the following outcomes: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Good</w:t>
      </w:r>
      <w:r w:rsidDel="00000000" w:rsidR="00000000" w:rsidRPr="00000000">
        <w:rPr>
          <w:sz w:val="24"/>
          <w:szCs w:val="24"/>
          <w:rtl w:val="0"/>
        </w:rPr>
        <w:t xml:space="preserve">: Supporting social, environmental, and economic value through investment in the built environment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Value for Money</w:t>
      </w:r>
      <w:r w:rsidDel="00000000" w:rsidR="00000000" w:rsidRPr="00000000">
        <w:rPr>
          <w:sz w:val="24"/>
          <w:szCs w:val="24"/>
          <w:rtl w:val="0"/>
        </w:rPr>
        <w:t xml:space="preserve">: Ensuring that projects are affordable, accountable, and effective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Sustainability</w:t>
      </w:r>
      <w:r w:rsidDel="00000000" w:rsidR="00000000" w:rsidRPr="00000000">
        <w:rPr>
          <w:sz w:val="24"/>
          <w:szCs w:val="24"/>
          <w:rtl w:val="0"/>
        </w:rPr>
        <w:t xml:space="preserve">: Reducing environmental impact and contributing to carbon targets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Fair Work</w:t>
      </w:r>
      <w:r w:rsidDel="00000000" w:rsidR="00000000" w:rsidRPr="00000000">
        <w:rPr>
          <w:sz w:val="24"/>
          <w:szCs w:val="24"/>
          <w:rtl w:val="0"/>
        </w:rPr>
        <w:t xml:space="preserve">: Supporting inclusive employment, ethical supply chains, and regional development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Transparency and Integrity</w:t>
      </w:r>
      <w:r w:rsidDel="00000000" w:rsidR="00000000" w:rsidRPr="00000000">
        <w:rPr>
          <w:sz w:val="24"/>
          <w:szCs w:val="24"/>
          <w:rtl w:val="0"/>
        </w:rPr>
        <w:t xml:space="preserve">: Acting with professionalism, clarity, and fairness in all client relationships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Consultants should be suitably qualified and experienced, with professional accreditations such as RICS, CIOB, RTPI, RIBA or equivalent as appropriate to the services being provided.</w:t>
      </w:r>
    </w:p>
    <w:p w:rsidR="00000000" w:rsidDel="00000000" w:rsidP="00000000" w:rsidRDefault="00000000" w:rsidRPr="00000000" w14:paraId="00000055">
      <w:pPr>
        <w:pStyle w:val="Heading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8">
    <w:lvl w:ilvl="0">
      <w:start w:val="1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2.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  <w:ind w:left="432" w:hanging="43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  <w:ind w:left="576" w:hanging="576"/>
    </w:pPr>
    <w:rPr>
      <w:b w:val="1"/>
      <w:bCs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  <w:ind w:left="720" w:hanging="720"/>
    </w:pPr>
    <w:rPr>
      <w:b w:val="1"/>
      <w:bCs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  <w:ind w:left="864" w:hanging="864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8" w:hanging="1008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07E3C"/>
    <w:pPr>
      <w:keepNext w:val="1"/>
      <w:keepLines w:val="1"/>
      <w:numPr>
        <w:ilvl w:val="6"/>
        <w:numId w:val="1"/>
      </w:numPr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07E3C"/>
    <w:pPr>
      <w:keepNext w:val="1"/>
      <w:keepLines w:val="1"/>
      <w:numPr>
        <w:ilvl w:val="7"/>
        <w:numId w:val="1"/>
      </w:numPr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07E3C"/>
    <w:pPr>
      <w:keepNext w:val="1"/>
      <w:keepLines w:val="1"/>
      <w:numPr>
        <w:ilvl w:val="8"/>
        <w:numId w:val="1"/>
      </w:numPr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07E3C"/>
    <w:rPr>
      <w:rFonts w:ascii="Calibri" w:hAnsi="Calibri" w:cstheme="majorBidi" w:eastAsiaTheme="majorEastAsia"/>
      <w:b w:val="1"/>
      <w:kern w:val="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07E3C"/>
    <w:rPr>
      <w:rFonts w:ascii="Calibri" w:hAnsi="Calibri" w:cstheme="majorBidi" w:eastAsiaTheme="majorEastAsia"/>
      <w:b w:val="1"/>
      <w:color w:val="000000" w:themeColor="text1"/>
      <w:kern w:val="0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207E3C"/>
    <w:rPr>
      <w:rFonts w:ascii="Calibri" w:hAnsi="Calibri" w:cstheme="majorBidi" w:eastAsiaTheme="majorEastAsia"/>
      <w:b w:val="1"/>
      <w:color w:val="000000" w:themeColor="text1"/>
      <w:kern w:val="0"/>
      <w:sz w:val="22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07E3C"/>
    <w:rPr>
      <w:rFonts w:cstheme="majorBidi" w:eastAsiaTheme="majorEastAsia"/>
      <w:i w:val="1"/>
      <w:iCs w:val="1"/>
      <w:color w:val="0f4761" w:themeColor="accent1" w:themeShade="0000BF"/>
      <w:kern w:val="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07E3C"/>
    <w:rPr>
      <w:rFonts w:cstheme="majorBidi" w:eastAsiaTheme="majorEastAsia"/>
      <w:color w:val="0f4761" w:themeColor="accent1" w:themeShade="0000BF"/>
      <w:kern w:val="0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07E3C"/>
    <w:rPr>
      <w:rFonts w:cstheme="majorBidi" w:eastAsiaTheme="majorEastAsia"/>
      <w:i w:val="1"/>
      <w:iCs w:val="1"/>
      <w:color w:val="595959" w:themeColor="text1" w:themeTint="0000A6"/>
      <w:kern w:val="0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07E3C"/>
    <w:rPr>
      <w:rFonts w:cstheme="majorBidi" w:eastAsiaTheme="majorEastAsia"/>
      <w:color w:val="595959" w:themeColor="text1" w:themeTint="0000A6"/>
      <w:kern w:val="0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07E3C"/>
    <w:rPr>
      <w:rFonts w:cstheme="majorBidi" w:eastAsiaTheme="majorEastAsia"/>
      <w:i w:val="1"/>
      <w:iCs w:val="1"/>
      <w:color w:val="272727" w:themeColor="text1" w:themeTint="0000D8"/>
      <w:kern w:val="0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07E3C"/>
    <w:rPr>
      <w:rFonts w:cstheme="majorBidi" w:eastAsiaTheme="majorEastAsia"/>
      <w:color w:val="272727" w:themeColor="text1" w:themeTint="0000D8"/>
      <w:kern w:val="0"/>
      <w:sz w:val="22"/>
      <w:szCs w:val="22"/>
    </w:rPr>
  </w:style>
  <w:style w:type="character" w:styleId="TitleChar" w:customStyle="1">
    <w:name w:val="Title Char"/>
    <w:basedOn w:val="DefaultParagraphFont"/>
    <w:link w:val="Title"/>
    <w:uiPriority w:val="10"/>
    <w:rsid w:val="00207E3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07E3C"/>
    <w:rPr>
      <w:rFonts w:cstheme="majorBidi" w:eastAsiaTheme="majorEastAsia"/>
      <w:color w:val="595959" w:themeColor="text1" w:themeTint="0000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07E3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07E3C"/>
    <w:rPr>
      <w:rFonts w:ascii="Calibri" w:hAnsi="Calibri" w:eastAsiaTheme="minorEastAsia"/>
      <w:i w:val="1"/>
      <w:iCs w:val="1"/>
      <w:color w:val="404040" w:themeColor="text1" w:themeTint="0000BF"/>
      <w:kern w:val="0"/>
      <w:sz w:val="22"/>
      <w:szCs w:val="22"/>
    </w:rPr>
  </w:style>
  <w:style w:type="paragraph" w:styleId="ListParagraph">
    <w:name w:val="List Paragraph"/>
    <w:basedOn w:val="Normal"/>
    <w:uiPriority w:val="34"/>
    <w:qFormat w:val="1"/>
    <w:rsid w:val="00207E3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07E3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07E3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7E3C"/>
    <w:rPr>
      <w:rFonts w:ascii="Calibri" w:hAnsi="Calibri" w:eastAsiaTheme="minorEastAsia"/>
      <w:i w:val="1"/>
      <w:iCs w:val="1"/>
      <w:color w:val="0f4761" w:themeColor="accent1" w:themeShade="0000BF"/>
      <w:kern w:val="0"/>
      <w:sz w:val="22"/>
      <w:szCs w:val="22"/>
    </w:rPr>
  </w:style>
  <w:style w:type="character" w:styleId="IntenseReference">
    <w:name w:val="Intense Reference"/>
    <w:basedOn w:val="DefaultParagraphFont"/>
    <w:uiPriority w:val="32"/>
    <w:qFormat w:val="1"/>
    <w:rsid w:val="00207E3C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207E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 w:val="1"/>
    <w:rsid w:val="00207E3C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31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3157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3157E"/>
    <w:rPr>
      <w:rFonts w:ascii="Calibri" w:hAnsi="Calibri"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3157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3157E"/>
    <w:rPr>
      <w:rFonts w:ascii="Calibri" w:hAnsi="Calibri" w:eastAsiaTheme="minorEastAsia"/>
      <w:b w:val="1"/>
      <w:bCs w:val="1"/>
      <w:kern w:val="0"/>
      <w:sz w:val="20"/>
      <w:szCs w:val="20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HK8gRBlY0TvCMQ7+24qw17287g==">CgMxLjA4AHIhMWd6ZjhWR0g1aXNMY0ItbFoxbWhfbS1ubFBsT1Qwczg3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2025-07-31T12:52:00Z</dcterms:created>
  <dc:creator>Heidi Davies</dc:creator>
</cp:coreProperties>
</file>