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77AB3" w14:textId="77777777" w:rsidR="008D4D01" w:rsidRDefault="008D4D01" w:rsidP="00EB7502">
      <w:pPr>
        <w:pStyle w:val="NormalWeb"/>
        <w:rPr>
          <w:rFonts w:ascii="Century Gothic" w:hAnsi="Century Gothic"/>
          <w:b/>
          <w:color w:val="000000"/>
          <w:sz w:val="27"/>
          <w:szCs w:val="27"/>
        </w:rPr>
      </w:pPr>
      <w:r>
        <w:rPr>
          <w:rFonts w:ascii="Century Gothic" w:hAnsi="Century Gothic"/>
          <w:b/>
          <w:noProof/>
          <w:color w:val="000000"/>
          <w:sz w:val="27"/>
          <w:szCs w:val="27"/>
        </w:rPr>
        <w:drawing>
          <wp:anchor distT="0" distB="0" distL="114300" distR="114300" simplePos="0" relativeHeight="251658240" behindDoc="0" locked="0" layoutInCell="1" allowOverlap="1" wp14:anchorId="787FCA58" wp14:editId="59827A7E">
            <wp:simplePos x="0" y="0"/>
            <wp:positionH relativeFrom="column">
              <wp:posOffset>5038725</wp:posOffset>
            </wp:positionH>
            <wp:positionV relativeFrom="page">
              <wp:posOffset>200025</wp:posOffset>
            </wp:positionV>
            <wp:extent cx="1266825" cy="158178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FRS Cres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6825" cy="1581785"/>
                    </a:xfrm>
                    <a:prstGeom prst="rect">
                      <a:avLst/>
                    </a:prstGeom>
                  </pic:spPr>
                </pic:pic>
              </a:graphicData>
            </a:graphic>
            <wp14:sizeRelH relativeFrom="margin">
              <wp14:pctWidth>0</wp14:pctWidth>
            </wp14:sizeRelH>
            <wp14:sizeRelV relativeFrom="margin">
              <wp14:pctHeight>0</wp14:pctHeight>
            </wp14:sizeRelV>
          </wp:anchor>
        </w:drawing>
      </w:r>
    </w:p>
    <w:p w14:paraId="36CACC97" w14:textId="77777777" w:rsidR="008D4D01" w:rsidRDefault="008D4D01" w:rsidP="00EB7502">
      <w:pPr>
        <w:pStyle w:val="NormalWeb"/>
        <w:rPr>
          <w:rFonts w:ascii="Century Gothic" w:hAnsi="Century Gothic"/>
          <w:b/>
          <w:color w:val="000000"/>
          <w:sz w:val="27"/>
          <w:szCs w:val="27"/>
        </w:rPr>
      </w:pPr>
    </w:p>
    <w:p w14:paraId="1D17931A" w14:textId="77777777" w:rsidR="00EB7502" w:rsidRPr="00EB7502" w:rsidRDefault="00EB7502" w:rsidP="00EB7502">
      <w:pPr>
        <w:pStyle w:val="NormalWeb"/>
        <w:rPr>
          <w:rFonts w:ascii="Century Gothic" w:hAnsi="Century Gothic"/>
          <w:b/>
          <w:color w:val="000000"/>
          <w:sz w:val="27"/>
          <w:szCs w:val="27"/>
        </w:rPr>
      </w:pPr>
      <w:r w:rsidRPr="00EB7502">
        <w:rPr>
          <w:rFonts w:ascii="Century Gothic" w:hAnsi="Century Gothic"/>
          <w:b/>
          <w:color w:val="000000"/>
          <w:sz w:val="27"/>
          <w:szCs w:val="27"/>
        </w:rPr>
        <w:t>North Wales Fire and Rescue Service Social &amp; Sustainable procurement considerations</w:t>
      </w:r>
    </w:p>
    <w:p w14:paraId="2C73198C" w14:textId="77777777" w:rsidR="00EB7502" w:rsidRPr="00EB7502" w:rsidRDefault="00EB7502" w:rsidP="00EB7502">
      <w:pPr>
        <w:pStyle w:val="Heading3"/>
        <w:rPr>
          <w:rFonts w:ascii="Century Gothic" w:eastAsiaTheme="minorHAnsi" w:hAnsi="Century Gothic"/>
          <w:color w:val="000000"/>
        </w:rPr>
      </w:pPr>
      <w:r w:rsidRPr="00EB7502">
        <w:rPr>
          <w:rFonts w:ascii="Century Gothic" w:eastAsiaTheme="minorHAnsi" w:hAnsi="Century Gothic"/>
          <w:color w:val="000000"/>
        </w:rPr>
        <w:t>1. </w:t>
      </w:r>
      <w:r w:rsidRPr="00EB7502">
        <w:rPr>
          <w:rStyle w:val="Strong"/>
          <w:rFonts w:ascii="Century Gothic" w:eastAsiaTheme="minorHAnsi" w:hAnsi="Century Gothic"/>
          <w:b/>
          <w:bCs/>
          <w:color w:val="000000"/>
        </w:rPr>
        <w:t>Sustainable Development</w:t>
      </w:r>
    </w:p>
    <w:p w14:paraId="56A7E62D" w14:textId="77777777" w:rsidR="00EB7502" w:rsidRPr="00EB7502" w:rsidRDefault="00EB7502" w:rsidP="00EB7502">
      <w:pPr>
        <w:pStyle w:val="NormalWeb"/>
        <w:rPr>
          <w:rFonts w:ascii="Century Gothic" w:hAnsi="Century Gothic"/>
          <w:color w:val="000000"/>
        </w:rPr>
      </w:pPr>
      <w:r w:rsidRPr="00EB7502">
        <w:rPr>
          <w:rFonts w:ascii="Century Gothic" w:hAnsi="Century Gothic"/>
          <w:color w:val="000000"/>
        </w:rPr>
        <w:t>The core principle of the Act is sustainable development, which means balancing the needs of the present with those of the future. In procurement, this means considering how the goods, services, and works being procured will impact the long-term well-being of Wales.</w:t>
      </w:r>
    </w:p>
    <w:p w14:paraId="02362FC8" w14:textId="77777777" w:rsidR="00EB7502" w:rsidRPr="00EB7502" w:rsidRDefault="00EB7502" w:rsidP="00EB7502">
      <w:pPr>
        <w:pStyle w:val="Heading3"/>
        <w:rPr>
          <w:rFonts w:ascii="Century Gothic" w:eastAsiaTheme="minorHAnsi" w:hAnsi="Century Gothic"/>
          <w:color w:val="000000"/>
        </w:rPr>
      </w:pPr>
      <w:r w:rsidRPr="00EB7502">
        <w:rPr>
          <w:rFonts w:ascii="Century Gothic" w:eastAsiaTheme="minorHAnsi" w:hAnsi="Century Gothic"/>
          <w:color w:val="000000"/>
        </w:rPr>
        <w:t>2. </w:t>
      </w:r>
      <w:r w:rsidRPr="00EB7502">
        <w:rPr>
          <w:rStyle w:val="Strong"/>
          <w:rFonts w:ascii="Century Gothic" w:eastAsiaTheme="minorHAnsi" w:hAnsi="Century Gothic"/>
          <w:b/>
          <w:bCs/>
          <w:color w:val="000000"/>
        </w:rPr>
        <w:t>Seven Well-being Goals</w:t>
      </w:r>
    </w:p>
    <w:p w14:paraId="73D3C08E" w14:textId="77777777" w:rsidR="00EB7502" w:rsidRPr="00EB7502" w:rsidRDefault="00EB7502" w:rsidP="00EB7502">
      <w:pPr>
        <w:pStyle w:val="NormalWeb"/>
        <w:rPr>
          <w:rFonts w:ascii="Century Gothic" w:hAnsi="Century Gothic"/>
          <w:color w:val="000000"/>
        </w:rPr>
      </w:pPr>
      <w:r w:rsidRPr="00EB7502">
        <w:rPr>
          <w:rFonts w:ascii="Century Gothic" w:hAnsi="Century Gothic"/>
          <w:color w:val="000000"/>
        </w:rPr>
        <w:t>Procurement must align with the seven well-being goals outlined in the Act:</w:t>
      </w:r>
    </w:p>
    <w:p w14:paraId="1D8EEA92" w14:textId="77777777" w:rsidR="00EB7502" w:rsidRPr="00EB7502" w:rsidRDefault="00EB7502" w:rsidP="00EB7502">
      <w:pPr>
        <w:numPr>
          <w:ilvl w:val="0"/>
          <w:numId w:val="1"/>
        </w:numPr>
        <w:spacing w:before="100" w:beforeAutospacing="1" w:after="100" w:afterAutospacing="1"/>
        <w:rPr>
          <w:rFonts w:ascii="Century Gothic" w:hAnsi="Century Gothic"/>
          <w:color w:val="000000"/>
        </w:rPr>
      </w:pPr>
      <w:r w:rsidRPr="00EB7502">
        <w:rPr>
          <w:rFonts w:ascii="Century Gothic" w:hAnsi="Century Gothic"/>
          <w:color w:val="000000"/>
        </w:rPr>
        <w:t>A prosperous Wales</w:t>
      </w:r>
    </w:p>
    <w:p w14:paraId="0EC9AB80" w14:textId="77777777" w:rsidR="00EB7502" w:rsidRPr="00EB7502" w:rsidRDefault="00EB7502" w:rsidP="00EB7502">
      <w:pPr>
        <w:numPr>
          <w:ilvl w:val="0"/>
          <w:numId w:val="1"/>
        </w:numPr>
        <w:spacing w:before="100" w:beforeAutospacing="1" w:after="100" w:afterAutospacing="1"/>
        <w:rPr>
          <w:rFonts w:ascii="Century Gothic" w:hAnsi="Century Gothic"/>
          <w:color w:val="000000"/>
        </w:rPr>
      </w:pPr>
      <w:r w:rsidRPr="00EB7502">
        <w:rPr>
          <w:rFonts w:ascii="Century Gothic" w:hAnsi="Century Gothic"/>
          <w:color w:val="000000"/>
        </w:rPr>
        <w:t>A resilient Wales</w:t>
      </w:r>
    </w:p>
    <w:p w14:paraId="69C4F369" w14:textId="77777777" w:rsidR="00EB7502" w:rsidRPr="00EB7502" w:rsidRDefault="00EB7502" w:rsidP="00EB7502">
      <w:pPr>
        <w:numPr>
          <w:ilvl w:val="0"/>
          <w:numId w:val="1"/>
        </w:numPr>
        <w:spacing w:before="100" w:beforeAutospacing="1" w:after="100" w:afterAutospacing="1"/>
        <w:rPr>
          <w:rFonts w:ascii="Century Gothic" w:hAnsi="Century Gothic"/>
          <w:color w:val="000000"/>
        </w:rPr>
      </w:pPr>
      <w:r w:rsidRPr="00EB7502">
        <w:rPr>
          <w:rFonts w:ascii="Century Gothic" w:hAnsi="Century Gothic"/>
          <w:color w:val="000000"/>
        </w:rPr>
        <w:t>A healthier Wales</w:t>
      </w:r>
    </w:p>
    <w:p w14:paraId="43BAFFE6" w14:textId="77777777" w:rsidR="00EB7502" w:rsidRPr="00EB7502" w:rsidRDefault="00EB7502" w:rsidP="00EB7502">
      <w:pPr>
        <w:numPr>
          <w:ilvl w:val="0"/>
          <w:numId w:val="1"/>
        </w:numPr>
        <w:spacing w:before="100" w:beforeAutospacing="1" w:after="100" w:afterAutospacing="1"/>
        <w:rPr>
          <w:rFonts w:ascii="Century Gothic" w:hAnsi="Century Gothic"/>
          <w:color w:val="000000"/>
        </w:rPr>
      </w:pPr>
      <w:r w:rsidRPr="00EB7502">
        <w:rPr>
          <w:rFonts w:ascii="Century Gothic" w:hAnsi="Century Gothic"/>
          <w:color w:val="000000"/>
        </w:rPr>
        <w:t>A more equal Wales</w:t>
      </w:r>
    </w:p>
    <w:p w14:paraId="77F804F3" w14:textId="77777777" w:rsidR="00EB7502" w:rsidRPr="00EB7502" w:rsidRDefault="00EB7502" w:rsidP="00EB7502">
      <w:pPr>
        <w:numPr>
          <w:ilvl w:val="0"/>
          <w:numId w:val="1"/>
        </w:numPr>
        <w:spacing w:before="100" w:beforeAutospacing="1" w:after="100" w:afterAutospacing="1"/>
        <w:rPr>
          <w:rFonts w:ascii="Century Gothic" w:hAnsi="Century Gothic"/>
          <w:color w:val="000000"/>
        </w:rPr>
      </w:pPr>
      <w:r w:rsidRPr="00EB7502">
        <w:rPr>
          <w:rFonts w:ascii="Century Gothic" w:hAnsi="Century Gothic"/>
          <w:color w:val="000000"/>
        </w:rPr>
        <w:t>A Wales of cohesive communities</w:t>
      </w:r>
    </w:p>
    <w:p w14:paraId="00E2DBC9" w14:textId="77777777" w:rsidR="00EB7502" w:rsidRPr="00EB7502" w:rsidRDefault="00EB7502" w:rsidP="00EB7502">
      <w:pPr>
        <w:numPr>
          <w:ilvl w:val="0"/>
          <w:numId w:val="1"/>
        </w:numPr>
        <w:spacing w:before="100" w:beforeAutospacing="1" w:after="100" w:afterAutospacing="1"/>
        <w:rPr>
          <w:rFonts w:ascii="Century Gothic" w:hAnsi="Century Gothic"/>
          <w:color w:val="000000"/>
        </w:rPr>
      </w:pPr>
      <w:r w:rsidRPr="00EB7502">
        <w:rPr>
          <w:rFonts w:ascii="Century Gothic" w:hAnsi="Century Gothic"/>
          <w:color w:val="000000"/>
        </w:rPr>
        <w:t>A vibrant culture and thriving Welsh language</w:t>
      </w:r>
    </w:p>
    <w:p w14:paraId="1A166B17" w14:textId="77777777" w:rsidR="00EB7502" w:rsidRPr="00EB7502" w:rsidRDefault="00EB7502" w:rsidP="00EB7502">
      <w:pPr>
        <w:numPr>
          <w:ilvl w:val="0"/>
          <w:numId w:val="1"/>
        </w:numPr>
        <w:spacing w:before="100" w:beforeAutospacing="1" w:after="100" w:afterAutospacing="1"/>
        <w:rPr>
          <w:rFonts w:ascii="Century Gothic" w:hAnsi="Century Gothic"/>
          <w:color w:val="000000"/>
        </w:rPr>
      </w:pPr>
      <w:r w:rsidRPr="00EB7502">
        <w:rPr>
          <w:rFonts w:ascii="Century Gothic" w:hAnsi="Century Gothic"/>
          <w:color w:val="000000"/>
        </w:rPr>
        <w:t>A globally responsible Wales</w:t>
      </w:r>
    </w:p>
    <w:p w14:paraId="69170641" w14:textId="77777777" w:rsidR="00EB7502" w:rsidRPr="00EB7502" w:rsidRDefault="00EB7502" w:rsidP="00EB7502">
      <w:pPr>
        <w:pStyle w:val="NormalWeb"/>
        <w:rPr>
          <w:rFonts w:ascii="Century Gothic" w:hAnsi="Century Gothic"/>
          <w:color w:val="000000"/>
        </w:rPr>
      </w:pPr>
      <w:r w:rsidRPr="00EB7502">
        <w:rPr>
          <w:rFonts w:ascii="Century Gothic" w:hAnsi="Century Gothic"/>
          <w:color w:val="000000"/>
        </w:rPr>
        <w:t>Procurement decisions should contribute to these goals, either directly or indirectly.</w:t>
      </w:r>
    </w:p>
    <w:p w14:paraId="3357DA19" w14:textId="77777777" w:rsidR="00EB7502" w:rsidRPr="00EB7502" w:rsidRDefault="00EB7502" w:rsidP="00EB7502">
      <w:pPr>
        <w:pStyle w:val="Heading3"/>
        <w:rPr>
          <w:rFonts w:ascii="Century Gothic" w:eastAsiaTheme="minorHAnsi" w:hAnsi="Century Gothic"/>
          <w:color w:val="000000"/>
        </w:rPr>
      </w:pPr>
      <w:r w:rsidRPr="00EB7502">
        <w:rPr>
          <w:rFonts w:ascii="Century Gothic" w:eastAsiaTheme="minorHAnsi" w:hAnsi="Century Gothic"/>
          <w:color w:val="000000"/>
        </w:rPr>
        <w:t>3. </w:t>
      </w:r>
      <w:r w:rsidRPr="00EB7502">
        <w:rPr>
          <w:rStyle w:val="Strong"/>
          <w:rFonts w:ascii="Century Gothic" w:eastAsiaTheme="minorHAnsi" w:hAnsi="Century Gothic"/>
          <w:b/>
          <w:bCs/>
          <w:color w:val="000000"/>
        </w:rPr>
        <w:t>Five Ways of Working</w:t>
      </w:r>
    </w:p>
    <w:p w14:paraId="4C56B138" w14:textId="77777777" w:rsidR="00EB7502" w:rsidRPr="00EB7502" w:rsidRDefault="00EB7502" w:rsidP="00EB7502">
      <w:pPr>
        <w:pStyle w:val="NormalWeb"/>
        <w:rPr>
          <w:rFonts w:ascii="Century Gothic" w:hAnsi="Century Gothic"/>
          <w:color w:val="000000"/>
        </w:rPr>
      </w:pPr>
      <w:r w:rsidRPr="00EB7502">
        <w:rPr>
          <w:rFonts w:ascii="Century Gothic" w:hAnsi="Century Gothic"/>
          <w:color w:val="000000"/>
        </w:rPr>
        <w:t>Procurement must follow the </w:t>
      </w:r>
      <w:r w:rsidRPr="00EB7502">
        <w:rPr>
          <w:rStyle w:val="Strong"/>
          <w:rFonts w:ascii="Century Gothic" w:hAnsi="Century Gothic"/>
          <w:color w:val="000000"/>
        </w:rPr>
        <w:t>Five Ways of Working</w:t>
      </w:r>
      <w:r w:rsidRPr="00EB7502">
        <w:rPr>
          <w:rFonts w:ascii="Century Gothic" w:hAnsi="Century Gothic"/>
          <w:color w:val="000000"/>
        </w:rPr>
        <w:t>, which are:</w:t>
      </w:r>
    </w:p>
    <w:p w14:paraId="34D99DC4" w14:textId="77777777" w:rsidR="00EB7502" w:rsidRPr="00EB7502" w:rsidRDefault="00EB7502" w:rsidP="00EB7502">
      <w:pPr>
        <w:numPr>
          <w:ilvl w:val="0"/>
          <w:numId w:val="2"/>
        </w:numPr>
        <w:spacing w:before="100" w:beforeAutospacing="1" w:after="100" w:afterAutospacing="1"/>
        <w:rPr>
          <w:rFonts w:ascii="Century Gothic" w:hAnsi="Century Gothic"/>
          <w:color w:val="000000"/>
        </w:rPr>
      </w:pPr>
      <w:r w:rsidRPr="00EB7502">
        <w:rPr>
          <w:rStyle w:val="Strong"/>
          <w:rFonts w:ascii="Century Gothic" w:hAnsi="Century Gothic"/>
          <w:color w:val="000000"/>
        </w:rPr>
        <w:t>Long-term</w:t>
      </w:r>
      <w:r w:rsidRPr="00EB7502">
        <w:rPr>
          <w:rFonts w:ascii="Century Gothic" w:hAnsi="Century Gothic"/>
          <w:color w:val="000000"/>
        </w:rPr>
        <w:t>: Consider the long-term impact of decisions and whether they contribute to sustainable outcomes.</w:t>
      </w:r>
    </w:p>
    <w:p w14:paraId="1B863BAD" w14:textId="77777777" w:rsidR="00EB7502" w:rsidRPr="00EB7502" w:rsidRDefault="00EB7502" w:rsidP="00EB7502">
      <w:pPr>
        <w:numPr>
          <w:ilvl w:val="0"/>
          <w:numId w:val="2"/>
        </w:numPr>
        <w:spacing w:before="100" w:beforeAutospacing="1" w:after="100" w:afterAutospacing="1"/>
        <w:rPr>
          <w:rFonts w:ascii="Century Gothic" w:hAnsi="Century Gothic"/>
          <w:color w:val="000000"/>
        </w:rPr>
      </w:pPr>
      <w:r w:rsidRPr="00EB7502">
        <w:rPr>
          <w:rStyle w:val="Strong"/>
          <w:rFonts w:ascii="Century Gothic" w:hAnsi="Century Gothic"/>
          <w:color w:val="000000"/>
        </w:rPr>
        <w:t>Prevention</w:t>
      </w:r>
      <w:r w:rsidRPr="00EB7502">
        <w:rPr>
          <w:rFonts w:ascii="Century Gothic" w:hAnsi="Century Gothic"/>
          <w:color w:val="000000"/>
        </w:rPr>
        <w:t>: Prioriti</w:t>
      </w:r>
      <w:r>
        <w:rPr>
          <w:rFonts w:ascii="Century Gothic" w:hAnsi="Century Gothic"/>
          <w:color w:val="000000"/>
        </w:rPr>
        <w:t>s</w:t>
      </w:r>
      <w:r w:rsidRPr="00EB7502">
        <w:rPr>
          <w:rFonts w:ascii="Century Gothic" w:hAnsi="Century Gothic"/>
          <w:color w:val="000000"/>
        </w:rPr>
        <w:t>e solutions that prevent problems from occurring rather than just addressing issues after they arise.</w:t>
      </w:r>
    </w:p>
    <w:p w14:paraId="07AC1CAA" w14:textId="77777777" w:rsidR="00EB7502" w:rsidRPr="00EB7502" w:rsidRDefault="00EB7502" w:rsidP="00EB7502">
      <w:pPr>
        <w:numPr>
          <w:ilvl w:val="0"/>
          <w:numId w:val="2"/>
        </w:numPr>
        <w:spacing w:before="100" w:beforeAutospacing="1" w:after="100" w:afterAutospacing="1"/>
        <w:rPr>
          <w:rFonts w:ascii="Century Gothic" w:hAnsi="Century Gothic"/>
          <w:color w:val="000000"/>
        </w:rPr>
      </w:pPr>
      <w:r w:rsidRPr="00EB7502">
        <w:rPr>
          <w:rStyle w:val="Strong"/>
          <w:rFonts w:ascii="Century Gothic" w:hAnsi="Century Gothic"/>
          <w:color w:val="000000"/>
        </w:rPr>
        <w:t>Integration</w:t>
      </w:r>
      <w:r w:rsidRPr="00EB7502">
        <w:rPr>
          <w:rFonts w:ascii="Century Gothic" w:hAnsi="Century Gothic"/>
          <w:color w:val="000000"/>
        </w:rPr>
        <w:t xml:space="preserve">: Ensure that procurement decisions integrate with the broader objectives of </w:t>
      </w:r>
      <w:r>
        <w:rPr>
          <w:rFonts w:ascii="Century Gothic" w:hAnsi="Century Gothic"/>
          <w:color w:val="000000"/>
        </w:rPr>
        <w:t>NWFRS</w:t>
      </w:r>
      <w:r w:rsidRPr="00EB7502">
        <w:rPr>
          <w:rFonts w:ascii="Century Gothic" w:hAnsi="Century Gothic"/>
          <w:color w:val="000000"/>
        </w:rPr>
        <w:t xml:space="preserve"> polic</w:t>
      </w:r>
      <w:r>
        <w:rPr>
          <w:rFonts w:ascii="Century Gothic" w:hAnsi="Century Gothic"/>
          <w:color w:val="000000"/>
        </w:rPr>
        <w:t>ies</w:t>
      </w:r>
      <w:r w:rsidRPr="00EB7502">
        <w:rPr>
          <w:rFonts w:ascii="Century Gothic" w:hAnsi="Century Gothic"/>
          <w:color w:val="000000"/>
        </w:rPr>
        <w:t xml:space="preserve"> and well-being goals.</w:t>
      </w:r>
    </w:p>
    <w:p w14:paraId="70D45DCD" w14:textId="77777777" w:rsidR="00EB7502" w:rsidRPr="00EB7502" w:rsidRDefault="00EB7502" w:rsidP="00EB7502">
      <w:pPr>
        <w:numPr>
          <w:ilvl w:val="0"/>
          <w:numId w:val="2"/>
        </w:numPr>
        <w:spacing w:before="100" w:beforeAutospacing="1" w:after="100" w:afterAutospacing="1"/>
        <w:rPr>
          <w:rFonts w:ascii="Century Gothic" w:hAnsi="Century Gothic"/>
          <w:color w:val="000000"/>
        </w:rPr>
      </w:pPr>
      <w:r w:rsidRPr="00EB7502">
        <w:rPr>
          <w:rStyle w:val="Strong"/>
          <w:rFonts w:ascii="Century Gothic" w:hAnsi="Century Gothic"/>
          <w:color w:val="000000"/>
        </w:rPr>
        <w:t>Collaboration</w:t>
      </w:r>
      <w:r w:rsidRPr="00EB7502">
        <w:rPr>
          <w:rFonts w:ascii="Century Gothic" w:hAnsi="Century Gothic"/>
          <w:color w:val="000000"/>
        </w:rPr>
        <w:t>: Work with other organi</w:t>
      </w:r>
      <w:r>
        <w:rPr>
          <w:rFonts w:ascii="Century Gothic" w:hAnsi="Century Gothic"/>
          <w:color w:val="000000"/>
        </w:rPr>
        <w:t>s</w:t>
      </w:r>
      <w:r w:rsidRPr="00EB7502">
        <w:rPr>
          <w:rFonts w:ascii="Century Gothic" w:hAnsi="Century Gothic"/>
          <w:color w:val="000000"/>
        </w:rPr>
        <w:t>ations, communities, and stakeholders to achieve collective outcomes</w:t>
      </w:r>
      <w:r>
        <w:rPr>
          <w:rFonts w:ascii="Century Gothic" w:hAnsi="Century Gothic"/>
          <w:color w:val="000000"/>
        </w:rPr>
        <w:t xml:space="preserve"> where possible. </w:t>
      </w:r>
    </w:p>
    <w:p w14:paraId="1E1F7C95" w14:textId="77777777" w:rsidR="00EB7502" w:rsidRPr="00EB7502" w:rsidRDefault="00EB7502" w:rsidP="00EB7502">
      <w:pPr>
        <w:numPr>
          <w:ilvl w:val="0"/>
          <w:numId w:val="2"/>
        </w:numPr>
        <w:spacing w:before="100" w:beforeAutospacing="1" w:after="100" w:afterAutospacing="1"/>
        <w:rPr>
          <w:rFonts w:ascii="Century Gothic" w:hAnsi="Century Gothic"/>
          <w:color w:val="000000"/>
        </w:rPr>
      </w:pPr>
      <w:r w:rsidRPr="00EB7502">
        <w:rPr>
          <w:rStyle w:val="Strong"/>
          <w:rFonts w:ascii="Century Gothic" w:hAnsi="Century Gothic"/>
          <w:color w:val="000000"/>
        </w:rPr>
        <w:t>Involvement</w:t>
      </w:r>
      <w:r w:rsidRPr="00EB7502">
        <w:rPr>
          <w:rFonts w:ascii="Century Gothic" w:hAnsi="Century Gothic"/>
          <w:color w:val="000000"/>
        </w:rPr>
        <w:t>: Involve individuals and communities in decision-making processes to ensure that procurement meets their needs and interests.</w:t>
      </w:r>
    </w:p>
    <w:p w14:paraId="38FB2464" w14:textId="77777777" w:rsidR="00EB7502" w:rsidRPr="00EB7502" w:rsidRDefault="00EB7502" w:rsidP="00EB7502">
      <w:pPr>
        <w:pStyle w:val="Heading3"/>
        <w:rPr>
          <w:rFonts w:ascii="Century Gothic" w:eastAsiaTheme="minorHAnsi" w:hAnsi="Century Gothic"/>
          <w:color w:val="000000"/>
        </w:rPr>
      </w:pPr>
      <w:r w:rsidRPr="00EB7502">
        <w:rPr>
          <w:rFonts w:ascii="Century Gothic" w:eastAsiaTheme="minorHAnsi" w:hAnsi="Century Gothic"/>
          <w:color w:val="000000"/>
        </w:rPr>
        <w:t>4. </w:t>
      </w:r>
      <w:r w:rsidRPr="00EB7502">
        <w:rPr>
          <w:rStyle w:val="Strong"/>
          <w:rFonts w:ascii="Century Gothic" w:eastAsiaTheme="minorHAnsi" w:hAnsi="Century Gothic"/>
          <w:b/>
          <w:bCs/>
          <w:color w:val="000000"/>
        </w:rPr>
        <w:t>Well-being Impact Assessments (WIA)</w:t>
      </w:r>
    </w:p>
    <w:p w14:paraId="15AFD604" w14:textId="77777777" w:rsidR="00EB7502" w:rsidRPr="00EB7502" w:rsidRDefault="00EB7502" w:rsidP="00EB7502">
      <w:pPr>
        <w:pStyle w:val="NormalWeb"/>
        <w:rPr>
          <w:rFonts w:ascii="Century Gothic" w:hAnsi="Century Gothic"/>
          <w:color w:val="000000"/>
        </w:rPr>
      </w:pPr>
      <w:r w:rsidRPr="00EB7502">
        <w:rPr>
          <w:rFonts w:ascii="Century Gothic" w:hAnsi="Century Gothic"/>
          <w:color w:val="000000"/>
        </w:rPr>
        <w:t xml:space="preserve">A key requirement in procurement under the Act is conducting Well-being Impact Assessments. These assessments help </w:t>
      </w:r>
      <w:r>
        <w:rPr>
          <w:rFonts w:ascii="Century Gothic" w:hAnsi="Century Gothic"/>
          <w:color w:val="000000"/>
        </w:rPr>
        <w:t>the service</w:t>
      </w:r>
      <w:r w:rsidRPr="00EB7502">
        <w:rPr>
          <w:rFonts w:ascii="Century Gothic" w:hAnsi="Century Gothic"/>
          <w:color w:val="000000"/>
        </w:rPr>
        <w:t xml:space="preserve"> understand how procurement decisions will impact the well-being goals and ensure that the long-term benefits outweigh any potential harm.</w:t>
      </w:r>
    </w:p>
    <w:p w14:paraId="15B20816" w14:textId="77777777" w:rsidR="00EB7502" w:rsidRPr="00EB7502" w:rsidRDefault="00EB7502" w:rsidP="00EB7502">
      <w:pPr>
        <w:pStyle w:val="Heading3"/>
        <w:rPr>
          <w:rFonts w:ascii="Century Gothic" w:eastAsiaTheme="minorHAnsi" w:hAnsi="Century Gothic"/>
          <w:color w:val="000000"/>
        </w:rPr>
      </w:pPr>
      <w:r w:rsidRPr="00EB7502">
        <w:rPr>
          <w:rFonts w:ascii="Century Gothic" w:eastAsiaTheme="minorHAnsi" w:hAnsi="Century Gothic"/>
          <w:color w:val="000000"/>
        </w:rPr>
        <w:lastRenderedPageBreak/>
        <w:t>5. </w:t>
      </w:r>
      <w:r w:rsidRPr="00EB7502">
        <w:rPr>
          <w:rStyle w:val="Strong"/>
          <w:rFonts w:ascii="Century Gothic" w:eastAsiaTheme="minorHAnsi" w:hAnsi="Century Gothic"/>
          <w:b/>
          <w:bCs/>
          <w:color w:val="000000"/>
        </w:rPr>
        <w:t>Monitoring and Reporting</w:t>
      </w:r>
    </w:p>
    <w:p w14:paraId="69ECE30C" w14:textId="77777777" w:rsidR="00EB7502" w:rsidRPr="00EB7502" w:rsidRDefault="00EB7502" w:rsidP="00EB7502">
      <w:pPr>
        <w:pStyle w:val="NormalWeb"/>
        <w:rPr>
          <w:rFonts w:ascii="Century Gothic" w:hAnsi="Century Gothic"/>
          <w:color w:val="000000"/>
        </w:rPr>
      </w:pPr>
      <w:r w:rsidRPr="00EB7502">
        <w:rPr>
          <w:rFonts w:ascii="Century Gothic" w:hAnsi="Century Gothic"/>
          <w:color w:val="000000"/>
        </w:rPr>
        <w:t>Procurement practices should include regular monitoring and reporting to evaluate how procurement activities contribute to the well-being goals. This can involve tracking sustainability outcomes, social value, and how supply chains impact the environment and communities.</w:t>
      </w:r>
    </w:p>
    <w:p w14:paraId="3FCF1FE5" w14:textId="77777777" w:rsidR="00EB7502" w:rsidRPr="00EB7502" w:rsidRDefault="00EB7502" w:rsidP="00EB7502">
      <w:pPr>
        <w:pStyle w:val="Heading3"/>
        <w:rPr>
          <w:rFonts w:ascii="Century Gothic" w:eastAsiaTheme="minorHAnsi" w:hAnsi="Century Gothic"/>
          <w:color w:val="000000"/>
        </w:rPr>
      </w:pPr>
      <w:r w:rsidRPr="00EB7502">
        <w:rPr>
          <w:rFonts w:ascii="Century Gothic" w:eastAsiaTheme="minorHAnsi" w:hAnsi="Century Gothic"/>
          <w:color w:val="000000"/>
        </w:rPr>
        <w:t>6. </w:t>
      </w:r>
      <w:r w:rsidRPr="00EB7502">
        <w:rPr>
          <w:rStyle w:val="Strong"/>
          <w:rFonts w:ascii="Century Gothic" w:eastAsiaTheme="minorHAnsi" w:hAnsi="Century Gothic"/>
          <w:b/>
          <w:bCs/>
          <w:color w:val="000000"/>
        </w:rPr>
        <w:t>Social Value and Ethical Procurement</w:t>
      </w:r>
    </w:p>
    <w:p w14:paraId="08077A8C" w14:textId="65DC35C8" w:rsidR="00EB7502" w:rsidRPr="00EB7502" w:rsidRDefault="00EB7502" w:rsidP="00EB7502">
      <w:pPr>
        <w:pStyle w:val="NormalWeb"/>
        <w:rPr>
          <w:rFonts w:ascii="Century Gothic" w:hAnsi="Century Gothic"/>
          <w:color w:val="000000"/>
        </w:rPr>
      </w:pPr>
      <w:r w:rsidRPr="00EB7502">
        <w:rPr>
          <w:rFonts w:ascii="Century Gothic" w:hAnsi="Century Gothic"/>
          <w:color w:val="000000"/>
        </w:rPr>
        <w:t>The Act encourages the integration of social value into procurement decisions, ensuring that contracts deliver not only financial value but also contribute positively to society (e.g. by promoting fair work, environmental sustainability, or community involvement).</w:t>
      </w:r>
    </w:p>
    <w:p w14:paraId="21F504FC" w14:textId="77777777" w:rsidR="00294159" w:rsidRPr="00EB7502" w:rsidRDefault="00294159">
      <w:pPr>
        <w:rPr>
          <w:rFonts w:ascii="Century Gothic" w:hAnsi="Century Gothic"/>
        </w:rPr>
      </w:pPr>
      <w:bookmarkStart w:id="0" w:name="_GoBack"/>
      <w:bookmarkEnd w:id="0"/>
    </w:p>
    <w:sectPr w:rsidR="00294159" w:rsidRPr="00EB75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363A4"/>
    <w:multiLevelType w:val="multilevel"/>
    <w:tmpl w:val="A7FE2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DB284F"/>
    <w:multiLevelType w:val="multilevel"/>
    <w:tmpl w:val="26E21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02"/>
    <w:rsid w:val="00294159"/>
    <w:rsid w:val="0088235B"/>
    <w:rsid w:val="008D4D01"/>
    <w:rsid w:val="00EB7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FF7D7"/>
  <w15:chartTrackingRefBased/>
  <w15:docId w15:val="{D6FB1CC7-0FFB-4BBA-AFFF-B9721F50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7502"/>
    <w:pPr>
      <w:spacing w:after="0" w:line="240" w:lineRule="auto"/>
    </w:pPr>
    <w:rPr>
      <w:rFonts w:ascii="Calibri" w:hAnsi="Calibri" w:cs="Calibri"/>
      <w:lang w:eastAsia="en-GB"/>
    </w:rPr>
  </w:style>
  <w:style w:type="paragraph" w:styleId="Heading3">
    <w:name w:val="heading 3"/>
    <w:basedOn w:val="Normal"/>
    <w:link w:val="Heading3Char"/>
    <w:uiPriority w:val="9"/>
    <w:semiHidden/>
    <w:unhideWhenUsed/>
    <w:qFormat/>
    <w:rsid w:val="00EB7502"/>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B7502"/>
    <w:rPr>
      <w:rFonts w:ascii="Calibri" w:eastAsia="Times New Roman" w:hAnsi="Calibri" w:cs="Calibri"/>
      <w:b/>
      <w:bCs/>
      <w:sz w:val="27"/>
      <w:szCs w:val="27"/>
      <w:lang w:eastAsia="en-GB"/>
    </w:rPr>
  </w:style>
  <w:style w:type="paragraph" w:styleId="NormalWeb">
    <w:name w:val="Normal (Web)"/>
    <w:basedOn w:val="Normal"/>
    <w:uiPriority w:val="99"/>
    <w:semiHidden/>
    <w:unhideWhenUsed/>
    <w:rsid w:val="00EB7502"/>
    <w:pPr>
      <w:spacing w:before="100" w:beforeAutospacing="1" w:after="100" w:afterAutospacing="1"/>
    </w:pPr>
  </w:style>
  <w:style w:type="character" w:styleId="Strong">
    <w:name w:val="Strong"/>
    <w:basedOn w:val="DefaultParagraphFont"/>
    <w:uiPriority w:val="22"/>
    <w:qFormat/>
    <w:rsid w:val="00EB75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25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b669d17-3024-4378-9b56-2b33190723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2A00CF1F37664F99AFD4BBF38420AB" ma:contentTypeVersion="14" ma:contentTypeDescription="Create a new document." ma:contentTypeScope="" ma:versionID="fcbc71843fc3c9eb14f8ce88fccef4be">
  <xsd:schema xmlns:xsd="http://www.w3.org/2001/XMLSchema" xmlns:xs="http://www.w3.org/2001/XMLSchema" xmlns:p="http://schemas.microsoft.com/office/2006/metadata/properties" xmlns:ns3="6b669d17-3024-4378-9b56-2b3319072360" xmlns:ns4="448a7092-8e6e-4990-a2ff-81f04a1a6149" targetNamespace="http://schemas.microsoft.com/office/2006/metadata/properties" ma:root="true" ma:fieldsID="149b8b74aec281353cb2e0b0e2a3465d" ns3:_="" ns4:_="">
    <xsd:import namespace="6b669d17-3024-4378-9b56-2b3319072360"/>
    <xsd:import namespace="448a7092-8e6e-4990-a2ff-81f04a1a6149"/>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69d17-3024-4378-9b56-2b3319072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a7092-8e6e-4990-a2ff-81f04a1a614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36C780-DAA7-4E1B-886D-C836FB13E4FD}">
  <ds:schemaRefs>
    <ds:schemaRef ds:uri="448a7092-8e6e-4990-a2ff-81f04a1a6149"/>
    <ds:schemaRef ds:uri="http://purl.org/dc/elements/1.1/"/>
    <ds:schemaRef ds:uri="http://www.w3.org/XML/1998/namespace"/>
    <ds:schemaRef ds:uri="http://schemas.microsoft.com/office/infopath/2007/PartnerControls"/>
    <ds:schemaRef ds:uri="http://schemas.microsoft.com/office/2006/documentManagement/types"/>
    <ds:schemaRef ds:uri="http://purl.org/dc/dcmitype/"/>
    <ds:schemaRef ds:uri="6b669d17-3024-4378-9b56-2b3319072360"/>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E37F755-960F-4294-B686-BF1EAF4EED4A}">
  <ds:schemaRefs>
    <ds:schemaRef ds:uri="http://schemas.microsoft.com/sharepoint/v3/contenttype/forms"/>
  </ds:schemaRefs>
</ds:datastoreItem>
</file>

<file path=customXml/itemProps3.xml><?xml version="1.0" encoding="utf-8"?>
<ds:datastoreItem xmlns:ds="http://schemas.openxmlformats.org/officeDocument/2006/customXml" ds:itemID="{30EF6DBE-895E-4DD8-84F2-1E5F13382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69d17-3024-4378-9b56-2b3319072360"/>
    <ds:schemaRef ds:uri="448a7092-8e6e-4990-a2ff-81f04a1a6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Millward</dc:creator>
  <cp:keywords/>
  <dc:description/>
  <cp:lastModifiedBy>Jack Millward</cp:lastModifiedBy>
  <cp:revision>2</cp:revision>
  <dcterms:created xsi:type="dcterms:W3CDTF">2024-12-18T09:37:00Z</dcterms:created>
  <dcterms:modified xsi:type="dcterms:W3CDTF">2024-12-18T09:37:00Z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0x010100132A00CF1F37664F99AFD4BBF38420AB</vt:lpwstr>
  </property>
</Properties>
</file>