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A0DE8" w14:textId="18DB926D" w:rsidR="00F7364B" w:rsidRDefault="005C0659" w:rsidP="00CA57DF">
      <w:pPr>
        <w:pStyle w:val="Title"/>
        <w:rPr>
          <w:sz w:val="40"/>
          <w:szCs w:val="40"/>
        </w:rPr>
      </w:pPr>
      <w:r w:rsidRPr="00CA57DF">
        <w:rPr>
          <w:sz w:val="40"/>
          <w:szCs w:val="40"/>
        </w:rPr>
        <w:t>Eryri National Park Authority</w:t>
      </w:r>
      <w:r w:rsidR="00284AA7" w:rsidRPr="00CA57DF">
        <w:rPr>
          <w:sz w:val="40"/>
          <w:szCs w:val="40"/>
        </w:rPr>
        <w:t xml:space="preserve"> - </w:t>
      </w:r>
      <w:r w:rsidRPr="00CA57DF">
        <w:rPr>
          <w:i/>
          <w:iCs/>
          <w:sz w:val="40"/>
          <w:szCs w:val="40"/>
        </w:rPr>
        <w:t>Ffermio Adfywiol Tirweddau Eryri</w:t>
      </w:r>
      <w:r w:rsidRPr="00CA57DF">
        <w:rPr>
          <w:sz w:val="40"/>
          <w:szCs w:val="40"/>
        </w:rPr>
        <w:t xml:space="preserve"> </w:t>
      </w:r>
      <w:r w:rsidR="00284AA7" w:rsidRPr="00CA57DF">
        <w:rPr>
          <w:sz w:val="40"/>
          <w:szCs w:val="40"/>
        </w:rPr>
        <w:t xml:space="preserve">- </w:t>
      </w:r>
      <w:r w:rsidRPr="00CA57DF">
        <w:rPr>
          <w:sz w:val="40"/>
          <w:szCs w:val="40"/>
        </w:rPr>
        <w:t>Integrated Natural Resource Scheme.</w:t>
      </w:r>
    </w:p>
    <w:p w14:paraId="7391BAD4" w14:textId="77777777" w:rsidR="00CA57DF" w:rsidRPr="00CA57DF" w:rsidRDefault="00CA57DF" w:rsidP="00CA57DF"/>
    <w:p w14:paraId="3E2DD091" w14:textId="4CFAC1C0" w:rsidR="005C0659" w:rsidRPr="00CA57DF" w:rsidRDefault="00284AA7" w:rsidP="00CA57DF">
      <w:pPr>
        <w:pStyle w:val="Title"/>
        <w:rPr>
          <w:sz w:val="32"/>
          <w:szCs w:val="32"/>
        </w:rPr>
      </w:pPr>
      <w:r w:rsidRPr="00CA57DF">
        <w:rPr>
          <w:sz w:val="32"/>
          <w:szCs w:val="32"/>
        </w:rPr>
        <w:t>Tender</w:t>
      </w:r>
      <w:r w:rsidR="001918EB" w:rsidRPr="00CA57DF">
        <w:rPr>
          <w:sz w:val="32"/>
          <w:szCs w:val="32"/>
        </w:rPr>
        <w:t xml:space="preserve"> Brief</w:t>
      </w:r>
      <w:r w:rsidRPr="00CA57DF">
        <w:rPr>
          <w:sz w:val="32"/>
          <w:szCs w:val="32"/>
        </w:rPr>
        <w:t xml:space="preserve"> – Consultancy Services for Regenerative Farming Training, Plan Creation and Mentoring. </w:t>
      </w:r>
    </w:p>
    <w:p w14:paraId="0EB8C594" w14:textId="77777777" w:rsidR="00CA57DF" w:rsidRDefault="00CA57DF" w:rsidP="00CA57DF"/>
    <w:sdt>
      <w:sdtPr>
        <w:rPr>
          <w:rFonts w:asciiTheme="minorHAnsi" w:eastAsiaTheme="minorHAnsi" w:hAnsiTheme="minorHAnsi" w:cstheme="minorBidi"/>
          <w:color w:val="auto"/>
          <w:kern w:val="2"/>
          <w:sz w:val="24"/>
          <w:szCs w:val="24"/>
          <w:lang w:val="en-GB"/>
          <w14:ligatures w14:val="standardContextual"/>
        </w:rPr>
        <w:id w:val="724648038"/>
        <w:docPartObj>
          <w:docPartGallery w:val="Table of Contents"/>
          <w:docPartUnique/>
        </w:docPartObj>
      </w:sdtPr>
      <w:sdtEndPr>
        <w:rPr>
          <w:b/>
          <w:bCs/>
          <w:noProof/>
        </w:rPr>
      </w:sdtEndPr>
      <w:sdtContent>
        <w:p w14:paraId="3DE8F541" w14:textId="53F5BE77" w:rsidR="00CA57DF" w:rsidRDefault="00CA57DF">
          <w:pPr>
            <w:pStyle w:val="TOCHeading"/>
          </w:pPr>
          <w:r>
            <w:t>Contents</w:t>
          </w:r>
        </w:p>
        <w:p w14:paraId="32DF2FDF" w14:textId="3BC6A28A" w:rsidR="003F5860" w:rsidRDefault="00CA57DF">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226978087" w:history="1">
            <w:r w:rsidR="003F5860" w:rsidRPr="009E6387">
              <w:rPr>
                <w:rStyle w:val="Hyperlink"/>
                <w:noProof/>
              </w:rPr>
              <w:t>Introduction.</w:t>
            </w:r>
            <w:r w:rsidR="003F5860">
              <w:rPr>
                <w:noProof/>
                <w:webHidden/>
              </w:rPr>
              <w:tab/>
            </w:r>
            <w:r w:rsidR="003F5860">
              <w:rPr>
                <w:noProof/>
                <w:webHidden/>
              </w:rPr>
              <w:fldChar w:fldCharType="begin"/>
            </w:r>
            <w:r w:rsidR="003F5860">
              <w:rPr>
                <w:noProof/>
                <w:webHidden/>
              </w:rPr>
              <w:instrText xml:space="preserve"> PAGEREF _Toc226978087 \h </w:instrText>
            </w:r>
            <w:r w:rsidR="003F5860">
              <w:rPr>
                <w:noProof/>
                <w:webHidden/>
              </w:rPr>
            </w:r>
            <w:r w:rsidR="003F5860">
              <w:rPr>
                <w:noProof/>
                <w:webHidden/>
              </w:rPr>
              <w:fldChar w:fldCharType="separate"/>
            </w:r>
            <w:r w:rsidR="003F5860">
              <w:rPr>
                <w:noProof/>
                <w:webHidden/>
              </w:rPr>
              <w:t>2</w:t>
            </w:r>
            <w:r w:rsidR="003F5860">
              <w:rPr>
                <w:noProof/>
                <w:webHidden/>
              </w:rPr>
              <w:fldChar w:fldCharType="end"/>
            </w:r>
          </w:hyperlink>
        </w:p>
        <w:p w14:paraId="373C4F76" w14:textId="62FC3EFF" w:rsidR="003F5860" w:rsidRDefault="003F5860">
          <w:pPr>
            <w:pStyle w:val="TOC2"/>
            <w:tabs>
              <w:tab w:val="right" w:leader="dot" w:pos="9016"/>
            </w:tabs>
            <w:rPr>
              <w:rFonts w:eastAsiaTheme="minorEastAsia"/>
              <w:noProof/>
              <w:lang w:eastAsia="en-GB"/>
            </w:rPr>
          </w:pPr>
          <w:hyperlink w:anchor="_Toc226978088" w:history="1">
            <w:r w:rsidRPr="009E6387">
              <w:rPr>
                <w:rStyle w:val="Hyperlink"/>
                <w:noProof/>
              </w:rPr>
              <w:t>Project Overview</w:t>
            </w:r>
            <w:r>
              <w:rPr>
                <w:noProof/>
                <w:webHidden/>
              </w:rPr>
              <w:tab/>
            </w:r>
            <w:r>
              <w:rPr>
                <w:noProof/>
                <w:webHidden/>
              </w:rPr>
              <w:fldChar w:fldCharType="begin"/>
            </w:r>
            <w:r>
              <w:rPr>
                <w:noProof/>
                <w:webHidden/>
              </w:rPr>
              <w:instrText xml:space="preserve"> PAGEREF _Toc226978088 \h </w:instrText>
            </w:r>
            <w:r>
              <w:rPr>
                <w:noProof/>
                <w:webHidden/>
              </w:rPr>
            </w:r>
            <w:r>
              <w:rPr>
                <w:noProof/>
                <w:webHidden/>
              </w:rPr>
              <w:fldChar w:fldCharType="separate"/>
            </w:r>
            <w:r>
              <w:rPr>
                <w:noProof/>
                <w:webHidden/>
              </w:rPr>
              <w:t>2</w:t>
            </w:r>
            <w:r>
              <w:rPr>
                <w:noProof/>
                <w:webHidden/>
              </w:rPr>
              <w:fldChar w:fldCharType="end"/>
            </w:r>
          </w:hyperlink>
        </w:p>
        <w:p w14:paraId="1FC1265B" w14:textId="49EEFDAA" w:rsidR="003F5860" w:rsidRDefault="003F5860">
          <w:pPr>
            <w:pStyle w:val="TOC1"/>
            <w:tabs>
              <w:tab w:val="right" w:leader="dot" w:pos="9016"/>
            </w:tabs>
            <w:rPr>
              <w:rFonts w:eastAsiaTheme="minorEastAsia"/>
              <w:noProof/>
              <w:lang w:eastAsia="en-GB"/>
            </w:rPr>
          </w:pPr>
          <w:hyperlink w:anchor="_Toc226978089" w:history="1">
            <w:r w:rsidRPr="009E6387">
              <w:rPr>
                <w:rStyle w:val="Hyperlink"/>
                <w:noProof/>
              </w:rPr>
              <w:t>The Requirement</w:t>
            </w:r>
            <w:r>
              <w:rPr>
                <w:noProof/>
                <w:webHidden/>
              </w:rPr>
              <w:tab/>
            </w:r>
            <w:r>
              <w:rPr>
                <w:noProof/>
                <w:webHidden/>
              </w:rPr>
              <w:fldChar w:fldCharType="begin"/>
            </w:r>
            <w:r>
              <w:rPr>
                <w:noProof/>
                <w:webHidden/>
              </w:rPr>
              <w:instrText xml:space="preserve"> PAGEREF _Toc226978089 \h </w:instrText>
            </w:r>
            <w:r>
              <w:rPr>
                <w:noProof/>
                <w:webHidden/>
              </w:rPr>
            </w:r>
            <w:r>
              <w:rPr>
                <w:noProof/>
                <w:webHidden/>
              </w:rPr>
              <w:fldChar w:fldCharType="separate"/>
            </w:r>
            <w:r>
              <w:rPr>
                <w:noProof/>
                <w:webHidden/>
              </w:rPr>
              <w:t>3</w:t>
            </w:r>
            <w:r>
              <w:rPr>
                <w:noProof/>
                <w:webHidden/>
              </w:rPr>
              <w:fldChar w:fldCharType="end"/>
            </w:r>
          </w:hyperlink>
        </w:p>
        <w:p w14:paraId="4FE92548" w14:textId="6BEBDE6E" w:rsidR="003F5860" w:rsidRDefault="003F5860">
          <w:pPr>
            <w:pStyle w:val="TOC2"/>
            <w:tabs>
              <w:tab w:val="right" w:leader="dot" w:pos="9016"/>
            </w:tabs>
            <w:rPr>
              <w:rFonts w:eastAsiaTheme="minorEastAsia"/>
              <w:noProof/>
              <w:lang w:eastAsia="en-GB"/>
            </w:rPr>
          </w:pPr>
          <w:hyperlink w:anchor="_Toc226978090" w:history="1">
            <w:r w:rsidRPr="009E6387">
              <w:rPr>
                <w:rStyle w:val="Hyperlink"/>
                <w:noProof/>
              </w:rPr>
              <w:t>Important Context</w:t>
            </w:r>
            <w:r>
              <w:rPr>
                <w:noProof/>
                <w:webHidden/>
              </w:rPr>
              <w:tab/>
            </w:r>
            <w:r>
              <w:rPr>
                <w:noProof/>
                <w:webHidden/>
              </w:rPr>
              <w:fldChar w:fldCharType="begin"/>
            </w:r>
            <w:r>
              <w:rPr>
                <w:noProof/>
                <w:webHidden/>
              </w:rPr>
              <w:instrText xml:space="preserve"> PAGEREF _Toc226978090 \h </w:instrText>
            </w:r>
            <w:r>
              <w:rPr>
                <w:noProof/>
                <w:webHidden/>
              </w:rPr>
            </w:r>
            <w:r>
              <w:rPr>
                <w:noProof/>
                <w:webHidden/>
              </w:rPr>
              <w:fldChar w:fldCharType="separate"/>
            </w:r>
            <w:r>
              <w:rPr>
                <w:noProof/>
                <w:webHidden/>
              </w:rPr>
              <w:t>3</w:t>
            </w:r>
            <w:r>
              <w:rPr>
                <w:noProof/>
                <w:webHidden/>
              </w:rPr>
              <w:fldChar w:fldCharType="end"/>
            </w:r>
          </w:hyperlink>
        </w:p>
        <w:p w14:paraId="3E482C26" w14:textId="56487701" w:rsidR="003F5860" w:rsidRDefault="003F5860">
          <w:pPr>
            <w:pStyle w:val="TOC2"/>
            <w:tabs>
              <w:tab w:val="right" w:leader="dot" w:pos="9016"/>
            </w:tabs>
            <w:rPr>
              <w:rFonts w:eastAsiaTheme="minorEastAsia"/>
              <w:noProof/>
              <w:lang w:eastAsia="en-GB"/>
            </w:rPr>
          </w:pPr>
          <w:hyperlink w:anchor="_Toc226978091" w:history="1">
            <w:r w:rsidRPr="009E6387">
              <w:rPr>
                <w:rStyle w:val="Hyperlink"/>
                <w:noProof/>
              </w:rPr>
              <w:t>Training Programme</w:t>
            </w:r>
            <w:r>
              <w:rPr>
                <w:noProof/>
                <w:webHidden/>
              </w:rPr>
              <w:tab/>
            </w:r>
            <w:r>
              <w:rPr>
                <w:noProof/>
                <w:webHidden/>
              </w:rPr>
              <w:fldChar w:fldCharType="begin"/>
            </w:r>
            <w:r>
              <w:rPr>
                <w:noProof/>
                <w:webHidden/>
              </w:rPr>
              <w:instrText xml:space="preserve"> PAGEREF _Toc226978091 \h </w:instrText>
            </w:r>
            <w:r>
              <w:rPr>
                <w:noProof/>
                <w:webHidden/>
              </w:rPr>
            </w:r>
            <w:r>
              <w:rPr>
                <w:noProof/>
                <w:webHidden/>
              </w:rPr>
              <w:fldChar w:fldCharType="separate"/>
            </w:r>
            <w:r>
              <w:rPr>
                <w:noProof/>
                <w:webHidden/>
              </w:rPr>
              <w:t>3</w:t>
            </w:r>
            <w:r>
              <w:rPr>
                <w:noProof/>
                <w:webHidden/>
              </w:rPr>
              <w:fldChar w:fldCharType="end"/>
            </w:r>
          </w:hyperlink>
        </w:p>
        <w:p w14:paraId="71D28458" w14:textId="6588204F" w:rsidR="003F5860" w:rsidRDefault="003F5860">
          <w:pPr>
            <w:pStyle w:val="TOC2"/>
            <w:tabs>
              <w:tab w:val="right" w:leader="dot" w:pos="9016"/>
            </w:tabs>
            <w:rPr>
              <w:rFonts w:eastAsiaTheme="minorEastAsia"/>
              <w:noProof/>
              <w:lang w:eastAsia="en-GB"/>
            </w:rPr>
          </w:pPr>
          <w:hyperlink w:anchor="_Toc226978092" w:history="1">
            <w:r w:rsidRPr="009E6387">
              <w:rPr>
                <w:rStyle w:val="Hyperlink"/>
                <w:noProof/>
              </w:rPr>
              <w:t>Plan Development.</w:t>
            </w:r>
            <w:r>
              <w:rPr>
                <w:noProof/>
                <w:webHidden/>
              </w:rPr>
              <w:tab/>
            </w:r>
            <w:r>
              <w:rPr>
                <w:noProof/>
                <w:webHidden/>
              </w:rPr>
              <w:fldChar w:fldCharType="begin"/>
            </w:r>
            <w:r>
              <w:rPr>
                <w:noProof/>
                <w:webHidden/>
              </w:rPr>
              <w:instrText xml:space="preserve"> PAGEREF _Toc226978092 \h </w:instrText>
            </w:r>
            <w:r>
              <w:rPr>
                <w:noProof/>
                <w:webHidden/>
              </w:rPr>
            </w:r>
            <w:r>
              <w:rPr>
                <w:noProof/>
                <w:webHidden/>
              </w:rPr>
              <w:fldChar w:fldCharType="separate"/>
            </w:r>
            <w:r>
              <w:rPr>
                <w:noProof/>
                <w:webHidden/>
              </w:rPr>
              <w:t>4</w:t>
            </w:r>
            <w:r>
              <w:rPr>
                <w:noProof/>
                <w:webHidden/>
              </w:rPr>
              <w:fldChar w:fldCharType="end"/>
            </w:r>
          </w:hyperlink>
        </w:p>
        <w:p w14:paraId="342C1C4E" w14:textId="386C4542" w:rsidR="003F5860" w:rsidRDefault="003F5860">
          <w:pPr>
            <w:pStyle w:val="TOC2"/>
            <w:tabs>
              <w:tab w:val="right" w:leader="dot" w:pos="9016"/>
            </w:tabs>
            <w:rPr>
              <w:rFonts w:eastAsiaTheme="minorEastAsia"/>
              <w:noProof/>
              <w:lang w:eastAsia="en-GB"/>
            </w:rPr>
          </w:pPr>
          <w:hyperlink w:anchor="_Toc226978093" w:history="1">
            <w:r w:rsidRPr="009E6387">
              <w:rPr>
                <w:rStyle w:val="Hyperlink"/>
                <w:noProof/>
              </w:rPr>
              <w:t>On-going support</w:t>
            </w:r>
            <w:r>
              <w:rPr>
                <w:noProof/>
                <w:webHidden/>
              </w:rPr>
              <w:tab/>
            </w:r>
            <w:r>
              <w:rPr>
                <w:noProof/>
                <w:webHidden/>
              </w:rPr>
              <w:fldChar w:fldCharType="begin"/>
            </w:r>
            <w:r>
              <w:rPr>
                <w:noProof/>
                <w:webHidden/>
              </w:rPr>
              <w:instrText xml:space="preserve"> PAGEREF _Toc226978093 \h </w:instrText>
            </w:r>
            <w:r>
              <w:rPr>
                <w:noProof/>
                <w:webHidden/>
              </w:rPr>
            </w:r>
            <w:r>
              <w:rPr>
                <w:noProof/>
                <w:webHidden/>
              </w:rPr>
              <w:fldChar w:fldCharType="separate"/>
            </w:r>
            <w:r>
              <w:rPr>
                <w:noProof/>
                <w:webHidden/>
              </w:rPr>
              <w:t>5</w:t>
            </w:r>
            <w:r>
              <w:rPr>
                <w:noProof/>
                <w:webHidden/>
              </w:rPr>
              <w:fldChar w:fldCharType="end"/>
            </w:r>
          </w:hyperlink>
        </w:p>
        <w:p w14:paraId="1B46AB63" w14:textId="0767B102" w:rsidR="003F5860" w:rsidRDefault="003F5860">
          <w:pPr>
            <w:pStyle w:val="TOC1"/>
            <w:tabs>
              <w:tab w:val="right" w:leader="dot" w:pos="9016"/>
            </w:tabs>
            <w:rPr>
              <w:rFonts w:eastAsiaTheme="minorEastAsia"/>
              <w:noProof/>
              <w:lang w:eastAsia="en-GB"/>
            </w:rPr>
          </w:pPr>
          <w:hyperlink w:anchor="_Toc226978094" w:history="1">
            <w:r w:rsidRPr="009E6387">
              <w:rPr>
                <w:rStyle w:val="Hyperlink"/>
                <w:noProof/>
              </w:rPr>
              <w:t>Scoring and Awarding Contract</w:t>
            </w:r>
            <w:r>
              <w:rPr>
                <w:noProof/>
                <w:webHidden/>
              </w:rPr>
              <w:tab/>
            </w:r>
            <w:r>
              <w:rPr>
                <w:noProof/>
                <w:webHidden/>
              </w:rPr>
              <w:fldChar w:fldCharType="begin"/>
            </w:r>
            <w:r>
              <w:rPr>
                <w:noProof/>
                <w:webHidden/>
              </w:rPr>
              <w:instrText xml:space="preserve"> PAGEREF _Toc226978094 \h </w:instrText>
            </w:r>
            <w:r>
              <w:rPr>
                <w:noProof/>
                <w:webHidden/>
              </w:rPr>
            </w:r>
            <w:r>
              <w:rPr>
                <w:noProof/>
                <w:webHidden/>
              </w:rPr>
              <w:fldChar w:fldCharType="separate"/>
            </w:r>
            <w:r>
              <w:rPr>
                <w:noProof/>
                <w:webHidden/>
              </w:rPr>
              <w:t>6</w:t>
            </w:r>
            <w:r>
              <w:rPr>
                <w:noProof/>
                <w:webHidden/>
              </w:rPr>
              <w:fldChar w:fldCharType="end"/>
            </w:r>
          </w:hyperlink>
        </w:p>
        <w:p w14:paraId="0129C0A6" w14:textId="4C5FD8FB" w:rsidR="003F5860" w:rsidRDefault="003F5860">
          <w:pPr>
            <w:pStyle w:val="TOC2"/>
            <w:tabs>
              <w:tab w:val="right" w:leader="dot" w:pos="9016"/>
            </w:tabs>
            <w:rPr>
              <w:rFonts w:eastAsiaTheme="minorEastAsia"/>
              <w:noProof/>
              <w:lang w:eastAsia="en-GB"/>
            </w:rPr>
          </w:pPr>
          <w:hyperlink w:anchor="_Toc226978095" w:history="1">
            <w:r w:rsidRPr="009E6387">
              <w:rPr>
                <w:rStyle w:val="Hyperlink"/>
                <w:noProof/>
              </w:rPr>
              <w:t>Timeline.</w:t>
            </w:r>
            <w:r>
              <w:rPr>
                <w:noProof/>
                <w:webHidden/>
              </w:rPr>
              <w:tab/>
            </w:r>
            <w:r>
              <w:rPr>
                <w:noProof/>
                <w:webHidden/>
              </w:rPr>
              <w:fldChar w:fldCharType="begin"/>
            </w:r>
            <w:r>
              <w:rPr>
                <w:noProof/>
                <w:webHidden/>
              </w:rPr>
              <w:instrText xml:space="preserve"> PAGEREF _Toc226978095 \h </w:instrText>
            </w:r>
            <w:r>
              <w:rPr>
                <w:noProof/>
                <w:webHidden/>
              </w:rPr>
            </w:r>
            <w:r>
              <w:rPr>
                <w:noProof/>
                <w:webHidden/>
              </w:rPr>
              <w:fldChar w:fldCharType="separate"/>
            </w:r>
            <w:r>
              <w:rPr>
                <w:noProof/>
                <w:webHidden/>
              </w:rPr>
              <w:t>6</w:t>
            </w:r>
            <w:r>
              <w:rPr>
                <w:noProof/>
                <w:webHidden/>
              </w:rPr>
              <w:fldChar w:fldCharType="end"/>
            </w:r>
          </w:hyperlink>
        </w:p>
        <w:p w14:paraId="39D03EF3" w14:textId="5D329A6D" w:rsidR="003F5860" w:rsidRDefault="003F5860">
          <w:pPr>
            <w:pStyle w:val="TOC2"/>
            <w:tabs>
              <w:tab w:val="right" w:leader="dot" w:pos="9016"/>
            </w:tabs>
            <w:rPr>
              <w:rFonts w:eastAsiaTheme="minorEastAsia"/>
              <w:noProof/>
              <w:lang w:eastAsia="en-GB"/>
            </w:rPr>
          </w:pPr>
          <w:hyperlink w:anchor="_Toc226978096" w:history="1">
            <w:r w:rsidRPr="009E6387">
              <w:rPr>
                <w:rStyle w:val="Hyperlink"/>
                <w:noProof/>
              </w:rPr>
              <w:t>Payments</w:t>
            </w:r>
            <w:r>
              <w:rPr>
                <w:noProof/>
                <w:webHidden/>
              </w:rPr>
              <w:tab/>
            </w:r>
            <w:r>
              <w:rPr>
                <w:noProof/>
                <w:webHidden/>
              </w:rPr>
              <w:fldChar w:fldCharType="begin"/>
            </w:r>
            <w:r>
              <w:rPr>
                <w:noProof/>
                <w:webHidden/>
              </w:rPr>
              <w:instrText xml:space="preserve"> PAGEREF _Toc226978096 \h </w:instrText>
            </w:r>
            <w:r>
              <w:rPr>
                <w:noProof/>
                <w:webHidden/>
              </w:rPr>
            </w:r>
            <w:r>
              <w:rPr>
                <w:noProof/>
                <w:webHidden/>
              </w:rPr>
              <w:fldChar w:fldCharType="separate"/>
            </w:r>
            <w:r>
              <w:rPr>
                <w:noProof/>
                <w:webHidden/>
              </w:rPr>
              <w:t>6</w:t>
            </w:r>
            <w:r>
              <w:rPr>
                <w:noProof/>
                <w:webHidden/>
              </w:rPr>
              <w:fldChar w:fldCharType="end"/>
            </w:r>
          </w:hyperlink>
        </w:p>
        <w:p w14:paraId="050BD549" w14:textId="3A1B6078" w:rsidR="003F5860" w:rsidRDefault="003F5860">
          <w:pPr>
            <w:pStyle w:val="TOC2"/>
            <w:tabs>
              <w:tab w:val="right" w:leader="dot" w:pos="9016"/>
            </w:tabs>
            <w:rPr>
              <w:rFonts w:eastAsiaTheme="minorEastAsia"/>
              <w:noProof/>
              <w:lang w:eastAsia="en-GB"/>
            </w:rPr>
          </w:pPr>
          <w:hyperlink w:anchor="_Toc226978097" w:history="1">
            <w:r w:rsidRPr="009E6387">
              <w:rPr>
                <w:rStyle w:val="Hyperlink"/>
                <w:noProof/>
              </w:rPr>
              <w:t>Tender rules</w:t>
            </w:r>
            <w:r>
              <w:rPr>
                <w:noProof/>
                <w:webHidden/>
              </w:rPr>
              <w:tab/>
            </w:r>
            <w:r>
              <w:rPr>
                <w:noProof/>
                <w:webHidden/>
              </w:rPr>
              <w:fldChar w:fldCharType="begin"/>
            </w:r>
            <w:r>
              <w:rPr>
                <w:noProof/>
                <w:webHidden/>
              </w:rPr>
              <w:instrText xml:space="preserve"> PAGEREF _Toc226978097 \h </w:instrText>
            </w:r>
            <w:r>
              <w:rPr>
                <w:noProof/>
                <w:webHidden/>
              </w:rPr>
            </w:r>
            <w:r>
              <w:rPr>
                <w:noProof/>
                <w:webHidden/>
              </w:rPr>
              <w:fldChar w:fldCharType="separate"/>
            </w:r>
            <w:r>
              <w:rPr>
                <w:noProof/>
                <w:webHidden/>
              </w:rPr>
              <w:t>7</w:t>
            </w:r>
            <w:r>
              <w:rPr>
                <w:noProof/>
                <w:webHidden/>
              </w:rPr>
              <w:fldChar w:fldCharType="end"/>
            </w:r>
          </w:hyperlink>
        </w:p>
        <w:p w14:paraId="32020AC4" w14:textId="7E2AB68B" w:rsidR="003F5860" w:rsidRDefault="003F5860">
          <w:pPr>
            <w:pStyle w:val="TOC2"/>
            <w:tabs>
              <w:tab w:val="right" w:leader="dot" w:pos="9016"/>
            </w:tabs>
            <w:rPr>
              <w:rFonts w:eastAsiaTheme="minorEastAsia"/>
              <w:noProof/>
              <w:lang w:eastAsia="en-GB"/>
            </w:rPr>
          </w:pPr>
          <w:hyperlink w:anchor="_Toc226978098" w:history="1">
            <w:r w:rsidRPr="009E6387">
              <w:rPr>
                <w:rStyle w:val="Hyperlink"/>
                <w:noProof/>
              </w:rPr>
              <w:t>Declaration – Response Form</w:t>
            </w:r>
            <w:r>
              <w:rPr>
                <w:noProof/>
                <w:webHidden/>
              </w:rPr>
              <w:tab/>
            </w:r>
            <w:r>
              <w:rPr>
                <w:noProof/>
                <w:webHidden/>
              </w:rPr>
              <w:fldChar w:fldCharType="begin"/>
            </w:r>
            <w:r>
              <w:rPr>
                <w:noProof/>
                <w:webHidden/>
              </w:rPr>
              <w:instrText xml:space="preserve"> PAGEREF _Toc226978098 \h </w:instrText>
            </w:r>
            <w:r>
              <w:rPr>
                <w:noProof/>
                <w:webHidden/>
              </w:rPr>
            </w:r>
            <w:r>
              <w:rPr>
                <w:noProof/>
                <w:webHidden/>
              </w:rPr>
              <w:fldChar w:fldCharType="separate"/>
            </w:r>
            <w:r>
              <w:rPr>
                <w:noProof/>
                <w:webHidden/>
              </w:rPr>
              <w:t>7</w:t>
            </w:r>
            <w:r>
              <w:rPr>
                <w:noProof/>
                <w:webHidden/>
              </w:rPr>
              <w:fldChar w:fldCharType="end"/>
            </w:r>
          </w:hyperlink>
        </w:p>
        <w:p w14:paraId="2D15887E" w14:textId="1363D25A" w:rsidR="00CA57DF" w:rsidRDefault="00CA57DF">
          <w:r>
            <w:rPr>
              <w:b/>
              <w:bCs/>
              <w:noProof/>
            </w:rPr>
            <w:fldChar w:fldCharType="end"/>
          </w:r>
        </w:p>
      </w:sdtContent>
    </w:sdt>
    <w:p w14:paraId="1A12AA86" w14:textId="77777777" w:rsidR="00CA57DF" w:rsidRPr="00CA57DF" w:rsidRDefault="00CA57DF" w:rsidP="00CA57DF"/>
    <w:p w14:paraId="6EC03BA5" w14:textId="38B95160" w:rsidR="00CA57DF" w:rsidRDefault="00CA57DF">
      <w:r>
        <w:br w:type="page"/>
      </w:r>
    </w:p>
    <w:p w14:paraId="5B27E48C" w14:textId="3F7659A1" w:rsidR="00284AA7" w:rsidRDefault="00284AA7" w:rsidP="00C203B7">
      <w:pPr>
        <w:pStyle w:val="Heading1"/>
      </w:pPr>
      <w:bookmarkStart w:id="0" w:name="_Toc226978087"/>
      <w:r>
        <w:lastRenderedPageBreak/>
        <w:t>Introduction.</w:t>
      </w:r>
      <w:bookmarkEnd w:id="0"/>
      <w:r>
        <w:t xml:space="preserve"> </w:t>
      </w:r>
    </w:p>
    <w:p w14:paraId="0E2E47BC" w14:textId="2E7D7B6D" w:rsidR="00284AA7" w:rsidRDefault="00284AA7">
      <w:pPr>
        <w:rPr>
          <w:sz w:val="22"/>
          <w:szCs w:val="22"/>
        </w:rPr>
      </w:pPr>
      <w:r w:rsidRPr="004B7DE4">
        <w:rPr>
          <w:sz w:val="22"/>
          <w:szCs w:val="22"/>
        </w:rPr>
        <w:t xml:space="preserve">Ffermio Adfywiol Tirweddau Eryri is an ambitious collaborative project looking to work with </w:t>
      </w:r>
      <w:r w:rsidR="0065312C">
        <w:rPr>
          <w:sz w:val="22"/>
          <w:szCs w:val="22"/>
        </w:rPr>
        <w:t xml:space="preserve">20 </w:t>
      </w:r>
      <w:r w:rsidRPr="004B7DE4">
        <w:rPr>
          <w:sz w:val="22"/>
          <w:szCs w:val="22"/>
        </w:rPr>
        <w:t>farmers</w:t>
      </w:r>
      <w:r w:rsidR="0065312C">
        <w:rPr>
          <w:sz w:val="22"/>
          <w:szCs w:val="22"/>
        </w:rPr>
        <w:t xml:space="preserve"> in two primary geographical areas</w:t>
      </w:r>
      <w:r w:rsidRPr="004B7DE4">
        <w:rPr>
          <w:sz w:val="22"/>
          <w:szCs w:val="22"/>
        </w:rPr>
        <w:t xml:space="preserve"> to implement regenerative principles</w:t>
      </w:r>
      <w:r w:rsidR="004B7DE4" w:rsidRPr="004B7DE4">
        <w:rPr>
          <w:sz w:val="22"/>
          <w:szCs w:val="22"/>
        </w:rPr>
        <w:t xml:space="preserve"> on farms</w:t>
      </w:r>
      <w:r w:rsidR="004B7DE4">
        <w:rPr>
          <w:sz w:val="22"/>
          <w:szCs w:val="22"/>
        </w:rPr>
        <w:t xml:space="preserve"> across Eryri (Snowdonia)</w:t>
      </w:r>
      <w:r w:rsidRPr="004B7DE4">
        <w:rPr>
          <w:sz w:val="22"/>
          <w:szCs w:val="22"/>
        </w:rPr>
        <w:t xml:space="preserve">. The project is funded by Welsh Government through the Integrated Natural Resource Scheme (INRS) </w:t>
      </w:r>
      <w:r w:rsidR="00460032" w:rsidRPr="004B7DE4">
        <w:rPr>
          <w:sz w:val="22"/>
          <w:szCs w:val="22"/>
        </w:rPr>
        <w:t>and delivered by Eryri National Park Authority</w:t>
      </w:r>
      <w:r w:rsidR="00B62A64">
        <w:rPr>
          <w:sz w:val="22"/>
          <w:szCs w:val="22"/>
        </w:rPr>
        <w:t xml:space="preserve"> (ENPA)</w:t>
      </w:r>
      <w:r w:rsidR="00460032" w:rsidRPr="004B7DE4">
        <w:rPr>
          <w:sz w:val="22"/>
          <w:szCs w:val="22"/>
        </w:rPr>
        <w:t xml:space="preserve">. </w:t>
      </w:r>
    </w:p>
    <w:p w14:paraId="062BBE2F" w14:textId="4E32E136" w:rsidR="008B7E73" w:rsidRDefault="00B62A64">
      <w:pPr>
        <w:rPr>
          <w:sz w:val="22"/>
          <w:szCs w:val="22"/>
        </w:rPr>
      </w:pPr>
      <w:r>
        <w:rPr>
          <w:sz w:val="22"/>
          <w:szCs w:val="22"/>
        </w:rPr>
        <w:t xml:space="preserve">ENPA </w:t>
      </w:r>
      <w:r w:rsidR="008B7E73">
        <w:rPr>
          <w:sz w:val="22"/>
          <w:szCs w:val="22"/>
        </w:rPr>
        <w:t>wish to appoint an individual or company to deliver</w:t>
      </w:r>
      <w:r>
        <w:rPr>
          <w:sz w:val="22"/>
          <w:szCs w:val="22"/>
        </w:rPr>
        <w:t xml:space="preserve"> the consultancy element of this project</w:t>
      </w:r>
      <w:r w:rsidR="00E97E77">
        <w:rPr>
          <w:sz w:val="22"/>
          <w:szCs w:val="22"/>
        </w:rPr>
        <w:t xml:space="preserve">. </w:t>
      </w:r>
    </w:p>
    <w:p w14:paraId="1D63D994" w14:textId="0390F1EF" w:rsidR="00B62A64" w:rsidRDefault="00E97E77">
      <w:pPr>
        <w:rPr>
          <w:sz w:val="22"/>
          <w:szCs w:val="22"/>
        </w:rPr>
      </w:pPr>
      <w:r>
        <w:rPr>
          <w:sz w:val="22"/>
          <w:szCs w:val="22"/>
        </w:rPr>
        <w:t>The work will involve leading a training programme for farmers</w:t>
      </w:r>
      <w:r w:rsidR="00C203B7">
        <w:rPr>
          <w:sz w:val="22"/>
          <w:szCs w:val="22"/>
        </w:rPr>
        <w:t xml:space="preserve"> -</w:t>
      </w:r>
      <w:r>
        <w:rPr>
          <w:sz w:val="22"/>
          <w:szCs w:val="22"/>
        </w:rPr>
        <w:t xml:space="preserve"> teaching them the principles of Regenerative Farming, co-designing farm management plans and mentor the farmers throughout the project with expert input and guidance</w:t>
      </w:r>
      <w:r w:rsidR="00C203B7">
        <w:rPr>
          <w:sz w:val="22"/>
          <w:szCs w:val="22"/>
        </w:rPr>
        <w:t xml:space="preserve"> with</w:t>
      </w:r>
      <w:r w:rsidR="008B7E73">
        <w:rPr>
          <w:sz w:val="22"/>
          <w:szCs w:val="22"/>
        </w:rPr>
        <w:t xml:space="preserve"> regular</w:t>
      </w:r>
      <w:r w:rsidR="00C203B7">
        <w:rPr>
          <w:sz w:val="22"/>
          <w:szCs w:val="22"/>
        </w:rPr>
        <w:t xml:space="preserve"> drop ins and </w:t>
      </w:r>
      <w:r w:rsidR="008B7E73">
        <w:rPr>
          <w:sz w:val="22"/>
          <w:szCs w:val="22"/>
        </w:rPr>
        <w:t xml:space="preserve">the </w:t>
      </w:r>
      <w:r>
        <w:rPr>
          <w:sz w:val="22"/>
          <w:szCs w:val="22"/>
        </w:rPr>
        <w:t>establish</w:t>
      </w:r>
      <w:r w:rsidR="008B7E73">
        <w:rPr>
          <w:sz w:val="22"/>
          <w:szCs w:val="22"/>
        </w:rPr>
        <w:t>ment of</w:t>
      </w:r>
      <w:r w:rsidR="00C203B7">
        <w:rPr>
          <w:sz w:val="22"/>
          <w:szCs w:val="22"/>
        </w:rPr>
        <w:t xml:space="preserve"> a peer-to-peer</w:t>
      </w:r>
      <w:r>
        <w:rPr>
          <w:sz w:val="22"/>
          <w:szCs w:val="22"/>
        </w:rPr>
        <w:t xml:space="preserve"> learning programme</w:t>
      </w:r>
      <w:r w:rsidR="008B7E73">
        <w:rPr>
          <w:sz w:val="22"/>
          <w:szCs w:val="22"/>
        </w:rPr>
        <w:t>.</w:t>
      </w:r>
    </w:p>
    <w:p w14:paraId="47E47B85" w14:textId="279E6073" w:rsidR="00B62A64" w:rsidRPr="004B7DE4" w:rsidRDefault="00C203B7" w:rsidP="00C203B7">
      <w:pPr>
        <w:pStyle w:val="Heading2"/>
        <w:rPr>
          <w:rFonts w:asciiTheme="minorHAnsi" w:hAnsiTheme="minorHAnsi"/>
        </w:rPr>
      </w:pPr>
      <w:bookmarkStart w:id="1" w:name="_Toc226978088"/>
      <w:r>
        <w:t>Project Overview</w:t>
      </w:r>
      <w:bookmarkEnd w:id="1"/>
    </w:p>
    <w:p w14:paraId="37DB6599" w14:textId="77777777" w:rsidR="004B7DE4" w:rsidRPr="004B7DE4" w:rsidRDefault="004B7DE4" w:rsidP="004B7DE4">
      <w:pPr>
        <w:spacing w:after="0" w:line="256" w:lineRule="auto"/>
        <w:rPr>
          <w:rFonts w:ascii="Aptos" w:eastAsia="Aptos" w:hAnsi="Aptos" w:cs="Times New Roman"/>
          <w:sz w:val="22"/>
          <w:szCs w:val="22"/>
        </w:rPr>
      </w:pPr>
      <w:r w:rsidRPr="004B7DE4">
        <w:rPr>
          <w:rFonts w:ascii="Aptos" w:eastAsia="Aptos" w:hAnsi="Aptos" w:cs="Times New Roman"/>
          <w:sz w:val="22"/>
          <w:szCs w:val="22"/>
        </w:rPr>
        <w:t>This farmer-led initiative operates at a landscape scale in Eryri National Park. Its</w:t>
      </w:r>
    </w:p>
    <w:p w14:paraId="76D57D10" w14:textId="77777777" w:rsidR="004B7DE4" w:rsidRPr="004B7DE4" w:rsidRDefault="004B7DE4" w:rsidP="004B7DE4">
      <w:pPr>
        <w:spacing w:after="0" w:line="256" w:lineRule="auto"/>
        <w:rPr>
          <w:rFonts w:ascii="Aptos" w:eastAsia="Aptos" w:hAnsi="Aptos" w:cs="Times New Roman"/>
          <w:sz w:val="22"/>
          <w:szCs w:val="22"/>
        </w:rPr>
      </w:pPr>
      <w:r w:rsidRPr="004B7DE4">
        <w:rPr>
          <w:rFonts w:ascii="Aptos" w:eastAsia="Aptos" w:hAnsi="Aptos" w:cs="Times New Roman"/>
          <w:sz w:val="22"/>
          <w:szCs w:val="22"/>
        </w:rPr>
        <w:t>aim is to foster the development of resilient, regenerative farming enterprises that can drive</w:t>
      </w:r>
    </w:p>
    <w:p w14:paraId="772BD0E3" w14:textId="77777777" w:rsidR="004B7DE4" w:rsidRPr="004B7DE4" w:rsidRDefault="004B7DE4" w:rsidP="004B7DE4">
      <w:pPr>
        <w:spacing w:after="0" w:line="256" w:lineRule="auto"/>
        <w:rPr>
          <w:rFonts w:ascii="Aptos" w:eastAsia="Aptos" w:hAnsi="Aptos" w:cs="Times New Roman"/>
          <w:sz w:val="22"/>
          <w:szCs w:val="22"/>
        </w:rPr>
      </w:pPr>
      <w:r w:rsidRPr="004B7DE4">
        <w:rPr>
          <w:rFonts w:ascii="Aptos" w:eastAsia="Aptos" w:hAnsi="Aptos" w:cs="Times New Roman"/>
          <w:sz w:val="22"/>
          <w:szCs w:val="22"/>
        </w:rPr>
        <w:t>positive changes in ecosystem services while producing high-quality food.</w:t>
      </w:r>
    </w:p>
    <w:p w14:paraId="66F97AE4" w14:textId="77777777" w:rsidR="004B7DE4" w:rsidRPr="004B7DE4" w:rsidRDefault="004B7DE4" w:rsidP="004B7DE4">
      <w:pPr>
        <w:spacing w:after="0" w:line="256" w:lineRule="auto"/>
        <w:rPr>
          <w:rFonts w:ascii="Aptos" w:eastAsia="Aptos" w:hAnsi="Aptos" w:cs="Times New Roman"/>
          <w:sz w:val="22"/>
          <w:szCs w:val="22"/>
        </w:rPr>
      </w:pPr>
    </w:p>
    <w:p w14:paraId="0BEC625C" w14:textId="77777777" w:rsidR="004B7DE4" w:rsidRPr="004B7DE4" w:rsidRDefault="004B7DE4" w:rsidP="004B7DE4">
      <w:pPr>
        <w:spacing w:after="0" w:line="256" w:lineRule="auto"/>
        <w:rPr>
          <w:rFonts w:ascii="Aptos" w:eastAsia="Aptos" w:hAnsi="Aptos" w:cs="Times New Roman"/>
          <w:sz w:val="22"/>
          <w:szCs w:val="22"/>
        </w:rPr>
      </w:pPr>
      <w:r w:rsidRPr="004B7DE4">
        <w:rPr>
          <w:rFonts w:ascii="Aptos" w:eastAsia="Aptos" w:hAnsi="Aptos" w:cs="Times New Roman"/>
          <w:sz w:val="22"/>
          <w:szCs w:val="22"/>
        </w:rPr>
        <w:t>Regenerative agriculture adopts a principles-based approach, applying regenerative</w:t>
      </w:r>
    </w:p>
    <w:p w14:paraId="06861B9F" w14:textId="77777777" w:rsidR="004B7DE4" w:rsidRPr="004B7DE4" w:rsidRDefault="004B7DE4" w:rsidP="004B7DE4">
      <w:pPr>
        <w:spacing w:after="0" w:line="256" w:lineRule="auto"/>
        <w:rPr>
          <w:rFonts w:ascii="Aptos" w:eastAsia="Aptos" w:hAnsi="Aptos" w:cs="Times New Roman"/>
          <w:sz w:val="22"/>
          <w:szCs w:val="22"/>
        </w:rPr>
      </w:pPr>
      <w:r w:rsidRPr="004B7DE4">
        <w:rPr>
          <w:rFonts w:ascii="Aptos" w:eastAsia="Aptos" w:hAnsi="Aptos" w:cs="Times New Roman"/>
          <w:sz w:val="22"/>
          <w:szCs w:val="22"/>
        </w:rPr>
        <w:t>practices tailored to each farm’s distinct social, environmental, and economic context. This</w:t>
      </w:r>
    </w:p>
    <w:p w14:paraId="61DE5F14" w14:textId="77777777" w:rsidR="004B7DE4" w:rsidRPr="004B7DE4" w:rsidRDefault="004B7DE4" w:rsidP="004B7DE4">
      <w:pPr>
        <w:spacing w:after="0" w:line="256" w:lineRule="auto"/>
        <w:rPr>
          <w:rFonts w:ascii="Aptos" w:eastAsia="Aptos" w:hAnsi="Aptos" w:cs="Times New Roman"/>
          <w:sz w:val="22"/>
          <w:szCs w:val="22"/>
        </w:rPr>
      </w:pPr>
      <w:r w:rsidRPr="004B7DE4">
        <w:rPr>
          <w:rFonts w:ascii="Aptos" w:eastAsia="Aptos" w:hAnsi="Aptos" w:cs="Times New Roman"/>
          <w:sz w:val="22"/>
          <w:szCs w:val="22"/>
        </w:rPr>
        <w:t>customised strategy informs the creation of unique grazing and management plans.</w:t>
      </w:r>
    </w:p>
    <w:p w14:paraId="2AF26493" w14:textId="77777777" w:rsidR="004B7DE4" w:rsidRPr="004B7DE4" w:rsidRDefault="004B7DE4" w:rsidP="004B7DE4">
      <w:pPr>
        <w:spacing w:after="0" w:line="256" w:lineRule="auto"/>
        <w:rPr>
          <w:rFonts w:ascii="Aptos" w:eastAsia="Aptos" w:hAnsi="Aptos" w:cs="Times New Roman"/>
          <w:sz w:val="22"/>
          <w:szCs w:val="22"/>
        </w:rPr>
      </w:pPr>
    </w:p>
    <w:p w14:paraId="30091ADE" w14:textId="77777777" w:rsidR="004B7DE4" w:rsidRPr="004B7DE4" w:rsidRDefault="004B7DE4" w:rsidP="004B7DE4">
      <w:pPr>
        <w:spacing w:after="0" w:line="256" w:lineRule="auto"/>
        <w:rPr>
          <w:rFonts w:ascii="Aptos" w:eastAsia="Aptos" w:hAnsi="Aptos" w:cs="Times New Roman"/>
          <w:sz w:val="22"/>
          <w:szCs w:val="22"/>
        </w:rPr>
      </w:pPr>
      <w:r w:rsidRPr="004B7DE4">
        <w:rPr>
          <w:rFonts w:ascii="Aptos" w:eastAsia="Aptos" w:hAnsi="Aptos" w:cs="Times New Roman"/>
          <w:sz w:val="22"/>
          <w:szCs w:val="22"/>
        </w:rPr>
        <w:t>The project recognises that successfully transitioning a farm to a regenerative system</w:t>
      </w:r>
    </w:p>
    <w:p w14:paraId="68588AB7" w14:textId="77777777" w:rsidR="004B7DE4" w:rsidRPr="004B7DE4" w:rsidRDefault="004B7DE4" w:rsidP="004B7DE4">
      <w:pPr>
        <w:spacing w:after="0" w:line="256" w:lineRule="auto"/>
        <w:rPr>
          <w:rFonts w:ascii="Aptos" w:eastAsia="Aptos" w:hAnsi="Aptos" w:cs="Times New Roman"/>
          <w:sz w:val="22"/>
          <w:szCs w:val="22"/>
        </w:rPr>
      </w:pPr>
      <w:r w:rsidRPr="004B7DE4">
        <w:rPr>
          <w:rFonts w:ascii="Aptos" w:eastAsia="Aptos" w:hAnsi="Aptos" w:cs="Times New Roman"/>
          <w:sz w:val="22"/>
          <w:szCs w:val="22"/>
        </w:rPr>
        <w:t>extends beyond merely instructing farmers on new practices. A comprehensive, "whole</w:t>
      </w:r>
    </w:p>
    <w:p w14:paraId="27CE870B" w14:textId="7790285F" w:rsidR="004B7DE4" w:rsidRPr="004B7DE4" w:rsidRDefault="004B7DE4" w:rsidP="004B7DE4">
      <w:pPr>
        <w:spacing w:after="0" w:line="256" w:lineRule="auto"/>
        <w:rPr>
          <w:rFonts w:ascii="Aptos" w:eastAsia="Aptos" w:hAnsi="Aptos" w:cs="Times New Roman"/>
          <w:sz w:val="22"/>
          <w:szCs w:val="22"/>
        </w:rPr>
      </w:pPr>
      <w:r w:rsidRPr="004B7DE4">
        <w:rPr>
          <w:rFonts w:ascii="Aptos" w:eastAsia="Aptos" w:hAnsi="Aptos" w:cs="Times New Roman"/>
          <w:sz w:val="22"/>
          <w:szCs w:val="22"/>
        </w:rPr>
        <w:t>system" approach</w:t>
      </w:r>
      <w:r w:rsidR="00BD29D9">
        <w:rPr>
          <w:rFonts w:ascii="Aptos" w:eastAsia="Aptos" w:hAnsi="Aptos" w:cs="Times New Roman"/>
          <w:sz w:val="22"/>
          <w:szCs w:val="22"/>
        </w:rPr>
        <w:t xml:space="preserve">, </w:t>
      </w:r>
      <w:r w:rsidRPr="004B7DE4">
        <w:rPr>
          <w:rFonts w:ascii="Aptos" w:eastAsia="Aptos" w:hAnsi="Aptos" w:cs="Times New Roman"/>
          <w:sz w:val="22"/>
          <w:szCs w:val="22"/>
        </w:rPr>
        <w:t>adapted to the area’s specific cultural and environmental conditions</w:t>
      </w:r>
      <w:r w:rsidR="00B62A64">
        <w:rPr>
          <w:rFonts w:ascii="Aptos" w:eastAsia="Aptos" w:hAnsi="Aptos" w:cs="Times New Roman"/>
          <w:sz w:val="22"/>
          <w:szCs w:val="22"/>
        </w:rPr>
        <w:t xml:space="preserve"> </w:t>
      </w:r>
      <w:r w:rsidRPr="004B7DE4">
        <w:rPr>
          <w:rFonts w:ascii="Aptos" w:eastAsia="Aptos" w:hAnsi="Aptos" w:cs="Times New Roman"/>
          <w:sz w:val="22"/>
          <w:szCs w:val="22"/>
        </w:rPr>
        <w:t>is</w:t>
      </w:r>
    </w:p>
    <w:p w14:paraId="391F6E70" w14:textId="77777777" w:rsidR="004B7DE4" w:rsidRPr="004B7DE4" w:rsidRDefault="004B7DE4" w:rsidP="004B7DE4">
      <w:pPr>
        <w:spacing w:after="0" w:line="256" w:lineRule="auto"/>
        <w:rPr>
          <w:rFonts w:ascii="Aptos" w:eastAsia="Aptos" w:hAnsi="Aptos" w:cs="Times New Roman"/>
          <w:sz w:val="22"/>
          <w:szCs w:val="22"/>
        </w:rPr>
      </w:pPr>
      <w:r w:rsidRPr="004B7DE4">
        <w:rPr>
          <w:rFonts w:ascii="Aptos" w:eastAsia="Aptos" w:hAnsi="Aptos" w:cs="Times New Roman"/>
          <w:sz w:val="22"/>
          <w:szCs w:val="22"/>
        </w:rPr>
        <w:t>essential for creating truly resilient farms. These farms will not only embrace the unique</w:t>
      </w:r>
    </w:p>
    <w:p w14:paraId="05DC966F" w14:textId="77777777" w:rsidR="004B7DE4" w:rsidRPr="004B7DE4" w:rsidRDefault="004B7DE4" w:rsidP="004B7DE4">
      <w:pPr>
        <w:spacing w:after="0" w:line="256" w:lineRule="auto"/>
        <w:rPr>
          <w:rFonts w:ascii="Aptos" w:eastAsia="Aptos" w:hAnsi="Aptos" w:cs="Times New Roman"/>
          <w:sz w:val="22"/>
          <w:szCs w:val="22"/>
        </w:rPr>
      </w:pPr>
      <w:r w:rsidRPr="004B7DE4">
        <w:rPr>
          <w:rFonts w:ascii="Aptos" w:eastAsia="Aptos" w:hAnsi="Aptos" w:cs="Times New Roman"/>
          <w:sz w:val="22"/>
          <w:szCs w:val="22"/>
        </w:rPr>
        <w:t>sense of place inherent to each locality but will also honour the strong cultural heritage of</w:t>
      </w:r>
    </w:p>
    <w:p w14:paraId="7A83C855" w14:textId="77777777" w:rsidR="004B7DE4" w:rsidRPr="004B7DE4" w:rsidRDefault="004B7DE4" w:rsidP="004B7DE4">
      <w:pPr>
        <w:spacing w:after="0" w:line="256" w:lineRule="auto"/>
        <w:rPr>
          <w:rFonts w:ascii="Aptos" w:eastAsia="Aptos" w:hAnsi="Aptos" w:cs="Times New Roman"/>
          <w:sz w:val="22"/>
          <w:szCs w:val="22"/>
        </w:rPr>
      </w:pPr>
      <w:r w:rsidRPr="004B7DE4">
        <w:rPr>
          <w:rFonts w:ascii="Aptos" w:eastAsia="Aptos" w:hAnsi="Aptos" w:cs="Times New Roman"/>
          <w:sz w:val="22"/>
          <w:szCs w:val="22"/>
        </w:rPr>
        <w:t>Eryri farming and integrate important habitat and species-focused objectives alongside</w:t>
      </w:r>
    </w:p>
    <w:p w14:paraId="2CA964EF" w14:textId="77777777" w:rsidR="004B7DE4" w:rsidRPr="004B7DE4" w:rsidRDefault="004B7DE4" w:rsidP="004B7DE4">
      <w:pPr>
        <w:spacing w:after="0" w:line="256" w:lineRule="auto"/>
        <w:rPr>
          <w:rFonts w:ascii="Aptos" w:eastAsia="Aptos" w:hAnsi="Aptos" w:cs="Times New Roman"/>
          <w:sz w:val="22"/>
          <w:szCs w:val="22"/>
        </w:rPr>
      </w:pPr>
      <w:r w:rsidRPr="004B7DE4">
        <w:rPr>
          <w:rFonts w:ascii="Aptos" w:eastAsia="Aptos" w:hAnsi="Aptos" w:cs="Times New Roman"/>
          <w:sz w:val="22"/>
          <w:szCs w:val="22"/>
        </w:rPr>
        <w:t>agroecological production goals.</w:t>
      </w:r>
    </w:p>
    <w:p w14:paraId="7991E8A2" w14:textId="77777777" w:rsidR="004B7DE4" w:rsidRPr="004B7DE4" w:rsidRDefault="004B7DE4" w:rsidP="004B7DE4">
      <w:pPr>
        <w:spacing w:after="0" w:line="256" w:lineRule="auto"/>
        <w:rPr>
          <w:rFonts w:ascii="Aptos" w:eastAsia="Aptos" w:hAnsi="Aptos" w:cs="Times New Roman"/>
          <w:sz w:val="22"/>
          <w:szCs w:val="22"/>
        </w:rPr>
      </w:pPr>
    </w:p>
    <w:p w14:paraId="6D967773" w14:textId="77777777" w:rsidR="004B7DE4" w:rsidRPr="004B7DE4" w:rsidRDefault="004B7DE4" w:rsidP="004B7DE4">
      <w:pPr>
        <w:spacing w:after="0" w:line="256" w:lineRule="auto"/>
        <w:rPr>
          <w:rFonts w:ascii="Aptos" w:eastAsia="Aptos" w:hAnsi="Aptos" w:cs="Times New Roman"/>
          <w:sz w:val="22"/>
          <w:szCs w:val="22"/>
        </w:rPr>
      </w:pPr>
      <w:r w:rsidRPr="004B7DE4">
        <w:rPr>
          <w:rFonts w:ascii="Aptos" w:eastAsia="Aptos" w:hAnsi="Aptos" w:cs="Times New Roman"/>
          <w:sz w:val="22"/>
          <w:szCs w:val="22"/>
        </w:rPr>
        <w:t>This initiative is structured around an integral approach to driving change. It encompasses</w:t>
      </w:r>
    </w:p>
    <w:p w14:paraId="4071667F" w14:textId="77777777" w:rsidR="004B7DE4" w:rsidRPr="004B7DE4" w:rsidRDefault="004B7DE4" w:rsidP="004B7DE4">
      <w:pPr>
        <w:spacing w:after="0" w:line="256" w:lineRule="auto"/>
        <w:rPr>
          <w:rFonts w:ascii="Aptos" w:eastAsia="Aptos" w:hAnsi="Aptos" w:cs="Times New Roman"/>
          <w:sz w:val="22"/>
          <w:szCs w:val="22"/>
        </w:rPr>
      </w:pPr>
      <w:r w:rsidRPr="004B7DE4">
        <w:rPr>
          <w:rFonts w:ascii="Aptos" w:eastAsia="Aptos" w:hAnsi="Aptos" w:cs="Times New Roman"/>
          <w:sz w:val="22"/>
          <w:szCs w:val="22"/>
        </w:rPr>
        <w:t>teaching the technical aspects of regenerative farming and facilitating their application</w:t>
      </w:r>
    </w:p>
    <w:p w14:paraId="5975E961" w14:textId="77777777" w:rsidR="004B7DE4" w:rsidRPr="004B7DE4" w:rsidRDefault="004B7DE4" w:rsidP="004B7DE4">
      <w:pPr>
        <w:spacing w:after="0" w:line="256" w:lineRule="auto"/>
        <w:rPr>
          <w:rFonts w:ascii="Aptos" w:eastAsia="Aptos" w:hAnsi="Aptos" w:cs="Times New Roman"/>
          <w:sz w:val="22"/>
          <w:szCs w:val="22"/>
        </w:rPr>
      </w:pPr>
      <w:r w:rsidRPr="004B7DE4">
        <w:rPr>
          <w:rFonts w:ascii="Aptos" w:eastAsia="Aptos" w:hAnsi="Aptos" w:cs="Times New Roman"/>
          <w:sz w:val="22"/>
          <w:szCs w:val="22"/>
        </w:rPr>
        <w:t>through a series of practical workshops, a guided design process, and peer-to-peer</w:t>
      </w:r>
    </w:p>
    <w:p w14:paraId="1B8726E0" w14:textId="77777777" w:rsidR="004B7DE4" w:rsidRPr="004B7DE4" w:rsidRDefault="004B7DE4" w:rsidP="004B7DE4">
      <w:pPr>
        <w:spacing w:after="0" w:line="256" w:lineRule="auto"/>
        <w:rPr>
          <w:rFonts w:ascii="Aptos" w:eastAsia="Aptos" w:hAnsi="Aptos" w:cs="Times New Roman"/>
          <w:sz w:val="22"/>
          <w:szCs w:val="22"/>
        </w:rPr>
      </w:pPr>
      <w:r w:rsidRPr="004B7DE4">
        <w:rPr>
          <w:rFonts w:ascii="Aptos" w:eastAsia="Aptos" w:hAnsi="Aptos" w:cs="Times New Roman"/>
          <w:sz w:val="22"/>
          <w:szCs w:val="22"/>
        </w:rPr>
        <w:t>coaching. This multifaceted support aims to cultivate a sense of ongoing confidence and</w:t>
      </w:r>
    </w:p>
    <w:p w14:paraId="2AEB23C9" w14:textId="77777777" w:rsidR="004B7DE4" w:rsidRPr="004B7DE4" w:rsidRDefault="004B7DE4" w:rsidP="004B7DE4">
      <w:pPr>
        <w:spacing w:after="0" w:line="256" w:lineRule="auto"/>
        <w:rPr>
          <w:rFonts w:ascii="Aptos" w:eastAsia="Aptos" w:hAnsi="Aptos" w:cs="Times New Roman"/>
          <w:sz w:val="22"/>
          <w:szCs w:val="22"/>
        </w:rPr>
      </w:pPr>
      <w:r w:rsidRPr="004B7DE4">
        <w:rPr>
          <w:rFonts w:ascii="Aptos" w:eastAsia="Aptos" w:hAnsi="Aptos" w:cs="Times New Roman"/>
          <w:sz w:val="22"/>
          <w:szCs w:val="22"/>
        </w:rPr>
        <w:t>foster a supportive regenerative community.</w:t>
      </w:r>
    </w:p>
    <w:p w14:paraId="19C8A9A4" w14:textId="77777777" w:rsidR="004B7DE4" w:rsidRPr="004B7DE4" w:rsidRDefault="004B7DE4" w:rsidP="004B7DE4">
      <w:pPr>
        <w:spacing w:after="0" w:line="256" w:lineRule="auto"/>
        <w:rPr>
          <w:rFonts w:ascii="Aptos" w:eastAsia="Aptos" w:hAnsi="Aptos" w:cs="Times New Roman"/>
          <w:sz w:val="22"/>
          <w:szCs w:val="22"/>
        </w:rPr>
      </w:pPr>
    </w:p>
    <w:p w14:paraId="4220C754" w14:textId="77777777" w:rsidR="004B7DE4" w:rsidRPr="004B7DE4" w:rsidRDefault="004B7DE4" w:rsidP="004B7DE4">
      <w:pPr>
        <w:spacing w:after="0" w:line="256" w:lineRule="auto"/>
        <w:rPr>
          <w:rFonts w:ascii="Aptos" w:eastAsia="Aptos" w:hAnsi="Aptos" w:cs="Times New Roman"/>
          <w:sz w:val="22"/>
          <w:szCs w:val="22"/>
        </w:rPr>
      </w:pPr>
      <w:r w:rsidRPr="004B7DE4">
        <w:rPr>
          <w:rFonts w:ascii="Aptos" w:eastAsia="Aptos" w:hAnsi="Aptos" w:cs="Times New Roman"/>
          <w:sz w:val="22"/>
          <w:szCs w:val="22"/>
        </w:rPr>
        <w:t>A primary objective and expected outcome of regenerative farming is to enhance ecosystem</w:t>
      </w:r>
    </w:p>
    <w:p w14:paraId="7E8BB7AE" w14:textId="77777777" w:rsidR="004B7DE4" w:rsidRPr="004B7DE4" w:rsidRDefault="004B7DE4" w:rsidP="004B7DE4">
      <w:pPr>
        <w:spacing w:after="0" w:line="256" w:lineRule="auto"/>
        <w:rPr>
          <w:rFonts w:ascii="Aptos" w:eastAsia="Aptos" w:hAnsi="Aptos" w:cs="Times New Roman"/>
          <w:sz w:val="22"/>
          <w:szCs w:val="22"/>
        </w:rPr>
      </w:pPr>
      <w:r w:rsidRPr="004B7DE4">
        <w:rPr>
          <w:rFonts w:ascii="Aptos" w:eastAsia="Aptos" w:hAnsi="Aptos" w:cs="Times New Roman"/>
          <w:sz w:val="22"/>
          <w:szCs w:val="22"/>
        </w:rPr>
        <w:t>processes, which include soil health, landscape-level hydrological functions, improved</w:t>
      </w:r>
    </w:p>
    <w:p w14:paraId="51128A11" w14:textId="77777777" w:rsidR="004B7DE4" w:rsidRPr="004B7DE4" w:rsidRDefault="004B7DE4" w:rsidP="004B7DE4">
      <w:pPr>
        <w:spacing w:after="0" w:line="256" w:lineRule="auto"/>
        <w:rPr>
          <w:rFonts w:ascii="Aptos" w:eastAsia="Aptos" w:hAnsi="Aptos" w:cs="Times New Roman"/>
          <w:sz w:val="22"/>
          <w:szCs w:val="22"/>
        </w:rPr>
      </w:pPr>
      <w:r w:rsidRPr="004B7DE4">
        <w:rPr>
          <w:rFonts w:ascii="Aptos" w:eastAsia="Aptos" w:hAnsi="Aptos" w:cs="Times New Roman"/>
          <w:sz w:val="22"/>
          <w:szCs w:val="22"/>
        </w:rPr>
        <w:t>biodiversity in grassland swards and overall habitats, and increased primary production.</w:t>
      </w:r>
    </w:p>
    <w:p w14:paraId="4F4791C1" w14:textId="77777777" w:rsidR="004B7DE4" w:rsidRPr="004B7DE4" w:rsidRDefault="004B7DE4" w:rsidP="004B7DE4">
      <w:pPr>
        <w:spacing w:after="0" w:line="256" w:lineRule="auto"/>
        <w:rPr>
          <w:rFonts w:ascii="Aptos" w:eastAsia="Aptos" w:hAnsi="Aptos" w:cs="Times New Roman"/>
          <w:sz w:val="22"/>
          <w:szCs w:val="22"/>
        </w:rPr>
      </w:pPr>
      <w:r w:rsidRPr="004B7DE4">
        <w:rPr>
          <w:rFonts w:ascii="Aptos" w:eastAsia="Aptos" w:hAnsi="Aptos" w:cs="Times New Roman"/>
          <w:sz w:val="22"/>
          <w:szCs w:val="22"/>
        </w:rPr>
        <w:t>Each farm will develop its own bespoke regenerative plans after participating in a range of</w:t>
      </w:r>
    </w:p>
    <w:p w14:paraId="07AF8251" w14:textId="77777777" w:rsidR="004B7DE4" w:rsidRPr="004B7DE4" w:rsidRDefault="004B7DE4" w:rsidP="004B7DE4">
      <w:pPr>
        <w:spacing w:after="0" w:line="256" w:lineRule="auto"/>
        <w:rPr>
          <w:rFonts w:ascii="Aptos" w:eastAsia="Aptos" w:hAnsi="Aptos" w:cs="Times New Roman"/>
          <w:sz w:val="22"/>
          <w:szCs w:val="22"/>
        </w:rPr>
      </w:pPr>
      <w:r w:rsidRPr="004B7DE4">
        <w:rPr>
          <w:rFonts w:ascii="Aptos" w:eastAsia="Aptos" w:hAnsi="Aptos" w:cs="Times New Roman"/>
          <w:sz w:val="22"/>
          <w:szCs w:val="22"/>
        </w:rPr>
        <w:t>training sessions—comprising site-based group training, workshops, online self-directed</w:t>
      </w:r>
    </w:p>
    <w:p w14:paraId="4F4C68EC" w14:textId="1BF62457" w:rsidR="008B7E73" w:rsidRDefault="004B7DE4" w:rsidP="00BD29D9">
      <w:pPr>
        <w:spacing w:after="0" w:line="256" w:lineRule="auto"/>
        <w:rPr>
          <w:rFonts w:ascii="Aptos" w:eastAsia="Aptos" w:hAnsi="Aptos" w:cs="Times New Roman"/>
          <w:sz w:val="22"/>
          <w:szCs w:val="22"/>
        </w:rPr>
      </w:pPr>
      <w:r w:rsidRPr="004B7DE4">
        <w:rPr>
          <w:rFonts w:ascii="Aptos" w:eastAsia="Aptos" w:hAnsi="Aptos" w:cs="Times New Roman"/>
          <w:sz w:val="22"/>
          <w:szCs w:val="22"/>
        </w:rPr>
        <w:t>learning, online group coaching sessions, and peer-to-peer coaching.</w:t>
      </w:r>
    </w:p>
    <w:p w14:paraId="52DA0FEC" w14:textId="77777777" w:rsidR="00BD29D9" w:rsidRPr="00BD29D9" w:rsidRDefault="00BD29D9" w:rsidP="00BD29D9">
      <w:pPr>
        <w:spacing w:after="0" w:line="256" w:lineRule="auto"/>
        <w:rPr>
          <w:rFonts w:ascii="Aptos" w:eastAsia="Aptos" w:hAnsi="Aptos" w:cs="Times New Roman"/>
          <w:sz w:val="22"/>
          <w:szCs w:val="22"/>
        </w:rPr>
      </w:pPr>
    </w:p>
    <w:p w14:paraId="416213F4" w14:textId="77777777" w:rsidR="008B7E73" w:rsidRPr="00BD29D9" w:rsidRDefault="008B7E73" w:rsidP="008B7E73">
      <w:pPr>
        <w:rPr>
          <w:sz w:val="22"/>
          <w:szCs w:val="22"/>
        </w:rPr>
      </w:pPr>
      <w:r w:rsidRPr="00BD29D9">
        <w:rPr>
          <w:sz w:val="22"/>
          <w:szCs w:val="22"/>
        </w:rPr>
        <w:t xml:space="preserve">This project is funded by Welsh Governments Integrated Natural Resource Scheme. The funding was approved in February 2026. </w:t>
      </w:r>
    </w:p>
    <w:p w14:paraId="6AA458E5" w14:textId="77777777" w:rsidR="008B7E73" w:rsidRPr="00BD29D9" w:rsidRDefault="008B7E73" w:rsidP="008B7E73">
      <w:pPr>
        <w:rPr>
          <w:sz w:val="22"/>
          <w:szCs w:val="22"/>
        </w:rPr>
      </w:pPr>
      <w:r w:rsidRPr="00BD29D9">
        <w:rPr>
          <w:sz w:val="22"/>
          <w:szCs w:val="22"/>
        </w:rPr>
        <w:lastRenderedPageBreak/>
        <w:t xml:space="preserve">This project is set to begin in April 2026 with a recruitment process on-going to employ a Project Officer. To date, the project completion date is September 2028, however, efforts are on-going to move the completion date to March 2029. </w:t>
      </w:r>
    </w:p>
    <w:p w14:paraId="2D27C215" w14:textId="77777777" w:rsidR="00374589" w:rsidRPr="00374589" w:rsidRDefault="00374589" w:rsidP="00374589">
      <w:pPr>
        <w:rPr>
          <w:sz w:val="22"/>
          <w:szCs w:val="22"/>
        </w:rPr>
      </w:pPr>
      <w:r w:rsidRPr="00374589">
        <w:rPr>
          <w:sz w:val="22"/>
          <w:szCs w:val="22"/>
        </w:rPr>
        <w:t>The Project Officer will be responsible for managing the day</w:t>
      </w:r>
      <w:r w:rsidRPr="00374589">
        <w:rPr>
          <w:sz w:val="22"/>
          <w:szCs w:val="22"/>
        </w:rPr>
        <w:noBreakHyphen/>
        <w:t>to</w:t>
      </w:r>
      <w:r w:rsidRPr="00374589">
        <w:rPr>
          <w:sz w:val="22"/>
          <w:szCs w:val="22"/>
        </w:rPr>
        <w:noBreakHyphen/>
        <w:t>day delivery of the project. They will work closely with the appointed consultant to coordinate the training programme and support the development of farm management plans. In addition, the Project Officer will oversee the contract management of all capital works.</w:t>
      </w:r>
    </w:p>
    <w:p w14:paraId="4539A3C4" w14:textId="2856CC3A" w:rsidR="008B7E73" w:rsidRPr="00BD29D9" w:rsidRDefault="00374589">
      <w:pPr>
        <w:rPr>
          <w:sz w:val="22"/>
          <w:szCs w:val="22"/>
        </w:rPr>
      </w:pPr>
      <w:r w:rsidRPr="00374589">
        <w:rPr>
          <w:sz w:val="22"/>
          <w:szCs w:val="22"/>
        </w:rPr>
        <w:t xml:space="preserve">The project also intends to collaborate with an external company to provide </w:t>
      </w:r>
      <w:r w:rsidR="002E29EE">
        <w:rPr>
          <w:sz w:val="22"/>
          <w:szCs w:val="22"/>
        </w:rPr>
        <w:t xml:space="preserve">access to </w:t>
      </w:r>
      <w:r w:rsidRPr="00374589">
        <w:rPr>
          <w:sz w:val="22"/>
          <w:szCs w:val="22"/>
        </w:rPr>
        <w:t>an online app to support participating farmers. This platform will act as a central hub for baseline surveys, soil health monitoring and future rotational grazing planning.</w:t>
      </w:r>
    </w:p>
    <w:p w14:paraId="4FDD55F0" w14:textId="0D8D9D50" w:rsidR="00F7364B" w:rsidRPr="00BD29D9" w:rsidRDefault="008B7E73" w:rsidP="00BD29D9">
      <w:pPr>
        <w:pStyle w:val="Heading1"/>
      </w:pPr>
      <w:bookmarkStart w:id="2" w:name="_Toc226978089"/>
      <w:r w:rsidRPr="00BD29D9">
        <w:t>The Requirement</w:t>
      </w:r>
      <w:bookmarkEnd w:id="2"/>
    </w:p>
    <w:p w14:paraId="1C34469F" w14:textId="77777777" w:rsidR="00374589" w:rsidRPr="00BD29D9" w:rsidRDefault="00374589" w:rsidP="00374589">
      <w:pPr>
        <w:rPr>
          <w:sz w:val="22"/>
          <w:szCs w:val="22"/>
        </w:rPr>
      </w:pPr>
      <w:r w:rsidRPr="00BD29D9">
        <w:rPr>
          <w:sz w:val="22"/>
          <w:szCs w:val="22"/>
        </w:rPr>
        <w:t>The following sub</w:t>
      </w:r>
      <w:r w:rsidRPr="00BD29D9">
        <w:rPr>
          <w:sz w:val="22"/>
          <w:szCs w:val="22"/>
        </w:rPr>
        <w:noBreakHyphen/>
        <w:t>headings set out the requirements for prospective tenderers. Applicants may choose to deliver elements of the specification in collaboration with colleagues, individuals, or partner organisations. This is acceptable provided that all collaborators possess the necessary expertise and capability to meet the project objectives. Where collaboration is proposed, applicants must clearly outline the roles, responsibilities, and relevant experience of each contributing party.</w:t>
      </w:r>
    </w:p>
    <w:p w14:paraId="20952120" w14:textId="5E4B18AD" w:rsidR="0034157D" w:rsidRPr="00BD29D9" w:rsidRDefault="0034157D" w:rsidP="002918F1">
      <w:pPr>
        <w:pStyle w:val="Heading2"/>
        <w:rPr>
          <w:sz w:val="28"/>
          <w:szCs w:val="28"/>
        </w:rPr>
      </w:pPr>
      <w:bookmarkStart w:id="3" w:name="_Toc226978090"/>
      <w:r w:rsidRPr="00BD29D9">
        <w:rPr>
          <w:sz w:val="28"/>
          <w:szCs w:val="28"/>
        </w:rPr>
        <w:t xml:space="preserve">Important </w:t>
      </w:r>
      <w:r w:rsidR="002918F1" w:rsidRPr="00BD29D9">
        <w:rPr>
          <w:sz w:val="28"/>
          <w:szCs w:val="28"/>
        </w:rPr>
        <w:t>Context</w:t>
      </w:r>
      <w:bookmarkEnd w:id="3"/>
    </w:p>
    <w:p w14:paraId="56B546E3" w14:textId="370D3AC2" w:rsidR="00374589" w:rsidRPr="00BD29D9" w:rsidRDefault="00374589" w:rsidP="00374589">
      <w:pPr>
        <w:rPr>
          <w:sz w:val="22"/>
          <w:szCs w:val="22"/>
        </w:rPr>
      </w:pPr>
      <w:r w:rsidRPr="00BD29D9">
        <w:rPr>
          <w:sz w:val="22"/>
          <w:szCs w:val="22"/>
        </w:rPr>
        <w:t xml:space="preserve">There are 20 farms participating in this initiative. Of these, 13 have committed to delivering all project elements, training, management plan development, and capital works. </w:t>
      </w:r>
      <w:r w:rsidR="002E29EE">
        <w:rPr>
          <w:sz w:val="22"/>
          <w:szCs w:val="22"/>
        </w:rPr>
        <w:t>The other</w:t>
      </w:r>
      <w:r w:rsidRPr="00BD29D9">
        <w:rPr>
          <w:sz w:val="22"/>
          <w:szCs w:val="22"/>
        </w:rPr>
        <w:t xml:space="preserve"> 7 farms will engage in the training and plan</w:t>
      </w:r>
      <w:r w:rsidRPr="00BD29D9">
        <w:rPr>
          <w:sz w:val="22"/>
          <w:szCs w:val="22"/>
        </w:rPr>
        <w:noBreakHyphen/>
        <w:t>development components only.</w:t>
      </w:r>
    </w:p>
    <w:p w14:paraId="036D4D5B" w14:textId="77777777" w:rsidR="00374589" w:rsidRPr="00BD29D9" w:rsidRDefault="00374589" w:rsidP="00374589">
      <w:pPr>
        <w:rPr>
          <w:sz w:val="22"/>
          <w:szCs w:val="22"/>
        </w:rPr>
      </w:pPr>
      <w:r w:rsidRPr="00BD29D9">
        <w:rPr>
          <w:sz w:val="22"/>
          <w:szCs w:val="22"/>
        </w:rPr>
        <w:t>As the participating farms are located within two distinct geographical areas, the full training programme detailed in the following section will be delivered twice: once in Ysbyty Ifan and once in Rhydymain. The same approach will apply to the ongoing support described later in this document.</w:t>
      </w:r>
    </w:p>
    <w:p w14:paraId="4E8C7AEF" w14:textId="552D5580" w:rsidR="00C94171" w:rsidRPr="00BD29D9" w:rsidRDefault="006F64D3" w:rsidP="006F64D3">
      <w:pPr>
        <w:pStyle w:val="Heading2"/>
        <w:rPr>
          <w:sz w:val="28"/>
          <w:szCs w:val="28"/>
        </w:rPr>
      </w:pPr>
      <w:bookmarkStart w:id="4" w:name="_Toc226978091"/>
      <w:r w:rsidRPr="00BD29D9">
        <w:rPr>
          <w:sz w:val="28"/>
          <w:szCs w:val="28"/>
        </w:rPr>
        <w:t>Training Programme</w:t>
      </w:r>
      <w:bookmarkEnd w:id="4"/>
      <w:r w:rsidRPr="00BD29D9">
        <w:rPr>
          <w:sz w:val="28"/>
          <w:szCs w:val="28"/>
        </w:rPr>
        <w:t xml:space="preserve"> </w:t>
      </w:r>
      <w:r w:rsidR="00C94171" w:rsidRPr="00BD29D9">
        <w:rPr>
          <w:sz w:val="28"/>
          <w:szCs w:val="28"/>
        </w:rPr>
        <w:t xml:space="preserve"> </w:t>
      </w:r>
    </w:p>
    <w:p w14:paraId="7C73D7C2" w14:textId="73DF60FC" w:rsidR="00374589" w:rsidRPr="00BD29D9" w:rsidRDefault="00374589" w:rsidP="00374589">
      <w:pPr>
        <w:rPr>
          <w:sz w:val="22"/>
          <w:szCs w:val="22"/>
        </w:rPr>
      </w:pPr>
      <w:r w:rsidRPr="00BD29D9">
        <w:rPr>
          <w:sz w:val="22"/>
          <w:szCs w:val="22"/>
        </w:rPr>
        <w:t>A core element of this project is to equip farmers with a clear understanding of what regenerative farming is, the principles that underpin it, and how these principles can be applied within their own unique farm contexts. For the 13 farms participating in all elements of the project</w:t>
      </w:r>
      <w:r w:rsidR="00BD29D9">
        <w:rPr>
          <w:sz w:val="22"/>
          <w:szCs w:val="22"/>
        </w:rPr>
        <w:t xml:space="preserve"> (</w:t>
      </w:r>
      <w:r w:rsidRPr="00BD29D9">
        <w:rPr>
          <w:sz w:val="22"/>
          <w:szCs w:val="22"/>
        </w:rPr>
        <w:t>including capital works</w:t>
      </w:r>
      <w:r w:rsidR="00BD29D9">
        <w:rPr>
          <w:sz w:val="22"/>
          <w:szCs w:val="22"/>
        </w:rPr>
        <w:t xml:space="preserve">) </w:t>
      </w:r>
      <w:r w:rsidRPr="00BD29D9">
        <w:rPr>
          <w:sz w:val="22"/>
          <w:szCs w:val="22"/>
        </w:rPr>
        <w:t>full participation in the training programme is mandatory. The programme will consist of the following workshops:</w:t>
      </w:r>
    </w:p>
    <w:p w14:paraId="03292CA2" w14:textId="77777777" w:rsidR="00374589" w:rsidRPr="00374589" w:rsidRDefault="00374589" w:rsidP="00374589">
      <w:pPr>
        <w:pStyle w:val="ListParagraph"/>
        <w:numPr>
          <w:ilvl w:val="0"/>
          <w:numId w:val="8"/>
        </w:numPr>
        <w:rPr>
          <w:sz w:val="22"/>
          <w:szCs w:val="22"/>
        </w:rPr>
      </w:pPr>
      <w:r w:rsidRPr="00374589">
        <w:rPr>
          <w:b/>
          <w:bCs/>
          <w:sz w:val="22"/>
          <w:szCs w:val="22"/>
        </w:rPr>
        <w:t>Context Development Workshop</w:t>
      </w:r>
      <w:r w:rsidRPr="00374589">
        <w:rPr>
          <w:sz w:val="22"/>
          <w:szCs w:val="22"/>
        </w:rPr>
        <w:br/>
        <w:t>This workshop will introduce farmers to the principles of regenerative farming and explain their relevance and importance. The session will combine classroom</w:t>
      </w:r>
      <w:r w:rsidRPr="00374589">
        <w:rPr>
          <w:sz w:val="22"/>
          <w:szCs w:val="22"/>
        </w:rPr>
        <w:noBreakHyphen/>
        <w:t>based learning with practical, field</w:t>
      </w:r>
      <w:r w:rsidRPr="00374589">
        <w:rPr>
          <w:sz w:val="22"/>
          <w:szCs w:val="22"/>
        </w:rPr>
        <w:noBreakHyphen/>
        <w:t>based activities.</w:t>
      </w:r>
    </w:p>
    <w:p w14:paraId="5DA1FFC4" w14:textId="77777777" w:rsidR="00374589" w:rsidRPr="00374589" w:rsidRDefault="00374589" w:rsidP="00374589">
      <w:pPr>
        <w:pStyle w:val="ListParagraph"/>
        <w:numPr>
          <w:ilvl w:val="0"/>
          <w:numId w:val="8"/>
        </w:numPr>
        <w:rPr>
          <w:sz w:val="22"/>
          <w:szCs w:val="22"/>
        </w:rPr>
      </w:pPr>
      <w:r w:rsidRPr="00374589">
        <w:rPr>
          <w:b/>
          <w:bCs/>
          <w:sz w:val="22"/>
          <w:szCs w:val="22"/>
        </w:rPr>
        <w:t>Grazing Plan Workshop</w:t>
      </w:r>
      <w:r w:rsidRPr="00374589">
        <w:rPr>
          <w:sz w:val="22"/>
          <w:szCs w:val="22"/>
        </w:rPr>
        <w:br/>
        <w:t>This workshop will provide an in</w:t>
      </w:r>
      <w:r w:rsidRPr="00374589">
        <w:rPr>
          <w:sz w:val="22"/>
          <w:szCs w:val="22"/>
        </w:rPr>
        <w:noBreakHyphen/>
        <w:t xml:space="preserve">depth understanding of how grazing systems operate within a regenerative approach. Farmers will be taught the principles of rotational, </w:t>
      </w:r>
      <w:r w:rsidRPr="00374589">
        <w:rPr>
          <w:sz w:val="22"/>
          <w:szCs w:val="22"/>
        </w:rPr>
        <w:lastRenderedPageBreak/>
        <w:t>long</w:t>
      </w:r>
      <w:r w:rsidRPr="00374589">
        <w:rPr>
          <w:sz w:val="22"/>
          <w:szCs w:val="22"/>
        </w:rPr>
        <w:noBreakHyphen/>
        <w:t>rest grazing and the associated economic and environmental benefits. Delivery will include both classroom and field components.</w:t>
      </w:r>
    </w:p>
    <w:p w14:paraId="2ADDF5E5" w14:textId="77777777" w:rsidR="00374589" w:rsidRPr="00374589" w:rsidRDefault="00374589" w:rsidP="00374589">
      <w:pPr>
        <w:pStyle w:val="ListParagraph"/>
        <w:numPr>
          <w:ilvl w:val="0"/>
          <w:numId w:val="8"/>
        </w:numPr>
        <w:rPr>
          <w:sz w:val="22"/>
          <w:szCs w:val="22"/>
        </w:rPr>
      </w:pPr>
      <w:r w:rsidRPr="00374589">
        <w:rPr>
          <w:b/>
          <w:bCs/>
          <w:sz w:val="22"/>
          <w:szCs w:val="22"/>
        </w:rPr>
        <w:t>Health Planning Workshop</w:t>
      </w:r>
      <w:r w:rsidRPr="00374589">
        <w:rPr>
          <w:sz w:val="22"/>
          <w:szCs w:val="22"/>
        </w:rPr>
        <w:br/>
        <w:t>This session will focus on developing an improved understanding of proactive livestock health planning. A key aim of the project is to reduce reliance on veterinary medicines. Local veterinarians representing participating farms will be invited to contribute, fostering an inclusive and informed discussion around livestock health within a regenerative system.</w:t>
      </w:r>
    </w:p>
    <w:p w14:paraId="202F2E0E" w14:textId="77777777" w:rsidR="00374589" w:rsidRPr="00374589" w:rsidRDefault="00374589" w:rsidP="00374589">
      <w:pPr>
        <w:pStyle w:val="ListParagraph"/>
        <w:numPr>
          <w:ilvl w:val="0"/>
          <w:numId w:val="8"/>
        </w:numPr>
        <w:rPr>
          <w:sz w:val="22"/>
          <w:szCs w:val="22"/>
        </w:rPr>
      </w:pPr>
      <w:r w:rsidRPr="00374589">
        <w:rPr>
          <w:b/>
          <w:bCs/>
          <w:sz w:val="22"/>
          <w:szCs w:val="22"/>
        </w:rPr>
        <w:t>Baseline Assessment and Ecosystem Process Monitoring Workshop</w:t>
      </w:r>
      <w:r w:rsidRPr="00374589">
        <w:rPr>
          <w:sz w:val="22"/>
          <w:szCs w:val="22"/>
        </w:rPr>
        <w:br/>
        <w:t>This workshop will teach farmers how to measure and monitor the impacts of changes implemented on their farms. Activities will include visual assessments, soil sampling, earthworm counts and infiltration tests. Farmers will also have access to an app for recording and tracking these measurements, and the consultant will be expected to explain the importance of these digital tools for monitoring progress and supporting decision</w:t>
      </w:r>
      <w:r w:rsidRPr="00374589">
        <w:rPr>
          <w:sz w:val="22"/>
          <w:szCs w:val="22"/>
        </w:rPr>
        <w:noBreakHyphen/>
        <w:t>making</w:t>
      </w:r>
    </w:p>
    <w:p w14:paraId="1CF45A19" w14:textId="77777777" w:rsidR="00396E0F" w:rsidRPr="00BD29D9" w:rsidRDefault="00396E0F" w:rsidP="00E16AC8">
      <w:pPr>
        <w:pStyle w:val="ListParagraph"/>
        <w:ind w:left="770"/>
        <w:rPr>
          <w:sz w:val="22"/>
          <w:szCs w:val="22"/>
        </w:rPr>
      </w:pPr>
    </w:p>
    <w:p w14:paraId="4869294D" w14:textId="1F905406" w:rsidR="00E16AC8" w:rsidRPr="00BD29D9" w:rsidRDefault="00E16AC8" w:rsidP="00E16AC8">
      <w:pPr>
        <w:pStyle w:val="Heading2"/>
        <w:rPr>
          <w:sz w:val="28"/>
          <w:szCs w:val="28"/>
        </w:rPr>
      </w:pPr>
      <w:bookmarkStart w:id="5" w:name="_Toc226978092"/>
      <w:r w:rsidRPr="00BD29D9">
        <w:rPr>
          <w:sz w:val="28"/>
          <w:szCs w:val="28"/>
        </w:rPr>
        <w:t>Plan Development.</w:t>
      </w:r>
      <w:bookmarkEnd w:id="5"/>
      <w:r w:rsidRPr="00BD29D9">
        <w:rPr>
          <w:sz w:val="28"/>
          <w:szCs w:val="28"/>
        </w:rPr>
        <w:t xml:space="preserve"> </w:t>
      </w:r>
    </w:p>
    <w:p w14:paraId="5957D4DE" w14:textId="77777777" w:rsidR="00374589" w:rsidRPr="00374589" w:rsidRDefault="00374589" w:rsidP="00374589">
      <w:pPr>
        <w:rPr>
          <w:sz w:val="22"/>
          <w:szCs w:val="22"/>
        </w:rPr>
      </w:pPr>
      <w:r w:rsidRPr="00374589">
        <w:rPr>
          <w:sz w:val="22"/>
          <w:szCs w:val="22"/>
        </w:rPr>
        <w:t>Following completion of the training programme, each farm will receive a bespoke regenerative farming plan tailored to its specific context. Combined with the knowledge gained through training, this whole</w:t>
      </w:r>
      <w:r w:rsidRPr="00374589">
        <w:rPr>
          <w:sz w:val="22"/>
          <w:szCs w:val="22"/>
        </w:rPr>
        <w:noBreakHyphen/>
        <w:t>farm management plan will equip farmers to make informed decisions that align with their environmental, social, and economic circumstances.</w:t>
      </w:r>
    </w:p>
    <w:p w14:paraId="198E373F" w14:textId="77777777" w:rsidR="00374589" w:rsidRPr="00374589" w:rsidRDefault="00374589" w:rsidP="00374589">
      <w:pPr>
        <w:rPr>
          <w:sz w:val="22"/>
          <w:szCs w:val="22"/>
        </w:rPr>
      </w:pPr>
      <w:r w:rsidRPr="00374589">
        <w:rPr>
          <w:sz w:val="22"/>
          <w:szCs w:val="22"/>
        </w:rPr>
        <w:t>Plan development will form a central component of the project, with each plan directly informing the capital works to be delivered on participating farms. To ensure long</w:t>
      </w:r>
      <w:r w:rsidRPr="00374589">
        <w:rPr>
          <w:sz w:val="22"/>
          <w:szCs w:val="22"/>
        </w:rPr>
        <w:noBreakHyphen/>
        <w:t>term success and genuine adoption of the plans, it is essential that farmers are actively involved throughout the plan</w:t>
      </w:r>
      <w:r w:rsidRPr="00374589">
        <w:rPr>
          <w:sz w:val="22"/>
          <w:szCs w:val="22"/>
        </w:rPr>
        <w:noBreakHyphen/>
        <w:t>development process.</w:t>
      </w:r>
    </w:p>
    <w:p w14:paraId="7294A651" w14:textId="5713DAED" w:rsidR="008B7E73" w:rsidRPr="00BD29D9" w:rsidRDefault="008B7E73" w:rsidP="006C037C">
      <w:pPr>
        <w:rPr>
          <w:b/>
          <w:bCs/>
          <w:sz w:val="22"/>
          <w:szCs w:val="22"/>
          <w:u w:val="single"/>
        </w:rPr>
      </w:pPr>
      <w:r w:rsidRPr="00BD29D9">
        <w:rPr>
          <w:b/>
          <w:bCs/>
          <w:sz w:val="22"/>
          <w:szCs w:val="22"/>
          <w:u w:val="single"/>
        </w:rPr>
        <w:t xml:space="preserve">Plans </w:t>
      </w:r>
      <w:r w:rsidR="008911C6" w:rsidRPr="00BD29D9">
        <w:rPr>
          <w:b/>
          <w:bCs/>
          <w:sz w:val="22"/>
          <w:szCs w:val="22"/>
          <w:u w:val="single"/>
        </w:rPr>
        <w:t>must include</w:t>
      </w:r>
      <w:r w:rsidRPr="00BD29D9">
        <w:rPr>
          <w:b/>
          <w:bCs/>
          <w:sz w:val="22"/>
          <w:szCs w:val="22"/>
          <w:u w:val="single"/>
        </w:rPr>
        <w:t xml:space="preserve">: </w:t>
      </w:r>
    </w:p>
    <w:p w14:paraId="2E9A05C4" w14:textId="6A7C2319" w:rsidR="00642E92" w:rsidRPr="00BD29D9" w:rsidRDefault="00642E92" w:rsidP="008911C6">
      <w:pPr>
        <w:pStyle w:val="ListParagraph"/>
        <w:numPr>
          <w:ilvl w:val="0"/>
          <w:numId w:val="5"/>
        </w:numPr>
        <w:spacing w:after="0" w:line="259" w:lineRule="auto"/>
        <w:rPr>
          <w:sz w:val="22"/>
          <w:szCs w:val="22"/>
        </w:rPr>
      </w:pPr>
      <w:r w:rsidRPr="00BD29D9">
        <w:rPr>
          <w:sz w:val="22"/>
          <w:szCs w:val="22"/>
        </w:rPr>
        <w:t>Regenerative Context: An overarching vision document that encapsulates the unique social, environmental, and economic aspects of each farm operation.</w:t>
      </w:r>
    </w:p>
    <w:p w14:paraId="2492F684" w14:textId="7C5AEEA4" w:rsidR="00642E92" w:rsidRPr="00BD29D9" w:rsidRDefault="00642E92" w:rsidP="00642E92">
      <w:pPr>
        <w:pStyle w:val="ListParagraph"/>
        <w:numPr>
          <w:ilvl w:val="0"/>
          <w:numId w:val="5"/>
        </w:numPr>
        <w:spacing w:after="0" w:line="259" w:lineRule="auto"/>
        <w:rPr>
          <w:sz w:val="22"/>
          <w:szCs w:val="22"/>
        </w:rPr>
      </w:pPr>
      <w:r w:rsidRPr="00BD29D9">
        <w:rPr>
          <w:sz w:val="22"/>
          <w:szCs w:val="22"/>
        </w:rPr>
        <w:t>Regenerative Grazing Plans: Seasonal plans designed to organize grazing, animal impact, and rest in a manner that achieves contextually desirable regenerative outcomes.</w:t>
      </w:r>
    </w:p>
    <w:p w14:paraId="1D4890AC" w14:textId="26704177" w:rsidR="008911C6" w:rsidRPr="00BD29D9" w:rsidRDefault="00642E92" w:rsidP="008911C6">
      <w:pPr>
        <w:pStyle w:val="ListParagraph"/>
        <w:numPr>
          <w:ilvl w:val="0"/>
          <w:numId w:val="5"/>
        </w:numPr>
        <w:spacing w:after="0" w:line="259" w:lineRule="auto"/>
        <w:rPr>
          <w:sz w:val="22"/>
          <w:szCs w:val="22"/>
        </w:rPr>
      </w:pPr>
      <w:r w:rsidRPr="00BD29D9">
        <w:rPr>
          <w:sz w:val="22"/>
          <w:szCs w:val="22"/>
        </w:rPr>
        <w:t>Livestock Health Plans: Proactive strategies for disease prevention and minimizing ecologically harmful interventions through genetic selection and a 'red flag' decision making process.</w:t>
      </w:r>
    </w:p>
    <w:p w14:paraId="10FB1F81" w14:textId="77777777" w:rsidR="00642E92" w:rsidRPr="00BD29D9" w:rsidRDefault="00642E92" w:rsidP="00642E92">
      <w:pPr>
        <w:pStyle w:val="ListParagraph"/>
        <w:numPr>
          <w:ilvl w:val="0"/>
          <w:numId w:val="5"/>
        </w:numPr>
        <w:spacing w:after="0" w:line="259" w:lineRule="auto"/>
        <w:rPr>
          <w:sz w:val="22"/>
          <w:szCs w:val="22"/>
        </w:rPr>
      </w:pPr>
      <w:r w:rsidRPr="00BD29D9">
        <w:rPr>
          <w:sz w:val="22"/>
          <w:szCs w:val="22"/>
        </w:rPr>
        <w:t>Regenerative Outcomes Baseline: Establishing a baseline for measuring success.</w:t>
      </w:r>
    </w:p>
    <w:p w14:paraId="0F34C9CC" w14:textId="0DCC7C45" w:rsidR="00642E92" w:rsidRDefault="00BD29D9" w:rsidP="00642E92">
      <w:pPr>
        <w:pStyle w:val="ListParagraph"/>
        <w:numPr>
          <w:ilvl w:val="0"/>
          <w:numId w:val="5"/>
        </w:numPr>
        <w:spacing w:after="0" w:line="259" w:lineRule="auto"/>
        <w:rPr>
          <w:sz w:val="22"/>
          <w:szCs w:val="22"/>
        </w:rPr>
      </w:pPr>
      <w:r>
        <w:rPr>
          <w:sz w:val="22"/>
          <w:szCs w:val="22"/>
        </w:rPr>
        <w:t xml:space="preserve">Farm Capital Works </w:t>
      </w:r>
      <w:r w:rsidR="00642E92" w:rsidRPr="00BD29D9">
        <w:rPr>
          <w:sz w:val="22"/>
          <w:szCs w:val="22"/>
        </w:rPr>
        <w:t>Annual Investment and Action Plan</w:t>
      </w:r>
      <w:r w:rsidR="008911C6" w:rsidRPr="00BD29D9">
        <w:rPr>
          <w:sz w:val="22"/>
          <w:szCs w:val="22"/>
        </w:rPr>
        <w:t xml:space="preserve"> – Plan will be funded through the capital works element of this project. </w:t>
      </w:r>
    </w:p>
    <w:p w14:paraId="2C845C6B" w14:textId="77777777" w:rsidR="00BD29D9" w:rsidRDefault="00BD29D9" w:rsidP="00BD29D9">
      <w:pPr>
        <w:pStyle w:val="ListParagraph"/>
        <w:spacing w:after="0" w:line="259" w:lineRule="auto"/>
        <w:ind w:left="1080"/>
        <w:rPr>
          <w:sz w:val="22"/>
          <w:szCs w:val="22"/>
        </w:rPr>
      </w:pPr>
    </w:p>
    <w:p w14:paraId="0576607A" w14:textId="73911761" w:rsidR="00BD29D9" w:rsidRDefault="00BD29D9" w:rsidP="00BD29D9">
      <w:pPr>
        <w:pStyle w:val="ListParagraph"/>
        <w:spacing w:after="0" w:line="259" w:lineRule="auto"/>
        <w:ind w:left="1080"/>
        <w:rPr>
          <w:sz w:val="22"/>
          <w:szCs w:val="22"/>
        </w:rPr>
      </w:pPr>
      <w:r>
        <w:rPr>
          <w:sz w:val="22"/>
          <w:szCs w:val="22"/>
        </w:rPr>
        <w:t>And…</w:t>
      </w:r>
    </w:p>
    <w:p w14:paraId="25288A39" w14:textId="77777777" w:rsidR="00BD29D9" w:rsidRPr="00BD29D9" w:rsidRDefault="00BD29D9" w:rsidP="00BD29D9">
      <w:pPr>
        <w:pStyle w:val="ListParagraph"/>
        <w:spacing w:after="0" w:line="259" w:lineRule="auto"/>
        <w:ind w:left="1080"/>
        <w:rPr>
          <w:sz w:val="22"/>
          <w:szCs w:val="22"/>
        </w:rPr>
      </w:pPr>
    </w:p>
    <w:p w14:paraId="5CDBCC86" w14:textId="6012B086" w:rsidR="00642E92" w:rsidRPr="00BD29D9" w:rsidRDefault="00BD29D9" w:rsidP="00642E92">
      <w:pPr>
        <w:pStyle w:val="ListParagraph"/>
        <w:numPr>
          <w:ilvl w:val="0"/>
          <w:numId w:val="5"/>
        </w:numPr>
        <w:spacing w:after="0" w:line="259" w:lineRule="auto"/>
        <w:rPr>
          <w:sz w:val="22"/>
          <w:szCs w:val="22"/>
        </w:rPr>
      </w:pPr>
      <w:r>
        <w:rPr>
          <w:sz w:val="22"/>
          <w:szCs w:val="22"/>
        </w:rPr>
        <w:t>Be a</w:t>
      </w:r>
      <w:r w:rsidR="008911C6" w:rsidRPr="00BD29D9">
        <w:rPr>
          <w:sz w:val="22"/>
          <w:szCs w:val="22"/>
        </w:rPr>
        <w:t xml:space="preserve">n </w:t>
      </w:r>
      <w:r w:rsidR="00642E92" w:rsidRPr="00BD29D9">
        <w:rPr>
          <w:sz w:val="22"/>
          <w:szCs w:val="22"/>
        </w:rPr>
        <w:t xml:space="preserve">easily accessible </w:t>
      </w:r>
      <w:r w:rsidR="008911C6" w:rsidRPr="00BD29D9">
        <w:rPr>
          <w:sz w:val="22"/>
          <w:szCs w:val="22"/>
        </w:rPr>
        <w:t xml:space="preserve">plan </w:t>
      </w:r>
      <w:r w:rsidR="00642E92" w:rsidRPr="00BD29D9">
        <w:rPr>
          <w:sz w:val="22"/>
          <w:szCs w:val="22"/>
        </w:rPr>
        <w:t>through multiple mediums with detailed and accurate mapping. (app, hard copy, online)</w:t>
      </w:r>
    </w:p>
    <w:p w14:paraId="43E7E8A2" w14:textId="13CA1093" w:rsidR="00642E92" w:rsidRPr="00BD29D9" w:rsidRDefault="00BD29D9" w:rsidP="00642E92">
      <w:pPr>
        <w:pStyle w:val="ListParagraph"/>
        <w:numPr>
          <w:ilvl w:val="0"/>
          <w:numId w:val="5"/>
        </w:numPr>
        <w:spacing w:after="0" w:line="259" w:lineRule="auto"/>
        <w:rPr>
          <w:sz w:val="22"/>
          <w:szCs w:val="22"/>
        </w:rPr>
      </w:pPr>
      <w:r>
        <w:rPr>
          <w:sz w:val="22"/>
          <w:szCs w:val="22"/>
        </w:rPr>
        <w:lastRenderedPageBreak/>
        <w:t>Take a</w:t>
      </w:r>
      <w:r w:rsidR="00642E92" w:rsidRPr="00BD29D9">
        <w:rPr>
          <w:sz w:val="22"/>
          <w:szCs w:val="22"/>
        </w:rPr>
        <w:t xml:space="preserve"> collaborative approach with farmers – </w:t>
      </w:r>
      <w:r w:rsidR="00897D34">
        <w:rPr>
          <w:sz w:val="22"/>
          <w:szCs w:val="22"/>
        </w:rPr>
        <w:t>Including a minimum of one full day</w:t>
      </w:r>
      <w:r w:rsidR="00642E92" w:rsidRPr="00BD29D9">
        <w:rPr>
          <w:sz w:val="22"/>
          <w:szCs w:val="22"/>
        </w:rPr>
        <w:t xml:space="preserve"> farm visit with each farm to develop the plan. </w:t>
      </w:r>
    </w:p>
    <w:p w14:paraId="6CFDE793" w14:textId="609F8DB1" w:rsidR="008911C6" w:rsidRPr="00BD29D9" w:rsidRDefault="008911C6" w:rsidP="008911C6">
      <w:pPr>
        <w:spacing w:after="0" w:line="259" w:lineRule="auto"/>
        <w:rPr>
          <w:sz w:val="22"/>
          <w:szCs w:val="22"/>
        </w:rPr>
      </w:pPr>
    </w:p>
    <w:p w14:paraId="68BF75E7" w14:textId="6990FDF6" w:rsidR="00642E92" w:rsidRPr="00BD29D9" w:rsidRDefault="006C037C" w:rsidP="006C037C">
      <w:pPr>
        <w:pStyle w:val="Heading2"/>
        <w:rPr>
          <w:sz w:val="28"/>
          <w:szCs w:val="28"/>
        </w:rPr>
      </w:pPr>
      <w:bookmarkStart w:id="6" w:name="_Toc226978093"/>
      <w:r w:rsidRPr="00BD29D9">
        <w:rPr>
          <w:sz w:val="28"/>
          <w:szCs w:val="28"/>
        </w:rPr>
        <w:t>On-going support</w:t>
      </w:r>
      <w:bookmarkEnd w:id="6"/>
    </w:p>
    <w:p w14:paraId="2A9CE376" w14:textId="77777777" w:rsidR="00374589" w:rsidRPr="00BD29D9" w:rsidRDefault="00374589" w:rsidP="00374589">
      <w:pPr>
        <w:rPr>
          <w:sz w:val="22"/>
          <w:szCs w:val="22"/>
        </w:rPr>
      </w:pPr>
      <w:r w:rsidRPr="00BD29D9">
        <w:rPr>
          <w:sz w:val="22"/>
          <w:szCs w:val="22"/>
        </w:rPr>
        <w:t>To ensure farmers feel supported throughout the process, provisions will be made for ongoing assistance. This will include:</w:t>
      </w:r>
    </w:p>
    <w:p w14:paraId="5FCEECD3" w14:textId="3F9474DA" w:rsidR="00374589" w:rsidRPr="00BD29D9" w:rsidRDefault="00374589" w:rsidP="00374589">
      <w:pPr>
        <w:rPr>
          <w:sz w:val="22"/>
          <w:szCs w:val="22"/>
        </w:rPr>
      </w:pPr>
      <w:r w:rsidRPr="00BD29D9">
        <w:rPr>
          <w:b/>
          <w:bCs/>
          <w:sz w:val="22"/>
          <w:szCs w:val="22"/>
        </w:rPr>
        <w:t>Monthly Online Coaching Clinics</w:t>
      </w:r>
      <w:r w:rsidRPr="00BD29D9">
        <w:rPr>
          <w:sz w:val="22"/>
          <w:szCs w:val="22"/>
        </w:rPr>
        <w:br/>
        <w:t>Monthly one</w:t>
      </w:r>
      <w:r w:rsidRPr="00BD29D9">
        <w:rPr>
          <w:sz w:val="22"/>
          <w:szCs w:val="22"/>
        </w:rPr>
        <w:noBreakHyphen/>
        <w:t>hour drop</w:t>
      </w:r>
      <w:r w:rsidRPr="00BD29D9">
        <w:rPr>
          <w:sz w:val="22"/>
          <w:szCs w:val="22"/>
        </w:rPr>
        <w:noBreakHyphen/>
        <w:t>in clinics will be offered</w:t>
      </w:r>
      <w:r w:rsidR="004A7373">
        <w:rPr>
          <w:sz w:val="22"/>
          <w:szCs w:val="22"/>
        </w:rPr>
        <w:t xml:space="preserve"> from the development of the plans to the end of the project (March 2029)</w:t>
      </w:r>
      <w:r w:rsidRPr="00BD29D9">
        <w:rPr>
          <w:sz w:val="22"/>
          <w:szCs w:val="22"/>
        </w:rPr>
        <w:t>, providing farmers with an opportunity to discuss any challenges, concerns, or successes they may be experiencing. Participation in these sessions is optional, unlike other mandatory elements of the project.</w:t>
      </w:r>
    </w:p>
    <w:p w14:paraId="7C4C6629" w14:textId="6188C3E9" w:rsidR="00CA57DF" w:rsidRDefault="00374589" w:rsidP="00CA57DF">
      <w:pPr>
        <w:rPr>
          <w:sz w:val="22"/>
          <w:szCs w:val="22"/>
        </w:rPr>
      </w:pPr>
      <w:r w:rsidRPr="00BD29D9">
        <w:rPr>
          <w:sz w:val="22"/>
          <w:szCs w:val="22"/>
        </w:rPr>
        <w:t>As the project progresses and farmers begin implementing changes on their farms, these sessions will gradually transition into peer</w:t>
      </w:r>
      <w:r w:rsidRPr="00BD29D9">
        <w:rPr>
          <w:sz w:val="22"/>
          <w:szCs w:val="22"/>
        </w:rPr>
        <w:noBreakHyphen/>
        <w:t>to</w:t>
      </w:r>
      <w:r w:rsidRPr="00BD29D9">
        <w:rPr>
          <w:sz w:val="22"/>
          <w:szCs w:val="22"/>
        </w:rPr>
        <w:noBreakHyphen/>
        <w:t>peer learning opportunities. They will be facilitated by ENPA staff with support from the appointed consultant, helping to strengthen shared learning and build a resilient regenerative farming community.</w:t>
      </w:r>
    </w:p>
    <w:p w14:paraId="4BC1B6A5" w14:textId="4614FC3E" w:rsidR="0038586D" w:rsidRDefault="00CA57DF" w:rsidP="00CA57DF">
      <w:pPr>
        <w:rPr>
          <w:sz w:val="22"/>
          <w:szCs w:val="22"/>
        </w:rPr>
      </w:pPr>
      <w:r>
        <w:rPr>
          <w:sz w:val="22"/>
          <w:szCs w:val="22"/>
        </w:rPr>
        <w:br w:type="page"/>
      </w:r>
    </w:p>
    <w:p w14:paraId="60E7222C" w14:textId="5BDCECCD" w:rsidR="0038586D" w:rsidRDefault="00DA5F7A" w:rsidP="0038586D">
      <w:pPr>
        <w:pStyle w:val="Heading1"/>
      </w:pPr>
      <w:bookmarkStart w:id="7" w:name="_Toc226978094"/>
      <w:r>
        <w:lastRenderedPageBreak/>
        <w:t>Scoring and Awarding Contract</w:t>
      </w:r>
      <w:bookmarkEnd w:id="7"/>
    </w:p>
    <w:p w14:paraId="720274E7" w14:textId="2FB3E66F" w:rsidR="00101E05" w:rsidRPr="00101E05" w:rsidRDefault="00DA5F7A" w:rsidP="00101E05">
      <w:r w:rsidRPr="00101E05">
        <w:t>Tenders will be scored independently by a panel consisting of</w:t>
      </w:r>
      <w:r>
        <w:t xml:space="preserve"> at least</w:t>
      </w:r>
      <w:r w:rsidRPr="00101E05">
        <w:t xml:space="preserve"> three members of staff associated with the </w:t>
      </w:r>
      <w:r>
        <w:t>Ffermio Adfywiol INRS</w:t>
      </w:r>
      <w:r w:rsidRPr="00101E05">
        <w:t xml:space="preserve"> using the scoring matrix and quality criteria</w:t>
      </w:r>
      <w:r>
        <w:t xml:space="preserve"> as shown in the table below:</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5"/>
        <w:gridCol w:w="1159"/>
      </w:tblGrid>
      <w:tr w:rsidR="0038586D" w:rsidRPr="0038586D" w14:paraId="7642A6FF" w14:textId="77777777" w:rsidTr="00F32CC8">
        <w:trPr>
          <w:trHeight w:val="599"/>
        </w:trPr>
        <w:tc>
          <w:tcPr>
            <w:tcW w:w="7905" w:type="dxa"/>
          </w:tcPr>
          <w:p w14:paraId="5451FC3D" w14:textId="205DB316" w:rsidR="0038586D" w:rsidRPr="0038586D" w:rsidRDefault="0038586D" w:rsidP="0038586D">
            <w:pPr>
              <w:rPr>
                <w:sz w:val="22"/>
                <w:szCs w:val="22"/>
              </w:rPr>
            </w:pPr>
            <w:r w:rsidRPr="0038586D">
              <w:rPr>
                <w:sz w:val="22"/>
                <w:szCs w:val="22"/>
              </w:rPr>
              <w:t xml:space="preserve">Ability to demonstrate previous experience of delivering </w:t>
            </w:r>
            <w:r>
              <w:rPr>
                <w:sz w:val="22"/>
                <w:szCs w:val="22"/>
              </w:rPr>
              <w:t xml:space="preserve">similar training </w:t>
            </w:r>
            <w:r w:rsidRPr="00BC5DB4">
              <w:rPr>
                <w:b/>
                <w:bCs/>
                <w:sz w:val="22"/>
                <w:szCs w:val="22"/>
              </w:rPr>
              <w:t>as outlined under ‘the requirement’</w:t>
            </w:r>
            <w:r>
              <w:rPr>
                <w:sz w:val="22"/>
                <w:szCs w:val="22"/>
              </w:rPr>
              <w:t xml:space="preserve"> with experience in developing regenerative plans to </w:t>
            </w:r>
            <w:r w:rsidR="00152A7C">
              <w:rPr>
                <w:sz w:val="22"/>
                <w:szCs w:val="22"/>
              </w:rPr>
              <w:t>farmers and</w:t>
            </w:r>
            <w:r>
              <w:rPr>
                <w:sz w:val="22"/>
                <w:szCs w:val="22"/>
              </w:rPr>
              <w:t xml:space="preserve"> maintaining a relationship as mentor. </w:t>
            </w:r>
            <w:r w:rsidR="0055683E">
              <w:rPr>
                <w:sz w:val="22"/>
                <w:szCs w:val="22"/>
              </w:rPr>
              <w:t>This could be through evidence of previous workshops teaching similar criteria, material developed for learning and references from previous similar work. Also, the a</w:t>
            </w:r>
            <w:r w:rsidR="00152A7C">
              <w:rPr>
                <w:sz w:val="22"/>
                <w:szCs w:val="22"/>
              </w:rPr>
              <w:t>bility to demonstrate understanding and experience of delivering similar work in an upland setting.</w:t>
            </w:r>
          </w:p>
        </w:tc>
        <w:tc>
          <w:tcPr>
            <w:tcW w:w="1159" w:type="dxa"/>
          </w:tcPr>
          <w:p w14:paraId="68469157" w14:textId="140B6D09" w:rsidR="0038586D" w:rsidRPr="0038586D" w:rsidRDefault="00152A7C" w:rsidP="0038586D">
            <w:pPr>
              <w:rPr>
                <w:sz w:val="22"/>
                <w:szCs w:val="22"/>
              </w:rPr>
            </w:pPr>
            <w:r>
              <w:rPr>
                <w:sz w:val="22"/>
                <w:szCs w:val="22"/>
              </w:rPr>
              <w:t>30</w:t>
            </w:r>
            <w:r w:rsidR="0038586D" w:rsidRPr="0038586D">
              <w:rPr>
                <w:sz w:val="22"/>
                <w:szCs w:val="22"/>
              </w:rPr>
              <w:t xml:space="preserve"> % </w:t>
            </w:r>
          </w:p>
        </w:tc>
      </w:tr>
      <w:tr w:rsidR="0038586D" w:rsidRPr="0038586D" w14:paraId="6D064ACD" w14:textId="77777777" w:rsidTr="00F32CC8">
        <w:trPr>
          <w:trHeight w:val="306"/>
        </w:trPr>
        <w:tc>
          <w:tcPr>
            <w:tcW w:w="7905" w:type="dxa"/>
          </w:tcPr>
          <w:p w14:paraId="760D7028" w14:textId="4F825673" w:rsidR="0038586D" w:rsidRPr="0038586D" w:rsidRDefault="00152A7C" w:rsidP="0038586D">
            <w:pPr>
              <w:rPr>
                <w:sz w:val="22"/>
                <w:szCs w:val="22"/>
              </w:rPr>
            </w:pPr>
            <w:r>
              <w:rPr>
                <w:sz w:val="22"/>
                <w:szCs w:val="22"/>
              </w:rPr>
              <w:t>Ability to deliver within the set timeline</w:t>
            </w:r>
            <w:r w:rsidR="0055683E">
              <w:rPr>
                <w:sz w:val="22"/>
                <w:szCs w:val="22"/>
              </w:rPr>
              <w:t xml:space="preserve">. The timeline is outlined in the section ‘Timeline’. The key deadline is for all training and plan development to be finished by </w:t>
            </w:r>
            <w:r w:rsidR="004F5151">
              <w:rPr>
                <w:sz w:val="22"/>
                <w:szCs w:val="22"/>
              </w:rPr>
              <w:t>October</w:t>
            </w:r>
            <w:r w:rsidR="0055683E">
              <w:rPr>
                <w:sz w:val="22"/>
                <w:szCs w:val="22"/>
              </w:rPr>
              <w:t xml:space="preserve"> 2026. Other work such as on-going support </w:t>
            </w:r>
            <w:r w:rsidR="00057819">
              <w:rPr>
                <w:sz w:val="22"/>
                <w:szCs w:val="22"/>
              </w:rPr>
              <w:t>has</w:t>
            </w:r>
            <w:r w:rsidR="0055683E">
              <w:rPr>
                <w:sz w:val="22"/>
                <w:szCs w:val="22"/>
              </w:rPr>
              <w:t xml:space="preserve"> less strict timelines. </w:t>
            </w:r>
          </w:p>
        </w:tc>
        <w:tc>
          <w:tcPr>
            <w:tcW w:w="1159" w:type="dxa"/>
          </w:tcPr>
          <w:p w14:paraId="7C94A18B" w14:textId="03C28A78" w:rsidR="0038586D" w:rsidRPr="0038586D" w:rsidRDefault="0038586D" w:rsidP="0038586D">
            <w:pPr>
              <w:rPr>
                <w:sz w:val="22"/>
                <w:szCs w:val="22"/>
              </w:rPr>
            </w:pPr>
            <w:r w:rsidRPr="0038586D">
              <w:rPr>
                <w:sz w:val="22"/>
                <w:szCs w:val="22"/>
              </w:rPr>
              <w:t>1</w:t>
            </w:r>
            <w:r w:rsidR="00152A7C">
              <w:rPr>
                <w:sz w:val="22"/>
                <w:szCs w:val="22"/>
              </w:rPr>
              <w:t>0</w:t>
            </w:r>
            <w:r w:rsidRPr="0038586D">
              <w:rPr>
                <w:sz w:val="22"/>
                <w:szCs w:val="22"/>
              </w:rPr>
              <w:t xml:space="preserve"> % </w:t>
            </w:r>
          </w:p>
        </w:tc>
      </w:tr>
      <w:tr w:rsidR="0038586D" w:rsidRPr="0038586D" w14:paraId="60862334" w14:textId="77777777" w:rsidTr="00F32CC8">
        <w:trPr>
          <w:trHeight w:val="160"/>
        </w:trPr>
        <w:tc>
          <w:tcPr>
            <w:tcW w:w="7905" w:type="dxa"/>
          </w:tcPr>
          <w:p w14:paraId="25709DAD" w14:textId="7648DC8A" w:rsidR="0038586D" w:rsidRPr="0038586D" w:rsidRDefault="0038586D" w:rsidP="0038586D">
            <w:pPr>
              <w:rPr>
                <w:sz w:val="22"/>
                <w:szCs w:val="22"/>
              </w:rPr>
            </w:pPr>
            <w:r w:rsidRPr="0038586D">
              <w:rPr>
                <w:sz w:val="22"/>
                <w:szCs w:val="22"/>
              </w:rPr>
              <w:t>Demonstrate their ability to work through the medium of Welsh</w:t>
            </w:r>
            <w:r w:rsidR="0055683E">
              <w:rPr>
                <w:sz w:val="22"/>
                <w:szCs w:val="22"/>
              </w:rPr>
              <w:t>. This includes presenting the teaching, writing the plans and running the on-going support in Welsh.</w:t>
            </w:r>
          </w:p>
        </w:tc>
        <w:tc>
          <w:tcPr>
            <w:tcW w:w="1159" w:type="dxa"/>
          </w:tcPr>
          <w:p w14:paraId="6C5DAB6B" w14:textId="77777777" w:rsidR="0038586D" w:rsidRPr="0038586D" w:rsidRDefault="0038586D" w:rsidP="0038586D">
            <w:pPr>
              <w:rPr>
                <w:sz w:val="22"/>
                <w:szCs w:val="22"/>
              </w:rPr>
            </w:pPr>
            <w:r w:rsidRPr="0038586D">
              <w:rPr>
                <w:sz w:val="22"/>
                <w:szCs w:val="22"/>
              </w:rPr>
              <w:t xml:space="preserve">5 % </w:t>
            </w:r>
          </w:p>
        </w:tc>
      </w:tr>
      <w:tr w:rsidR="0038586D" w:rsidRPr="0038586D" w14:paraId="79F05292" w14:textId="77777777" w:rsidTr="00F32CC8">
        <w:trPr>
          <w:trHeight w:val="160"/>
        </w:trPr>
        <w:tc>
          <w:tcPr>
            <w:tcW w:w="7905" w:type="dxa"/>
          </w:tcPr>
          <w:p w14:paraId="15015B22" w14:textId="77777777" w:rsidR="0038586D" w:rsidRPr="0038586D" w:rsidRDefault="0038586D" w:rsidP="0038586D">
            <w:pPr>
              <w:rPr>
                <w:sz w:val="22"/>
                <w:szCs w:val="22"/>
              </w:rPr>
            </w:pPr>
            <w:r w:rsidRPr="0038586D">
              <w:rPr>
                <w:sz w:val="22"/>
                <w:szCs w:val="22"/>
              </w:rPr>
              <w:t xml:space="preserve">Written references </w:t>
            </w:r>
          </w:p>
        </w:tc>
        <w:tc>
          <w:tcPr>
            <w:tcW w:w="1159" w:type="dxa"/>
          </w:tcPr>
          <w:p w14:paraId="7011E7A3" w14:textId="77777777" w:rsidR="0038586D" w:rsidRPr="0038586D" w:rsidRDefault="0038586D" w:rsidP="0038586D">
            <w:pPr>
              <w:rPr>
                <w:sz w:val="22"/>
                <w:szCs w:val="22"/>
              </w:rPr>
            </w:pPr>
            <w:r w:rsidRPr="0038586D">
              <w:rPr>
                <w:sz w:val="22"/>
                <w:szCs w:val="22"/>
              </w:rPr>
              <w:t xml:space="preserve">5 % </w:t>
            </w:r>
          </w:p>
        </w:tc>
      </w:tr>
      <w:tr w:rsidR="0038586D" w:rsidRPr="0038586D" w14:paraId="4E2C67A3" w14:textId="77777777" w:rsidTr="00F32CC8">
        <w:trPr>
          <w:trHeight w:val="160"/>
        </w:trPr>
        <w:tc>
          <w:tcPr>
            <w:tcW w:w="7905" w:type="dxa"/>
          </w:tcPr>
          <w:p w14:paraId="139C9CB5" w14:textId="77777777" w:rsidR="0038586D" w:rsidRPr="0038586D" w:rsidRDefault="0038586D" w:rsidP="0038586D">
            <w:pPr>
              <w:rPr>
                <w:sz w:val="22"/>
                <w:szCs w:val="22"/>
              </w:rPr>
            </w:pPr>
            <w:r w:rsidRPr="0038586D">
              <w:rPr>
                <w:sz w:val="22"/>
                <w:szCs w:val="22"/>
              </w:rPr>
              <w:t xml:space="preserve">Proposed fee </w:t>
            </w:r>
          </w:p>
        </w:tc>
        <w:tc>
          <w:tcPr>
            <w:tcW w:w="1159" w:type="dxa"/>
          </w:tcPr>
          <w:p w14:paraId="7A34945B" w14:textId="77777777" w:rsidR="0038586D" w:rsidRPr="0038586D" w:rsidRDefault="0038586D" w:rsidP="0038586D">
            <w:pPr>
              <w:rPr>
                <w:sz w:val="22"/>
                <w:szCs w:val="22"/>
              </w:rPr>
            </w:pPr>
            <w:r w:rsidRPr="0038586D">
              <w:rPr>
                <w:sz w:val="22"/>
                <w:szCs w:val="22"/>
              </w:rPr>
              <w:t xml:space="preserve">50 % </w:t>
            </w:r>
          </w:p>
        </w:tc>
      </w:tr>
      <w:tr w:rsidR="0038586D" w:rsidRPr="0038586D" w14:paraId="5E6E28EC" w14:textId="77777777" w:rsidTr="00F32CC8">
        <w:trPr>
          <w:trHeight w:val="166"/>
        </w:trPr>
        <w:tc>
          <w:tcPr>
            <w:tcW w:w="7905" w:type="dxa"/>
          </w:tcPr>
          <w:p w14:paraId="1890A65E" w14:textId="77777777" w:rsidR="0038586D" w:rsidRPr="0038586D" w:rsidRDefault="0038586D" w:rsidP="0038586D">
            <w:pPr>
              <w:rPr>
                <w:sz w:val="22"/>
                <w:szCs w:val="22"/>
              </w:rPr>
            </w:pPr>
            <w:r w:rsidRPr="0038586D">
              <w:rPr>
                <w:b/>
                <w:bCs/>
                <w:sz w:val="22"/>
                <w:szCs w:val="22"/>
              </w:rPr>
              <w:t xml:space="preserve">Total </w:t>
            </w:r>
          </w:p>
        </w:tc>
        <w:tc>
          <w:tcPr>
            <w:tcW w:w="1159" w:type="dxa"/>
          </w:tcPr>
          <w:p w14:paraId="004B28F0" w14:textId="77777777" w:rsidR="0038586D" w:rsidRPr="0038586D" w:rsidRDefault="0038586D" w:rsidP="0038586D">
            <w:pPr>
              <w:rPr>
                <w:sz w:val="22"/>
                <w:szCs w:val="22"/>
              </w:rPr>
            </w:pPr>
            <w:r w:rsidRPr="0038586D">
              <w:rPr>
                <w:b/>
                <w:bCs/>
                <w:sz w:val="22"/>
                <w:szCs w:val="22"/>
              </w:rPr>
              <w:t xml:space="preserve">100 % </w:t>
            </w:r>
          </w:p>
        </w:tc>
      </w:tr>
    </w:tbl>
    <w:p w14:paraId="193100F9" w14:textId="129134D4" w:rsidR="00F90820" w:rsidRPr="00BD29D9" w:rsidRDefault="00F90820" w:rsidP="00152A7C">
      <w:pPr>
        <w:pStyle w:val="Heading2"/>
      </w:pPr>
      <w:bookmarkStart w:id="8" w:name="_Toc226978095"/>
      <w:r w:rsidRPr="00BD29D9">
        <w:t>Timeline.</w:t>
      </w:r>
      <w:bookmarkEnd w:id="8"/>
      <w:r w:rsidRPr="00BD29D9">
        <w:t xml:space="preserve"> </w:t>
      </w:r>
    </w:p>
    <w:p w14:paraId="19290AE1" w14:textId="10E6AF87" w:rsidR="001918EB" w:rsidRPr="00BD29D9" w:rsidRDefault="001918EB" w:rsidP="001918EB">
      <w:pPr>
        <w:rPr>
          <w:sz w:val="22"/>
          <w:szCs w:val="22"/>
        </w:rPr>
      </w:pPr>
      <w:r w:rsidRPr="00BD29D9">
        <w:rPr>
          <w:sz w:val="22"/>
          <w:szCs w:val="22"/>
        </w:rPr>
        <w:t xml:space="preserve">This project has secured funding until September 2028. To ensure sufficient time for the delivery of all farm plans, </w:t>
      </w:r>
      <w:r w:rsidRPr="00152A7C">
        <w:rPr>
          <w:b/>
          <w:bCs/>
          <w:sz w:val="22"/>
          <w:szCs w:val="22"/>
        </w:rPr>
        <w:t>the training programme and plan</w:t>
      </w:r>
      <w:r w:rsidRPr="00152A7C">
        <w:rPr>
          <w:b/>
          <w:bCs/>
          <w:sz w:val="22"/>
          <w:szCs w:val="22"/>
        </w:rPr>
        <w:noBreakHyphen/>
        <w:t xml:space="preserve">development must be completed by </w:t>
      </w:r>
      <w:r w:rsidR="00897D34">
        <w:rPr>
          <w:b/>
          <w:bCs/>
          <w:sz w:val="22"/>
          <w:szCs w:val="22"/>
        </w:rPr>
        <w:t>October</w:t>
      </w:r>
      <w:r w:rsidRPr="00152A7C">
        <w:rPr>
          <w:b/>
          <w:bCs/>
          <w:sz w:val="22"/>
          <w:szCs w:val="22"/>
        </w:rPr>
        <w:t xml:space="preserve"> 2026.</w:t>
      </w:r>
      <w:r w:rsidRPr="00BD29D9">
        <w:rPr>
          <w:sz w:val="22"/>
          <w:szCs w:val="22"/>
        </w:rPr>
        <w:t xml:space="preserve"> This timeline will provide a full two years for participating farmers to implement their capital works. While this schedule is ambitious, it is essential to the overall success of the project.</w:t>
      </w:r>
    </w:p>
    <w:p w14:paraId="56930858" w14:textId="77777777" w:rsidR="001918EB" w:rsidRDefault="001918EB" w:rsidP="001918EB">
      <w:pPr>
        <w:rPr>
          <w:sz w:val="22"/>
          <w:szCs w:val="22"/>
        </w:rPr>
      </w:pPr>
      <w:r w:rsidRPr="00BD29D9">
        <w:rPr>
          <w:sz w:val="22"/>
          <w:szCs w:val="22"/>
        </w:rPr>
        <w:t>Adjustments to the order of training sessions may be made in consultation with the Project Manager; however, it is critical that all core training elements are delivered before the development of farm plans begins. This will ensure that farmers can engage fully in the planning process with the best possible knowledge and understanding.</w:t>
      </w:r>
    </w:p>
    <w:p w14:paraId="08F48398" w14:textId="693E653E" w:rsidR="009C1FB5" w:rsidRDefault="009C1FB5" w:rsidP="001918EB">
      <w:pPr>
        <w:rPr>
          <w:sz w:val="22"/>
          <w:szCs w:val="22"/>
        </w:rPr>
      </w:pPr>
      <w:bookmarkStart w:id="9" w:name="_Toc226978096"/>
      <w:r w:rsidRPr="00057819">
        <w:rPr>
          <w:rStyle w:val="Heading2Char"/>
        </w:rPr>
        <w:t>Payments</w:t>
      </w:r>
      <w:bookmarkEnd w:id="9"/>
      <w:r w:rsidRPr="0030049C">
        <w:rPr>
          <w:sz w:val="22"/>
          <w:szCs w:val="22"/>
        </w:rPr>
        <w:t>.</w:t>
      </w:r>
      <w:r>
        <w:rPr>
          <w:sz w:val="22"/>
          <w:szCs w:val="22"/>
        </w:rPr>
        <w:t xml:space="preserve"> </w:t>
      </w:r>
    </w:p>
    <w:p w14:paraId="412A0540" w14:textId="61034C04" w:rsidR="0055683E" w:rsidRDefault="0030049C" w:rsidP="001918EB">
      <w:pPr>
        <w:rPr>
          <w:sz w:val="22"/>
          <w:szCs w:val="22"/>
        </w:rPr>
      </w:pPr>
      <w:r>
        <w:rPr>
          <w:sz w:val="22"/>
          <w:szCs w:val="22"/>
        </w:rPr>
        <w:t xml:space="preserve">Payments will be made after receiving an invoice for each successful phase of work. The successful candidate may wish to submit an invoice after each training session or following the development of the farm plans, this is acceptable. Payments will be made directly to the successful candidates through Bank Transfer. Payments can take up to one month for processing. </w:t>
      </w:r>
    </w:p>
    <w:p w14:paraId="70B29A1F" w14:textId="77777777" w:rsidR="00152A7C" w:rsidRPr="00152A7C" w:rsidRDefault="00152A7C" w:rsidP="00152A7C">
      <w:pPr>
        <w:pStyle w:val="Heading2"/>
      </w:pPr>
      <w:bookmarkStart w:id="10" w:name="_Toc226978097"/>
      <w:r w:rsidRPr="00152A7C">
        <w:lastRenderedPageBreak/>
        <w:t>Tender rules</w:t>
      </w:r>
      <w:bookmarkEnd w:id="10"/>
      <w:r w:rsidRPr="00152A7C">
        <w:t xml:space="preserve"> </w:t>
      </w:r>
    </w:p>
    <w:p w14:paraId="0ECF8DE0" w14:textId="159DE174" w:rsidR="00152A7C" w:rsidRPr="00152A7C" w:rsidRDefault="00152A7C" w:rsidP="00152A7C">
      <w:pPr>
        <w:rPr>
          <w:sz w:val="22"/>
          <w:szCs w:val="22"/>
        </w:rPr>
      </w:pPr>
      <w:r w:rsidRPr="00152A7C">
        <w:rPr>
          <w:sz w:val="22"/>
          <w:szCs w:val="22"/>
        </w:rPr>
        <w:t xml:space="preserve">We will not consider the tender of any company that directly or indirectly canvasses a member of </w:t>
      </w:r>
      <w:r>
        <w:rPr>
          <w:sz w:val="22"/>
          <w:szCs w:val="22"/>
        </w:rPr>
        <w:t>E</w:t>
      </w:r>
      <w:r w:rsidRPr="00152A7C">
        <w:rPr>
          <w:sz w:val="22"/>
          <w:szCs w:val="22"/>
        </w:rPr>
        <w:t xml:space="preserve">NPA staff, or anyone acting on behalf of </w:t>
      </w:r>
      <w:r>
        <w:rPr>
          <w:sz w:val="22"/>
          <w:szCs w:val="22"/>
        </w:rPr>
        <w:t>E</w:t>
      </w:r>
      <w:r w:rsidRPr="00152A7C">
        <w:rPr>
          <w:sz w:val="22"/>
          <w:szCs w:val="22"/>
        </w:rPr>
        <w:t xml:space="preserve">NPA, in relation to the award of this agreement. Furthermore, we will not consider the tender of any company that: </w:t>
      </w:r>
    </w:p>
    <w:p w14:paraId="4B829288" w14:textId="77777777" w:rsidR="00152A7C" w:rsidRPr="00152A7C" w:rsidRDefault="00152A7C" w:rsidP="00152A7C">
      <w:pPr>
        <w:rPr>
          <w:sz w:val="22"/>
          <w:szCs w:val="22"/>
        </w:rPr>
      </w:pPr>
      <w:r w:rsidRPr="00152A7C">
        <w:rPr>
          <w:sz w:val="22"/>
          <w:szCs w:val="22"/>
        </w:rPr>
        <w:t xml:space="preserve">i. Agrees with another company not to submit a tender or agree the amount of its tender with another company beforehand; </w:t>
      </w:r>
    </w:p>
    <w:p w14:paraId="6B3C422C" w14:textId="77777777" w:rsidR="00152A7C" w:rsidRPr="00152A7C" w:rsidRDefault="00152A7C" w:rsidP="00152A7C">
      <w:pPr>
        <w:rPr>
          <w:sz w:val="22"/>
          <w:szCs w:val="22"/>
        </w:rPr>
      </w:pPr>
      <w:r w:rsidRPr="00152A7C">
        <w:rPr>
          <w:sz w:val="22"/>
          <w:szCs w:val="22"/>
        </w:rPr>
        <w:t xml:space="preserve">ii. Offers or agrees to pay or give money, directly or indirectly, to anyone doing something or not doing something in relation to this tender. </w:t>
      </w:r>
    </w:p>
    <w:p w14:paraId="01C378DD" w14:textId="51FDF7AF" w:rsidR="00152A7C" w:rsidRPr="00152A7C" w:rsidRDefault="00152A7C" w:rsidP="00152A7C">
      <w:pPr>
        <w:rPr>
          <w:sz w:val="22"/>
          <w:szCs w:val="22"/>
        </w:rPr>
      </w:pPr>
      <w:r>
        <w:rPr>
          <w:b/>
          <w:bCs/>
          <w:sz w:val="22"/>
          <w:szCs w:val="22"/>
        </w:rPr>
        <w:t>E</w:t>
      </w:r>
      <w:r w:rsidRPr="00152A7C">
        <w:rPr>
          <w:b/>
          <w:bCs/>
          <w:sz w:val="22"/>
          <w:szCs w:val="22"/>
        </w:rPr>
        <w:t xml:space="preserve">NPA reserve the right to reject any applications. </w:t>
      </w:r>
    </w:p>
    <w:p w14:paraId="430078E6" w14:textId="77777777" w:rsidR="00152A7C" w:rsidRDefault="00152A7C" w:rsidP="00152A7C">
      <w:pPr>
        <w:rPr>
          <w:sz w:val="22"/>
          <w:szCs w:val="22"/>
        </w:rPr>
      </w:pPr>
      <w:r w:rsidRPr="00152A7C">
        <w:rPr>
          <w:sz w:val="22"/>
          <w:szCs w:val="22"/>
        </w:rPr>
        <w:t xml:space="preserve">You will declare the above by signing the accompanying form and returning it as part of the tendering process. </w:t>
      </w:r>
    </w:p>
    <w:p w14:paraId="3AAD0696" w14:textId="4CAAE9E8" w:rsidR="00DA5F7A" w:rsidRDefault="00DA5F7A" w:rsidP="00DA5F7A">
      <w:pPr>
        <w:spacing w:after="0"/>
        <w:rPr>
          <w:b/>
          <w:bCs/>
          <w:sz w:val="22"/>
          <w:szCs w:val="22"/>
        </w:rPr>
      </w:pPr>
      <w:r w:rsidRPr="00DA5F7A">
        <w:rPr>
          <w:b/>
          <w:bCs/>
          <w:sz w:val="22"/>
          <w:szCs w:val="22"/>
        </w:rPr>
        <w:t>All tenders should be s</w:t>
      </w:r>
      <w:r w:rsidR="004A7373">
        <w:rPr>
          <w:b/>
          <w:bCs/>
          <w:sz w:val="22"/>
          <w:szCs w:val="22"/>
        </w:rPr>
        <w:t>ubmitted using the submission portal on Sell</w:t>
      </w:r>
      <w:r w:rsidR="004A375D">
        <w:rPr>
          <w:b/>
          <w:bCs/>
          <w:sz w:val="22"/>
          <w:szCs w:val="22"/>
        </w:rPr>
        <w:t>2</w:t>
      </w:r>
      <w:r w:rsidR="004A7373">
        <w:rPr>
          <w:b/>
          <w:bCs/>
          <w:sz w:val="22"/>
          <w:szCs w:val="22"/>
        </w:rPr>
        <w:t xml:space="preserve">Wales. </w:t>
      </w:r>
    </w:p>
    <w:p w14:paraId="0483B328" w14:textId="77777777" w:rsidR="004A7373" w:rsidRPr="004A7373" w:rsidRDefault="004A7373" w:rsidP="00DA5F7A">
      <w:pPr>
        <w:spacing w:after="0"/>
        <w:rPr>
          <w:b/>
          <w:bCs/>
          <w:sz w:val="22"/>
          <w:szCs w:val="22"/>
        </w:rPr>
      </w:pPr>
    </w:p>
    <w:p w14:paraId="1C336738" w14:textId="6B8147FC" w:rsidR="00DA5F7A" w:rsidRDefault="00DA5F7A" w:rsidP="00DA5F7A">
      <w:pPr>
        <w:spacing w:after="0"/>
        <w:rPr>
          <w:sz w:val="22"/>
          <w:szCs w:val="22"/>
        </w:rPr>
      </w:pPr>
      <w:r w:rsidRPr="00DA5F7A">
        <w:rPr>
          <w:sz w:val="22"/>
          <w:szCs w:val="22"/>
        </w:rPr>
        <w:t xml:space="preserve">Should you have any questions regarding the work, please contact </w:t>
      </w:r>
      <w:r>
        <w:rPr>
          <w:sz w:val="22"/>
          <w:szCs w:val="22"/>
        </w:rPr>
        <w:t>Dion Roberts</w:t>
      </w:r>
      <w:r w:rsidRPr="00DA5F7A">
        <w:rPr>
          <w:sz w:val="22"/>
          <w:szCs w:val="22"/>
        </w:rPr>
        <w:t>, Senior Project Manager</w:t>
      </w:r>
      <w:r w:rsidR="009C1FB5">
        <w:rPr>
          <w:sz w:val="22"/>
          <w:szCs w:val="22"/>
        </w:rPr>
        <w:t>,</w:t>
      </w:r>
      <w:r w:rsidRPr="00DA5F7A">
        <w:rPr>
          <w:sz w:val="22"/>
          <w:szCs w:val="22"/>
        </w:rPr>
        <w:t xml:space="preserve"> on </w:t>
      </w:r>
      <w:r>
        <w:rPr>
          <w:sz w:val="22"/>
          <w:szCs w:val="22"/>
        </w:rPr>
        <w:t>dion.roberts</w:t>
      </w:r>
      <w:r w:rsidRPr="00DA5F7A">
        <w:rPr>
          <w:sz w:val="22"/>
          <w:szCs w:val="22"/>
        </w:rPr>
        <w:t xml:space="preserve">@eryri.llyw.cymru or by calling </w:t>
      </w:r>
      <w:r>
        <w:rPr>
          <w:sz w:val="22"/>
          <w:szCs w:val="22"/>
        </w:rPr>
        <w:t>07917651973</w:t>
      </w:r>
    </w:p>
    <w:p w14:paraId="54A119BA" w14:textId="04491A8B" w:rsidR="009C1FB5" w:rsidRDefault="004A375D" w:rsidP="00DA5F7A">
      <w:pPr>
        <w:spacing w:after="0"/>
        <w:rPr>
          <w:sz w:val="22"/>
          <w:szCs w:val="22"/>
        </w:rPr>
      </w:pPr>
      <w:r>
        <w:rPr>
          <w:sz w:val="22"/>
          <w:szCs w:val="22"/>
          <w:highlight w:val="yellow"/>
        </w:rPr>
        <w:t>The</w:t>
      </w:r>
      <w:r w:rsidRPr="009C1FB5">
        <w:rPr>
          <w:sz w:val="22"/>
          <w:szCs w:val="22"/>
          <w:highlight w:val="yellow"/>
        </w:rPr>
        <w:t xml:space="preserve"> </w:t>
      </w:r>
      <w:r w:rsidR="009C1FB5" w:rsidRPr="009C1FB5">
        <w:rPr>
          <w:sz w:val="22"/>
          <w:szCs w:val="22"/>
          <w:highlight w:val="yellow"/>
        </w:rPr>
        <w:t>deadline for questions is a week before submission (</w:t>
      </w:r>
      <w:r w:rsidR="00C51483">
        <w:rPr>
          <w:sz w:val="22"/>
          <w:szCs w:val="22"/>
          <w:highlight w:val="yellow"/>
        </w:rPr>
        <w:t>30</w:t>
      </w:r>
      <w:r w:rsidR="009C1FB5" w:rsidRPr="009C1FB5">
        <w:rPr>
          <w:sz w:val="22"/>
          <w:szCs w:val="22"/>
          <w:highlight w:val="yellow"/>
        </w:rPr>
        <w:t>/04/2026)</w:t>
      </w:r>
    </w:p>
    <w:p w14:paraId="1AE2760C" w14:textId="44661B55" w:rsidR="00DA5F7A" w:rsidRPr="00DA5F7A" w:rsidRDefault="00DA5F7A" w:rsidP="00DA5F7A">
      <w:pPr>
        <w:spacing w:after="0"/>
        <w:rPr>
          <w:sz w:val="22"/>
          <w:szCs w:val="22"/>
        </w:rPr>
      </w:pPr>
      <w:r w:rsidRPr="00DA5F7A">
        <w:rPr>
          <w:sz w:val="22"/>
          <w:szCs w:val="22"/>
        </w:rPr>
        <w:t xml:space="preserve"> </w:t>
      </w:r>
    </w:p>
    <w:p w14:paraId="6242FD07" w14:textId="6584D1D7" w:rsidR="00DA5F7A" w:rsidRDefault="00DA5F7A" w:rsidP="00DA5F7A">
      <w:pPr>
        <w:spacing w:after="0"/>
        <w:rPr>
          <w:b/>
          <w:bCs/>
          <w:sz w:val="22"/>
          <w:szCs w:val="22"/>
        </w:rPr>
      </w:pPr>
      <w:r w:rsidRPr="00DA5F7A">
        <w:rPr>
          <w:b/>
          <w:bCs/>
          <w:sz w:val="22"/>
          <w:szCs w:val="22"/>
        </w:rPr>
        <w:t xml:space="preserve">The closing date for this tender is 12:00 noon on </w:t>
      </w:r>
      <w:r w:rsidR="00897D34">
        <w:rPr>
          <w:b/>
          <w:bCs/>
          <w:sz w:val="22"/>
          <w:szCs w:val="22"/>
        </w:rPr>
        <w:t>Thursday</w:t>
      </w:r>
      <w:r w:rsidRPr="00DA5F7A">
        <w:rPr>
          <w:b/>
          <w:bCs/>
          <w:sz w:val="22"/>
          <w:szCs w:val="22"/>
        </w:rPr>
        <w:t xml:space="preserve"> </w:t>
      </w:r>
      <w:r w:rsidR="00897D34">
        <w:rPr>
          <w:b/>
          <w:bCs/>
          <w:sz w:val="22"/>
          <w:szCs w:val="22"/>
        </w:rPr>
        <w:t>7</w:t>
      </w:r>
      <w:r w:rsidR="00C51483" w:rsidRPr="00057819">
        <w:rPr>
          <w:b/>
          <w:bCs/>
          <w:sz w:val="22"/>
          <w:szCs w:val="22"/>
          <w:vertAlign w:val="superscript"/>
        </w:rPr>
        <w:t>th</w:t>
      </w:r>
      <w:r w:rsidR="00057819">
        <w:rPr>
          <w:b/>
          <w:bCs/>
          <w:sz w:val="22"/>
          <w:szCs w:val="22"/>
        </w:rPr>
        <w:t xml:space="preserve"> </w:t>
      </w:r>
      <w:r w:rsidRPr="00DA5F7A">
        <w:rPr>
          <w:b/>
          <w:bCs/>
          <w:sz w:val="22"/>
          <w:szCs w:val="22"/>
        </w:rPr>
        <w:t xml:space="preserve">of </w:t>
      </w:r>
      <w:r w:rsidR="00C51483">
        <w:rPr>
          <w:b/>
          <w:bCs/>
          <w:sz w:val="22"/>
          <w:szCs w:val="22"/>
        </w:rPr>
        <w:t xml:space="preserve">May </w:t>
      </w:r>
      <w:r w:rsidR="00181CB7">
        <w:rPr>
          <w:b/>
          <w:bCs/>
          <w:sz w:val="22"/>
          <w:szCs w:val="22"/>
        </w:rPr>
        <w:t>2026</w:t>
      </w:r>
    </w:p>
    <w:p w14:paraId="509E4E95" w14:textId="77777777" w:rsidR="00181CB7" w:rsidRDefault="00181CB7" w:rsidP="00DA5F7A">
      <w:pPr>
        <w:spacing w:after="0"/>
        <w:rPr>
          <w:b/>
          <w:bCs/>
          <w:sz w:val="22"/>
          <w:szCs w:val="22"/>
        </w:rPr>
      </w:pPr>
    </w:p>
    <w:p w14:paraId="2DC36FBB" w14:textId="77777777" w:rsidR="00181CB7" w:rsidRDefault="00181CB7" w:rsidP="00DA5F7A">
      <w:pPr>
        <w:spacing w:after="0"/>
        <w:rPr>
          <w:b/>
          <w:bCs/>
          <w:sz w:val="22"/>
          <w:szCs w:val="22"/>
        </w:rPr>
      </w:pPr>
    </w:p>
    <w:p w14:paraId="390065D1" w14:textId="77777777" w:rsidR="00181CB7" w:rsidRPr="00DA5F7A" w:rsidRDefault="00181CB7" w:rsidP="00DA5F7A">
      <w:pPr>
        <w:spacing w:after="0"/>
        <w:rPr>
          <w:b/>
          <w:bCs/>
          <w:sz w:val="22"/>
          <w:szCs w:val="22"/>
        </w:rPr>
      </w:pPr>
    </w:p>
    <w:p w14:paraId="5B799589" w14:textId="0DE13018" w:rsidR="00CA57DF" w:rsidRPr="00CA57DF" w:rsidRDefault="00CA57DF" w:rsidP="00CA57DF">
      <w:pPr>
        <w:pStyle w:val="Heading2"/>
        <w:rPr>
          <w:sz w:val="28"/>
          <w:szCs w:val="28"/>
        </w:rPr>
      </w:pPr>
      <w:bookmarkStart w:id="11" w:name="_Toc226978098"/>
      <w:r w:rsidRPr="00CA57DF">
        <w:rPr>
          <w:sz w:val="28"/>
          <w:szCs w:val="28"/>
        </w:rPr>
        <w:t>Declaration – Response Form</w:t>
      </w:r>
      <w:bookmarkEnd w:id="11"/>
      <w:r w:rsidRPr="00CA57DF">
        <w:rPr>
          <w:sz w:val="28"/>
          <w:szCs w:val="28"/>
        </w:rPr>
        <w:t xml:space="preserve"> </w:t>
      </w:r>
    </w:p>
    <w:p w14:paraId="626A7C9D" w14:textId="77777777" w:rsidR="00CA57DF" w:rsidRPr="00CA57DF" w:rsidRDefault="00CA57DF" w:rsidP="00CA57DF">
      <w:pPr>
        <w:rPr>
          <w:sz w:val="22"/>
          <w:szCs w:val="22"/>
        </w:rPr>
      </w:pPr>
      <w:r w:rsidRPr="00CA57DF">
        <w:rPr>
          <w:sz w:val="22"/>
          <w:szCs w:val="22"/>
        </w:rPr>
        <w:t xml:space="preserve">I am authorised by the Tendering Organisation (and companies and sub-contractors) to provide the information given in this bid. I declare, on the date of signing this statement, that the information given is complete and right to the best of my information, following making reasonable inquiries. </w:t>
      </w:r>
    </w:p>
    <w:p w14:paraId="2A3B76B1" w14:textId="77777777" w:rsidR="00CA57DF" w:rsidRPr="00CA57DF" w:rsidRDefault="00CA57DF" w:rsidP="00CA57DF">
      <w:pPr>
        <w:rPr>
          <w:sz w:val="22"/>
          <w:szCs w:val="22"/>
          <w:u w:val="single"/>
        </w:rPr>
      </w:pPr>
      <w:r w:rsidRPr="00CA57DF">
        <w:rPr>
          <w:sz w:val="22"/>
          <w:szCs w:val="22"/>
          <w:u w:val="single"/>
        </w:rPr>
        <w:t xml:space="preserve">The Client has our permission to: </w:t>
      </w:r>
    </w:p>
    <w:p w14:paraId="46452E1B" w14:textId="77777777" w:rsidR="00CA57DF" w:rsidRPr="00CA57DF" w:rsidRDefault="00CA57DF" w:rsidP="00CA57DF">
      <w:pPr>
        <w:rPr>
          <w:sz w:val="22"/>
          <w:szCs w:val="22"/>
        </w:rPr>
      </w:pPr>
      <w:r w:rsidRPr="00CA57DF">
        <w:rPr>
          <w:sz w:val="22"/>
          <w:szCs w:val="22"/>
        </w:rPr>
        <w:t xml:space="preserve">- complete all necessary actions to verify the information provided; and </w:t>
      </w:r>
    </w:p>
    <w:p w14:paraId="0312668B" w14:textId="2E1DA9C5" w:rsidR="00CA57DF" w:rsidRPr="00CA57DF" w:rsidRDefault="00CA57DF" w:rsidP="00CA57DF">
      <w:pPr>
        <w:rPr>
          <w:sz w:val="22"/>
          <w:szCs w:val="22"/>
        </w:rPr>
      </w:pPr>
      <w:r w:rsidRPr="00CA57DF">
        <w:rPr>
          <w:sz w:val="22"/>
          <w:szCs w:val="22"/>
        </w:rPr>
        <w:t xml:space="preserve">- to pass the information provided to third parties (project partners) for the purposes of evaluating the responses. </w:t>
      </w:r>
    </w:p>
    <w:p w14:paraId="73F486E9" w14:textId="77777777" w:rsidR="00CA57DF" w:rsidRPr="00CA57DF" w:rsidRDefault="00CA57DF" w:rsidP="00CA57DF">
      <w:pPr>
        <w:rPr>
          <w:sz w:val="22"/>
          <w:szCs w:val="22"/>
          <w:u w:val="single"/>
        </w:rPr>
      </w:pPr>
      <w:r w:rsidRPr="00CA57DF">
        <w:rPr>
          <w:sz w:val="22"/>
          <w:szCs w:val="22"/>
          <w:u w:val="single"/>
        </w:rPr>
        <w:t xml:space="preserve">I recognise: </w:t>
      </w:r>
    </w:p>
    <w:p w14:paraId="06E87D21" w14:textId="77777777" w:rsidR="00CA57DF" w:rsidRPr="00CA57DF" w:rsidRDefault="00CA57DF" w:rsidP="00CA57DF">
      <w:pPr>
        <w:rPr>
          <w:sz w:val="22"/>
          <w:szCs w:val="22"/>
        </w:rPr>
      </w:pPr>
      <w:r w:rsidRPr="00CA57DF">
        <w:rPr>
          <w:sz w:val="22"/>
          <w:szCs w:val="22"/>
        </w:rPr>
        <w:t xml:space="preserve">- it is an offense to offer any donation or consideration to the employee of a public body as a reward or incentive in relation to awarding a contract, and that such an act gives the Client the right to expel Tendering Body from the tendering process; and </w:t>
      </w:r>
    </w:p>
    <w:p w14:paraId="2015155C" w14:textId="77777777" w:rsidR="00CA57DF" w:rsidRPr="00CA57DF" w:rsidRDefault="00CA57DF" w:rsidP="00CA57DF">
      <w:pPr>
        <w:rPr>
          <w:sz w:val="22"/>
          <w:szCs w:val="22"/>
        </w:rPr>
      </w:pPr>
      <w:r w:rsidRPr="00CA57DF">
        <w:rPr>
          <w:sz w:val="22"/>
          <w:szCs w:val="22"/>
        </w:rPr>
        <w:t xml:space="preserve">- that any price stabilisation or co-plotting in relation to the work will allow the Client to expel a Tendering Body from the procurement process and may result in a crime. </w:t>
      </w:r>
    </w:p>
    <w:p w14:paraId="63E13101" w14:textId="77777777" w:rsidR="00CA57DF" w:rsidRPr="00CA57DF" w:rsidRDefault="00CA57DF" w:rsidP="00CA57DF">
      <w:pPr>
        <w:rPr>
          <w:sz w:val="22"/>
          <w:szCs w:val="22"/>
        </w:rPr>
      </w:pPr>
    </w:p>
    <w:p w14:paraId="5121D13F" w14:textId="77777777" w:rsidR="00CA57DF" w:rsidRPr="00CA57DF" w:rsidRDefault="00CA57DF" w:rsidP="00CA57DF">
      <w:pPr>
        <w:rPr>
          <w:sz w:val="22"/>
          <w:szCs w:val="22"/>
        </w:rPr>
      </w:pPr>
      <w:r w:rsidRPr="00CA57DF">
        <w:rPr>
          <w:sz w:val="22"/>
          <w:szCs w:val="22"/>
        </w:rPr>
        <w:lastRenderedPageBreak/>
        <w:t xml:space="preserve">Signed: </w:t>
      </w:r>
    </w:p>
    <w:p w14:paraId="19654E95" w14:textId="77777777" w:rsidR="00CA57DF" w:rsidRPr="00CA57DF" w:rsidRDefault="00CA57DF" w:rsidP="00CA57DF">
      <w:pPr>
        <w:rPr>
          <w:sz w:val="22"/>
          <w:szCs w:val="22"/>
        </w:rPr>
      </w:pPr>
      <w:r w:rsidRPr="00CA57DF">
        <w:rPr>
          <w:sz w:val="22"/>
          <w:szCs w:val="22"/>
        </w:rPr>
        <w:t xml:space="preserve">Name: </w:t>
      </w:r>
    </w:p>
    <w:p w14:paraId="5E8464CC" w14:textId="77777777" w:rsidR="00CA57DF" w:rsidRPr="00CA57DF" w:rsidRDefault="00CA57DF" w:rsidP="00CA57DF">
      <w:pPr>
        <w:rPr>
          <w:sz w:val="22"/>
          <w:szCs w:val="22"/>
        </w:rPr>
      </w:pPr>
      <w:r w:rsidRPr="00CA57DF">
        <w:rPr>
          <w:sz w:val="22"/>
          <w:szCs w:val="22"/>
        </w:rPr>
        <w:t xml:space="preserve">Job Title: </w:t>
      </w:r>
    </w:p>
    <w:p w14:paraId="181BC891" w14:textId="77777777" w:rsidR="00CA57DF" w:rsidRPr="00CA57DF" w:rsidRDefault="00CA57DF" w:rsidP="00CA57DF">
      <w:pPr>
        <w:rPr>
          <w:sz w:val="22"/>
          <w:szCs w:val="22"/>
        </w:rPr>
      </w:pPr>
      <w:r w:rsidRPr="00CA57DF">
        <w:rPr>
          <w:sz w:val="22"/>
          <w:szCs w:val="22"/>
        </w:rPr>
        <w:t xml:space="preserve">Company: </w:t>
      </w:r>
    </w:p>
    <w:p w14:paraId="7CEA3013" w14:textId="77777777" w:rsidR="00CA57DF" w:rsidRPr="00CA57DF" w:rsidRDefault="00CA57DF" w:rsidP="00CA57DF">
      <w:pPr>
        <w:rPr>
          <w:sz w:val="22"/>
          <w:szCs w:val="22"/>
        </w:rPr>
      </w:pPr>
      <w:r w:rsidRPr="00CA57DF">
        <w:rPr>
          <w:sz w:val="22"/>
          <w:szCs w:val="22"/>
        </w:rPr>
        <w:t xml:space="preserve">Value of bid: </w:t>
      </w:r>
    </w:p>
    <w:p w14:paraId="3F433B18" w14:textId="77777777" w:rsidR="00CA57DF" w:rsidRPr="00CA57DF" w:rsidRDefault="00CA57DF" w:rsidP="00CA57DF">
      <w:pPr>
        <w:rPr>
          <w:sz w:val="22"/>
          <w:szCs w:val="22"/>
        </w:rPr>
      </w:pPr>
      <w:r w:rsidRPr="00CA57DF">
        <w:rPr>
          <w:sz w:val="22"/>
          <w:szCs w:val="22"/>
        </w:rPr>
        <w:t xml:space="preserve">Date: </w:t>
      </w:r>
    </w:p>
    <w:p w14:paraId="54621046" w14:textId="1370BB90" w:rsidR="00CA57DF" w:rsidRPr="00BD29D9" w:rsidRDefault="00CA57DF" w:rsidP="00CA57DF">
      <w:pPr>
        <w:rPr>
          <w:sz w:val="22"/>
          <w:szCs w:val="22"/>
        </w:rPr>
      </w:pPr>
      <w:r w:rsidRPr="00CA57DF">
        <w:rPr>
          <w:b/>
          <w:bCs/>
          <w:sz w:val="22"/>
          <w:szCs w:val="22"/>
        </w:rPr>
        <w:t>Note: This statement must be signed (as applicable) by an authorized signatory on behalf of the Tendering Body (and any associated companies, or sub-contractors). Please return this form with your tender.</w:t>
      </w:r>
    </w:p>
    <w:p w14:paraId="47A86B57" w14:textId="151C84BE" w:rsidR="00F90820" w:rsidRPr="00F90820" w:rsidRDefault="00F90820" w:rsidP="00F90820"/>
    <w:p w14:paraId="308BD802" w14:textId="77777777" w:rsidR="00835E66" w:rsidRDefault="00835E66" w:rsidP="00835E66"/>
    <w:p w14:paraId="7713FCD6" w14:textId="77777777" w:rsidR="00E16AC8" w:rsidRPr="006F64D3" w:rsidRDefault="00E16AC8" w:rsidP="00E16AC8">
      <w:pPr>
        <w:pStyle w:val="ListParagraph"/>
        <w:ind w:left="770"/>
      </w:pPr>
    </w:p>
    <w:sectPr w:rsidR="00E16AC8" w:rsidRPr="006F64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419FA"/>
    <w:multiLevelType w:val="hybridMultilevel"/>
    <w:tmpl w:val="6D5AB8E6"/>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1" w15:restartNumberingAfterBreak="0">
    <w:nsid w:val="0FCA6529"/>
    <w:multiLevelType w:val="hybridMultilevel"/>
    <w:tmpl w:val="B7C477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1E2C25"/>
    <w:multiLevelType w:val="multilevel"/>
    <w:tmpl w:val="71CC2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7532B6"/>
    <w:multiLevelType w:val="hybridMultilevel"/>
    <w:tmpl w:val="C23AC47C"/>
    <w:lvl w:ilvl="0" w:tplc="A3F4369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5CB67B61"/>
    <w:multiLevelType w:val="hybridMultilevel"/>
    <w:tmpl w:val="4F8C3B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E273A5"/>
    <w:multiLevelType w:val="hybridMultilevel"/>
    <w:tmpl w:val="8194A9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58E1E40"/>
    <w:multiLevelType w:val="hybridMultilevel"/>
    <w:tmpl w:val="726E46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AA4E66"/>
    <w:multiLevelType w:val="hybridMultilevel"/>
    <w:tmpl w:val="6D5AB8E6"/>
    <w:lvl w:ilvl="0" w:tplc="FFFFFFFF">
      <w:start w:val="1"/>
      <w:numFmt w:val="decimal"/>
      <w:lvlText w:val="%1."/>
      <w:lvlJc w:val="left"/>
      <w:pPr>
        <w:ind w:left="770" w:hanging="360"/>
      </w:pPr>
    </w:lvl>
    <w:lvl w:ilvl="1" w:tplc="FFFFFFFF" w:tentative="1">
      <w:start w:val="1"/>
      <w:numFmt w:val="lowerLetter"/>
      <w:lvlText w:val="%2."/>
      <w:lvlJc w:val="left"/>
      <w:pPr>
        <w:ind w:left="1490" w:hanging="360"/>
      </w:p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num w:numId="1" w16cid:durableId="1749575500">
    <w:abstractNumId w:val="0"/>
  </w:num>
  <w:num w:numId="2" w16cid:durableId="289362200">
    <w:abstractNumId w:val="5"/>
  </w:num>
  <w:num w:numId="3" w16cid:durableId="111170828">
    <w:abstractNumId w:val="6"/>
  </w:num>
  <w:num w:numId="4" w16cid:durableId="1882594407">
    <w:abstractNumId w:val="1"/>
  </w:num>
  <w:num w:numId="5" w16cid:durableId="1792942530">
    <w:abstractNumId w:val="3"/>
  </w:num>
  <w:num w:numId="6" w16cid:durableId="1760297193">
    <w:abstractNumId w:val="4"/>
  </w:num>
  <w:num w:numId="7" w16cid:durableId="1788616173">
    <w:abstractNumId w:val="7"/>
  </w:num>
  <w:num w:numId="8" w16cid:durableId="2059157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659"/>
    <w:rsid w:val="000047D3"/>
    <w:rsid w:val="00023432"/>
    <w:rsid w:val="00057819"/>
    <w:rsid w:val="000F2701"/>
    <w:rsid w:val="00101E05"/>
    <w:rsid w:val="00152A7C"/>
    <w:rsid w:val="00181CB7"/>
    <w:rsid w:val="001918EB"/>
    <w:rsid w:val="001A1909"/>
    <w:rsid w:val="00220CB6"/>
    <w:rsid w:val="00284AA7"/>
    <w:rsid w:val="002918F1"/>
    <w:rsid w:val="00292D4A"/>
    <w:rsid w:val="002964B2"/>
    <w:rsid w:val="002B7D0B"/>
    <w:rsid w:val="002E29EE"/>
    <w:rsid w:val="002F56BF"/>
    <w:rsid w:val="0030049C"/>
    <w:rsid w:val="003123A6"/>
    <w:rsid w:val="0034157D"/>
    <w:rsid w:val="00360B16"/>
    <w:rsid w:val="00366CFF"/>
    <w:rsid w:val="00374589"/>
    <w:rsid w:val="00375179"/>
    <w:rsid w:val="0038586D"/>
    <w:rsid w:val="00396E0F"/>
    <w:rsid w:val="003F5860"/>
    <w:rsid w:val="00460032"/>
    <w:rsid w:val="004A375D"/>
    <w:rsid w:val="004A7373"/>
    <w:rsid w:val="004B7DE4"/>
    <w:rsid w:val="004F5151"/>
    <w:rsid w:val="0055683E"/>
    <w:rsid w:val="005C0659"/>
    <w:rsid w:val="005C71C9"/>
    <w:rsid w:val="00635F6D"/>
    <w:rsid w:val="00642E92"/>
    <w:rsid w:val="0065312C"/>
    <w:rsid w:val="006A3F74"/>
    <w:rsid w:val="006C037C"/>
    <w:rsid w:val="006F64D3"/>
    <w:rsid w:val="007659A4"/>
    <w:rsid w:val="00810E71"/>
    <w:rsid w:val="008178CD"/>
    <w:rsid w:val="00835E66"/>
    <w:rsid w:val="008911C6"/>
    <w:rsid w:val="00897D34"/>
    <w:rsid w:val="008B7E73"/>
    <w:rsid w:val="009C1FB5"/>
    <w:rsid w:val="009E4A53"/>
    <w:rsid w:val="00B62A64"/>
    <w:rsid w:val="00B81C67"/>
    <w:rsid w:val="00BC5DB4"/>
    <w:rsid w:val="00BD29D9"/>
    <w:rsid w:val="00C203B7"/>
    <w:rsid w:val="00C51483"/>
    <w:rsid w:val="00C94171"/>
    <w:rsid w:val="00CA57DF"/>
    <w:rsid w:val="00D11A7E"/>
    <w:rsid w:val="00DA5F7A"/>
    <w:rsid w:val="00DC55EA"/>
    <w:rsid w:val="00E16AC8"/>
    <w:rsid w:val="00E97E77"/>
    <w:rsid w:val="00EA63ED"/>
    <w:rsid w:val="00EC475B"/>
    <w:rsid w:val="00F167E1"/>
    <w:rsid w:val="00F32CC8"/>
    <w:rsid w:val="00F7364B"/>
    <w:rsid w:val="00F908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47FFE"/>
  <w15:chartTrackingRefBased/>
  <w15:docId w15:val="{2A547969-80E7-4A9B-962B-C389CF66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06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C06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06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06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06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06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6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6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6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6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C06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06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06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06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06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6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6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659"/>
    <w:rPr>
      <w:rFonts w:eastAsiaTheme="majorEastAsia" w:cstheme="majorBidi"/>
      <w:color w:val="272727" w:themeColor="text1" w:themeTint="D8"/>
    </w:rPr>
  </w:style>
  <w:style w:type="paragraph" w:styleId="Title">
    <w:name w:val="Title"/>
    <w:basedOn w:val="Normal"/>
    <w:next w:val="Normal"/>
    <w:link w:val="TitleChar"/>
    <w:uiPriority w:val="10"/>
    <w:qFormat/>
    <w:rsid w:val="005C06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6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6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6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659"/>
    <w:pPr>
      <w:spacing w:before="160"/>
      <w:jc w:val="center"/>
    </w:pPr>
    <w:rPr>
      <w:i/>
      <w:iCs/>
      <w:color w:val="404040" w:themeColor="text1" w:themeTint="BF"/>
    </w:rPr>
  </w:style>
  <w:style w:type="character" w:customStyle="1" w:styleId="QuoteChar">
    <w:name w:val="Quote Char"/>
    <w:basedOn w:val="DefaultParagraphFont"/>
    <w:link w:val="Quote"/>
    <w:uiPriority w:val="29"/>
    <w:rsid w:val="005C0659"/>
    <w:rPr>
      <w:i/>
      <w:iCs/>
      <w:color w:val="404040" w:themeColor="text1" w:themeTint="BF"/>
    </w:rPr>
  </w:style>
  <w:style w:type="paragraph" w:styleId="ListParagraph">
    <w:name w:val="List Paragraph"/>
    <w:basedOn w:val="Normal"/>
    <w:uiPriority w:val="34"/>
    <w:qFormat/>
    <w:rsid w:val="005C0659"/>
    <w:pPr>
      <w:ind w:left="720"/>
      <w:contextualSpacing/>
    </w:pPr>
  </w:style>
  <w:style w:type="character" w:styleId="IntenseEmphasis">
    <w:name w:val="Intense Emphasis"/>
    <w:basedOn w:val="DefaultParagraphFont"/>
    <w:uiPriority w:val="21"/>
    <w:qFormat/>
    <w:rsid w:val="005C0659"/>
    <w:rPr>
      <w:i/>
      <w:iCs/>
      <w:color w:val="0F4761" w:themeColor="accent1" w:themeShade="BF"/>
    </w:rPr>
  </w:style>
  <w:style w:type="paragraph" w:styleId="IntenseQuote">
    <w:name w:val="Intense Quote"/>
    <w:basedOn w:val="Normal"/>
    <w:next w:val="Normal"/>
    <w:link w:val="IntenseQuoteChar"/>
    <w:uiPriority w:val="30"/>
    <w:qFormat/>
    <w:rsid w:val="005C06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0659"/>
    <w:rPr>
      <w:i/>
      <w:iCs/>
      <w:color w:val="0F4761" w:themeColor="accent1" w:themeShade="BF"/>
    </w:rPr>
  </w:style>
  <w:style w:type="character" w:styleId="IntenseReference">
    <w:name w:val="Intense Reference"/>
    <w:basedOn w:val="DefaultParagraphFont"/>
    <w:uiPriority w:val="32"/>
    <w:qFormat/>
    <w:rsid w:val="005C0659"/>
    <w:rPr>
      <w:b/>
      <w:bCs/>
      <w:smallCaps/>
      <w:color w:val="0F4761" w:themeColor="accent1" w:themeShade="BF"/>
      <w:spacing w:val="5"/>
    </w:rPr>
  </w:style>
  <w:style w:type="character" w:styleId="Hyperlink">
    <w:name w:val="Hyperlink"/>
    <w:basedOn w:val="DefaultParagraphFont"/>
    <w:uiPriority w:val="99"/>
    <w:unhideWhenUsed/>
    <w:rsid w:val="00F90820"/>
    <w:rPr>
      <w:color w:val="467886" w:themeColor="hyperlink"/>
      <w:u w:val="single"/>
    </w:rPr>
  </w:style>
  <w:style w:type="character" w:styleId="UnresolvedMention">
    <w:name w:val="Unresolved Mention"/>
    <w:basedOn w:val="DefaultParagraphFont"/>
    <w:uiPriority w:val="99"/>
    <w:semiHidden/>
    <w:unhideWhenUsed/>
    <w:rsid w:val="00F90820"/>
    <w:rPr>
      <w:color w:val="605E5C"/>
      <w:shd w:val="clear" w:color="auto" w:fill="E1DFDD"/>
    </w:rPr>
  </w:style>
  <w:style w:type="paragraph" w:styleId="TOCHeading">
    <w:name w:val="TOC Heading"/>
    <w:basedOn w:val="Heading1"/>
    <w:next w:val="Normal"/>
    <w:uiPriority w:val="39"/>
    <w:unhideWhenUsed/>
    <w:qFormat/>
    <w:rsid w:val="00CA57DF"/>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CA57DF"/>
    <w:pPr>
      <w:spacing w:after="100"/>
    </w:pPr>
  </w:style>
  <w:style w:type="paragraph" w:styleId="TOC2">
    <w:name w:val="toc 2"/>
    <w:basedOn w:val="Normal"/>
    <w:next w:val="Normal"/>
    <w:autoRedefine/>
    <w:uiPriority w:val="39"/>
    <w:unhideWhenUsed/>
    <w:rsid w:val="00CA57DF"/>
    <w:pPr>
      <w:spacing w:after="100"/>
      <w:ind w:left="240"/>
    </w:pPr>
  </w:style>
  <w:style w:type="paragraph" w:styleId="Revision">
    <w:name w:val="Revision"/>
    <w:hidden/>
    <w:uiPriority w:val="99"/>
    <w:semiHidden/>
    <w:rsid w:val="004A37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BACB5-E6F5-495D-9725-332971DF7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1353</TotalTime>
  <Pages>8</Pages>
  <Words>2315</Words>
  <Characters>12850</Characters>
  <Application>Microsoft Office Word</Application>
  <DocSecurity>0</DocSecurity>
  <Lines>257</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 Rh. Roberts</dc:creator>
  <cp:keywords/>
  <dc:description/>
  <cp:lastModifiedBy>Dion Rh. Roberts</cp:lastModifiedBy>
  <cp:revision>6</cp:revision>
  <dcterms:created xsi:type="dcterms:W3CDTF">2026-04-01T10:12:00Z</dcterms:created>
  <dcterms:modified xsi:type="dcterms:W3CDTF">2026-04-13T13:07:00Z</dcterms:modified>
</cp:coreProperties>
</file>