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EC78" w14:textId="4BAB91FE" w:rsidR="00AB10F3" w:rsidRDefault="005C0659" w:rsidP="00CA57DF">
      <w:pPr>
        <w:pStyle w:val="Title"/>
        <w:rPr>
          <w:sz w:val="40"/>
          <w:szCs w:val="40"/>
        </w:rPr>
      </w:pPr>
      <w:r w:rsidRPr="00CA57DF">
        <w:rPr>
          <w:sz w:val="40"/>
          <w:szCs w:val="40"/>
        </w:rPr>
        <w:t xml:space="preserve">Awdurdod Parc Cenedlaethol Eryri </w:t>
      </w:r>
      <w:r w:rsidR="00AB10F3">
        <w:rPr>
          <w:sz w:val="40"/>
          <w:szCs w:val="40"/>
        </w:rPr>
        <w:t>–</w:t>
      </w:r>
      <w:r w:rsidRPr="00CA57DF">
        <w:rPr>
          <w:sz w:val="40"/>
          <w:szCs w:val="40"/>
        </w:rPr>
        <w:t xml:space="preserve"> </w:t>
      </w:r>
    </w:p>
    <w:p w14:paraId="5116224A" w14:textId="5FDE6DE9" w:rsidR="00AB10F3" w:rsidRDefault="005C0659" w:rsidP="00CA57DF">
      <w:pPr>
        <w:pStyle w:val="Title"/>
        <w:rPr>
          <w:sz w:val="40"/>
          <w:szCs w:val="40"/>
        </w:rPr>
      </w:pPr>
      <w:r w:rsidRPr="00CA57DF">
        <w:rPr>
          <w:i/>
          <w:iCs/>
          <w:sz w:val="40"/>
          <w:szCs w:val="40"/>
        </w:rPr>
        <w:t xml:space="preserve">Ffermio Adfywiol Tirweddau Eryri </w:t>
      </w:r>
      <w:r w:rsidR="00AB10F3">
        <w:rPr>
          <w:sz w:val="40"/>
          <w:szCs w:val="40"/>
        </w:rPr>
        <w:t>–</w:t>
      </w:r>
      <w:r w:rsidRPr="00CA57DF">
        <w:rPr>
          <w:sz w:val="40"/>
          <w:szCs w:val="40"/>
        </w:rPr>
        <w:t xml:space="preserve"> </w:t>
      </w:r>
    </w:p>
    <w:p w14:paraId="41DA0DE8" w14:textId="100CAB59" w:rsidR="00F7364B" w:rsidRDefault="005C0659" w:rsidP="00CA57DF">
      <w:pPr>
        <w:pStyle w:val="Title"/>
        <w:rPr>
          <w:sz w:val="40"/>
          <w:szCs w:val="40"/>
        </w:rPr>
      </w:pPr>
      <w:r w:rsidRPr="00CA57DF">
        <w:rPr>
          <w:sz w:val="40"/>
          <w:szCs w:val="40"/>
        </w:rPr>
        <w:t>Cynllun Adnoddau Naturiol Integredig.</w:t>
      </w:r>
    </w:p>
    <w:p w14:paraId="7391BAD4" w14:textId="77777777" w:rsidR="00CA57DF" w:rsidRPr="00CA57DF" w:rsidRDefault="00CA57DF" w:rsidP="00CA57DF"/>
    <w:p w14:paraId="3E2DD091" w14:textId="3DC54DE6" w:rsidR="005C0659" w:rsidRPr="00CA57DF" w:rsidRDefault="00284AA7" w:rsidP="00CA57DF">
      <w:pPr>
        <w:pStyle w:val="Title"/>
        <w:rPr>
          <w:sz w:val="32"/>
          <w:szCs w:val="32"/>
        </w:rPr>
      </w:pPr>
      <w:r w:rsidRPr="00CA57DF">
        <w:rPr>
          <w:sz w:val="32"/>
          <w:szCs w:val="32"/>
        </w:rPr>
        <w:t xml:space="preserve">Briff </w:t>
      </w:r>
      <w:r w:rsidR="00AB10F3">
        <w:rPr>
          <w:sz w:val="32"/>
          <w:szCs w:val="32"/>
        </w:rPr>
        <w:t xml:space="preserve">ar gyfer </w:t>
      </w:r>
      <w:r w:rsidRPr="00CA57DF">
        <w:rPr>
          <w:sz w:val="32"/>
          <w:szCs w:val="32"/>
        </w:rPr>
        <w:t>Tendr</w:t>
      </w:r>
      <w:r w:rsidR="00AB10F3">
        <w:rPr>
          <w:sz w:val="32"/>
          <w:szCs w:val="32"/>
        </w:rPr>
        <w:t>o</w:t>
      </w:r>
      <w:r w:rsidRPr="00CA57DF">
        <w:rPr>
          <w:sz w:val="32"/>
          <w:szCs w:val="32"/>
        </w:rPr>
        <w:t xml:space="preserve"> – Gwasanaethau Ymgynghori ar gyfer </w:t>
      </w:r>
      <w:r w:rsidR="00AB10F3">
        <w:rPr>
          <w:sz w:val="32"/>
          <w:szCs w:val="32"/>
        </w:rPr>
        <w:t xml:space="preserve">Darparu </w:t>
      </w:r>
      <w:r w:rsidRPr="00CA57DF">
        <w:rPr>
          <w:sz w:val="32"/>
          <w:szCs w:val="32"/>
        </w:rPr>
        <w:t>Hyfforddiant Ffermio Adfywiol, Creu Cynlluniau a Mentora.</w:t>
      </w:r>
    </w:p>
    <w:p w14:paraId="0EB8C594" w14:textId="77777777" w:rsidR="00CA57DF" w:rsidRDefault="00CA57DF" w:rsidP="00CA57DF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7246480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E8F541" w14:textId="53F5BE77" w:rsidR="00CA57DF" w:rsidRDefault="00CA57DF">
          <w:pPr>
            <w:pStyle w:val="TOCHeading"/>
          </w:pPr>
          <w:r>
            <w:t>Cynnwys</w:t>
          </w:r>
        </w:p>
        <w:p w14:paraId="327F250C" w14:textId="227BB377" w:rsidR="00292D4A" w:rsidRDefault="00CA57D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029540" w:history="1">
            <w:r w:rsidR="00292D4A" w:rsidRPr="00FA0E50">
              <w:rPr>
                <w:rStyle w:val="Hyperlink"/>
                <w:noProof/>
              </w:rPr>
              <w:t xml:space="preserve">Cyflwyniad. </w:t>
            </w:r>
          </w:hyperlink>
          <w:r w:rsidR="00292D4A">
            <w:rPr>
              <w:noProof/>
              <w:webHidden/>
            </w:rPr>
            <w:tab/>
          </w:r>
          <w:r w:rsidR="00292D4A">
            <w:rPr>
              <w:noProof/>
              <w:webHidden/>
            </w:rPr>
            <w:fldChar w:fldCharType="begin"/>
          </w:r>
          <w:r w:rsidR="00292D4A">
            <w:rPr>
              <w:noProof/>
              <w:webHidden/>
            </w:rPr>
            <w:instrText xml:space="preserve"> PAGEREF _Toc224029540 \h </w:instrText>
          </w:r>
          <w:r w:rsidR="00292D4A">
            <w:rPr>
              <w:noProof/>
              <w:webHidden/>
            </w:rPr>
          </w:r>
          <w:r w:rsidR="00292D4A">
            <w:rPr>
              <w:noProof/>
              <w:webHidden/>
            </w:rPr>
            <w:fldChar w:fldCharType="separate"/>
          </w:r>
          <w:hyperlink w:anchor="_Toc224029540" w:history="1">
            <w:r w:rsidR="00292D4A">
              <w:rPr>
                <w:noProof/>
                <w:webHidden/>
              </w:rPr>
              <w:t>2</w:t>
            </w:r>
          </w:hyperlink>
          <w:r w:rsidR="00292D4A">
            <w:rPr>
              <w:noProof/>
              <w:webHidden/>
            </w:rPr>
            <w:fldChar w:fldCharType="end"/>
          </w:r>
        </w:p>
        <w:p w14:paraId="52BCFB8D" w14:textId="720ED4E7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1" w:history="1">
            <w:r w:rsidRPr="00FA0E50">
              <w:rPr>
                <w:rStyle w:val="Hyperlink"/>
                <w:noProof/>
              </w:rPr>
              <w:t xml:space="preserve">Trosolwg o'r Prosiect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1" w:history="1">
            <w:r>
              <w:rPr>
                <w:noProof/>
                <w:webHidden/>
              </w:rPr>
              <w:t>2</w:t>
            </w:r>
          </w:hyperlink>
          <w:r>
            <w:rPr>
              <w:noProof/>
              <w:webHidden/>
            </w:rPr>
            <w:fldChar w:fldCharType="end"/>
          </w:r>
        </w:p>
        <w:p w14:paraId="370B20EC" w14:textId="398FCA49" w:rsidR="00292D4A" w:rsidRDefault="00292D4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2" w:history="1">
            <w:r w:rsidRPr="00FA0E50">
              <w:rPr>
                <w:rStyle w:val="Hyperlink"/>
                <w:noProof/>
              </w:rPr>
              <w:t xml:space="preserve">Y Gofyniad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2" w:history="1">
            <w:r>
              <w:rPr>
                <w:noProof/>
                <w:webHidden/>
              </w:rPr>
              <w:t>3</w:t>
            </w:r>
          </w:hyperlink>
          <w:r>
            <w:rPr>
              <w:noProof/>
              <w:webHidden/>
            </w:rPr>
            <w:fldChar w:fldCharType="end"/>
          </w:r>
        </w:p>
        <w:p w14:paraId="40FAC943" w14:textId="085E52A5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3" w:history="1">
            <w:r w:rsidRPr="00FA0E50">
              <w:rPr>
                <w:rStyle w:val="Hyperlink"/>
                <w:noProof/>
              </w:rPr>
              <w:t xml:space="preserve">Cyd-destun Pwysig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3" w:history="1">
            <w:r>
              <w:rPr>
                <w:noProof/>
                <w:webHidden/>
              </w:rPr>
              <w:t>3</w:t>
            </w:r>
          </w:hyperlink>
          <w:r>
            <w:rPr>
              <w:noProof/>
              <w:webHidden/>
            </w:rPr>
            <w:fldChar w:fldCharType="end"/>
          </w:r>
        </w:p>
        <w:p w14:paraId="7007ECC6" w14:textId="1F036BA2" w:rsidR="00292D4A" w:rsidRDefault="00AB10F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t xml:space="preserve">Y </w:t>
          </w:r>
          <w:hyperlink w:anchor="_Toc224029544" w:history="1">
            <w:r w:rsidR="00292D4A" w:rsidRPr="00FA0E50">
              <w:rPr>
                <w:rStyle w:val="Hyperlink"/>
                <w:noProof/>
              </w:rPr>
              <w:t xml:space="preserve">Rhaglen Hyfforddi </w:t>
            </w:r>
          </w:hyperlink>
          <w:r w:rsidR="00292D4A">
            <w:rPr>
              <w:noProof/>
              <w:webHidden/>
            </w:rPr>
            <w:tab/>
          </w:r>
          <w:r w:rsidR="00292D4A">
            <w:rPr>
              <w:noProof/>
              <w:webHidden/>
            </w:rPr>
            <w:fldChar w:fldCharType="begin"/>
          </w:r>
          <w:r w:rsidR="00292D4A">
            <w:rPr>
              <w:noProof/>
              <w:webHidden/>
            </w:rPr>
            <w:instrText xml:space="preserve"> PAGEREF _Toc224029544 \h </w:instrText>
          </w:r>
          <w:r w:rsidR="00292D4A">
            <w:rPr>
              <w:noProof/>
              <w:webHidden/>
            </w:rPr>
          </w:r>
          <w:r w:rsidR="00292D4A">
            <w:rPr>
              <w:noProof/>
              <w:webHidden/>
            </w:rPr>
            <w:fldChar w:fldCharType="separate"/>
          </w:r>
          <w:hyperlink w:anchor="_Toc224029544" w:history="1">
            <w:r w:rsidR="00292D4A">
              <w:rPr>
                <w:noProof/>
                <w:webHidden/>
              </w:rPr>
              <w:t>3</w:t>
            </w:r>
          </w:hyperlink>
          <w:r w:rsidR="00292D4A">
            <w:rPr>
              <w:noProof/>
              <w:webHidden/>
            </w:rPr>
            <w:fldChar w:fldCharType="end"/>
          </w:r>
        </w:p>
        <w:p w14:paraId="7B13552C" w14:textId="7B92834E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5" w:history="1">
            <w:r w:rsidRPr="00FA0E50">
              <w:rPr>
                <w:rStyle w:val="Hyperlink"/>
                <w:noProof/>
              </w:rPr>
              <w:t>Datblyg</w:t>
            </w:r>
            <w:r w:rsidR="00AB10F3">
              <w:rPr>
                <w:rStyle w:val="Hyperlink"/>
                <w:noProof/>
              </w:rPr>
              <w:t>iad y</w:t>
            </w:r>
            <w:r w:rsidRPr="00FA0E50">
              <w:rPr>
                <w:rStyle w:val="Hyperlink"/>
                <w:noProof/>
              </w:rPr>
              <w:t xml:space="preserve"> Cynllun.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5" w:history="1">
            <w:r>
              <w:rPr>
                <w:noProof/>
                <w:webHidden/>
              </w:rPr>
              <w:t>4</w:t>
            </w:r>
          </w:hyperlink>
          <w:r>
            <w:rPr>
              <w:noProof/>
              <w:webHidden/>
            </w:rPr>
            <w:fldChar w:fldCharType="end"/>
          </w:r>
        </w:p>
        <w:p w14:paraId="2FB772E5" w14:textId="20295455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6" w:history="1">
            <w:r w:rsidRPr="00FA0E50">
              <w:rPr>
                <w:rStyle w:val="Hyperlink"/>
                <w:noProof/>
              </w:rPr>
              <w:t xml:space="preserve">Cefnogaeth barhaus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6" w:history="1">
            <w:r>
              <w:rPr>
                <w:noProof/>
                <w:webHidden/>
              </w:rPr>
              <w:t>5</w:t>
            </w:r>
          </w:hyperlink>
          <w:r>
            <w:rPr>
              <w:noProof/>
              <w:webHidden/>
            </w:rPr>
            <w:fldChar w:fldCharType="end"/>
          </w:r>
        </w:p>
        <w:p w14:paraId="2BBF830D" w14:textId="2EAD7C56" w:rsidR="00292D4A" w:rsidRDefault="00292D4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7" w:history="1">
            <w:r w:rsidRPr="00FA0E50">
              <w:rPr>
                <w:rStyle w:val="Hyperlink"/>
                <w:noProof/>
              </w:rPr>
              <w:t xml:space="preserve">Sgorio a Dyfarnu Contract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7" w:history="1">
            <w:r>
              <w:rPr>
                <w:noProof/>
                <w:webHidden/>
              </w:rPr>
              <w:t>6</w:t>
            </w:r>
          </w:hyperlink>
          <w:r>
            <w:rPr>
              <w:noProof/>
              <w:webHidden/>
            </w:rPr>
            <w:fldChar w:fldCharType="end"/>
          </w:r>
        </w:p>
        <w:p w14:paraId="6D13449D" w14:textId="033747F2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8" w:history="1">
            <w:r w:rsidRPr="00FA0E50">
              <w:rPr>
                <w:rStyle w:val="Hyperlink"/>
                <w:noProof/>
              </w:rPr>
              <w:t xml:space="preserve">Amserlen.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8" w:history="1">
            <w:r>
              <w:rPr>
                <w:noProof/>
                <w:webHidden/>
              </w:rPr>
              <w:t>6</w:t>
            </w:r>
          </w:hyperlink>
          <w:r>
            <w:rPr>
              <w:noProof/>
              <w:webHidden/>
            </w:rPr>
            <w:fldChar w:fldCharType="end"/>
          </w:r>
        </w:p>
        <w:p w14:paraId="173C3266" w14:textId="3EC4472A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49" w:history="1">
            <w:r w:rsidRPr="00FA0E50">
              <w:rPr>
                <w:rStyle w:val="Hyperlink"/>
                <w:noProof/>
              </w:rPr>
              <w:t>Rheolau tendr</w:t>
            </w:r>
            <w:r w:rsidR="00AB10F3">
              <w:rPr>
                <w:rStyle w:val="Hyperlink"/>
                <w:noProof/>
              </w:rPr>
              <w:t>o</w:t>
            </w:r>
            <w:r w:rsidRPr="00FA0E50">
              <w:rPr>
                <w:rStyle w:val="Hyperlink"/>
                <w:noProof/>
              </w:rPr>
              <w:t xml:space="preserve">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_Toc224029549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49" w:history="1">
            <w:r>
              <w:rPr>
                <w:noProof/>
                <w:webHidden/>
              </w:rPr>
              <w:t>6</w:t>
            </w:r>
          </w:hyperlink>
          <w:r>
            <w:rPr>
              <w:noProof/>
              <w:webHidden/>
            </w:rPr>
            <w:fldChar w:fldCharType="end"/>
          </w:r>
        </w:p>
        <w:p w14:paraId="7B66342A" w14:textId="33845C09" w:rsidR="00292D4A" w:rsidRDefault="00292D4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4029550" w:history="1">
            <w:r w:rsidRPr="00FA0E50">
              <w:rPr>
                <w:rStyle w:val="Hyperlink"/>
                <w:noProof/>
              </w:rPr>
              <w:t xml:space="preserve">Datganiad – Ffurflen Ymateb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_Toc224029550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24029550" w:history="1">
            <w:r>
              <w:rPr>
                <w:noProof/>
                <w:webHidden/>
              </w:rPr>
              <w:t>7</w:t>
            </w:r>
          </w:hyperlink>
          <w:r>
            <w:rPr>
              <w:noProof/>
              <w:webHidden/>
            </w:rPr>
            <w:fldChar w:fldCharType="end"/>
          </w:r>
        </w:p>
        <w:p w14:paraId="2D15887E" w14:textId="1AEC298B" w:rsidR="00CA57DF" w:rsidRDefault="00CA57DF">
          <w:r>
            <w:rPr>
              <w:b/>
              <w:bCs/>
              <w:noProof/>
            </w:rPr>
            <w:fldChar w:fldCharType="end"/>
          </w:r>
        </w:p>
      </w:sdtContent>
    </w:sdt>
    <w:p w14:paraId="1A12AA86" w14:textId="77777777" w:rsidR="00CA57DF" w:rsidRPr="00CA57DF" w:rsidRDefault="00CA57DF" w:rsidP="00CA57DF"/>
    <w:p w14:paraId="6EC03BA5" w14:textId="38B95160" w:rsidR="00CA57DF" w:rsidRDefault="00CA57DF">
      <w:r>
        <w:br w:type="page"/>
      </w:r>
    </w:p>
    <w:p w14:paraId="5B27E48C" w14:textId="3F7659A1" w:rsidR="00284AA7" w:rsidRDefault="00284AA7" w:rsidP="00C203B7">
      <w:pPr>
        <w:pStyle w:val="Heading1"/>
      </w:pPr>
      <w:bookmarkStart w:id="0" w:name="_Toc224029540"/>
      <w:r>
        <w:lastRenderedPageBreak/>
        <w:t>Cyflwyniad.</w:t>
      </w:r>
      <w:bookmarkEnd w:id="0"/>
      <w:r>
        <w:t xml:space="preserve"> </w:t>
      </w:r>
    </w:p>
    <w:p w14:paraId="0E2E47BC" w14:textId="327A7521" w:rsidR="00284AA7" w:rsidRDefault="00284AA7">
      <w:pPr>
        <w:rPr>
          <w:sz w:val="22"/>
          <w:szCs w:val="22"/>
        </w:rPr>
      </w:pPr>
      <w:r w:rsidRPr="004B7DE4">
        <w:rPr>
          <w:sz w:val="22"/>
          <w:szCs w:val="22"/>
        </w:rPr>
        <w:t xml:space="preserve">Mae </w:t>
      </w:r>
      <w:r w:rsidR="00AB10F3" w:rsidRPr="004B7DE4">
        <w:rPr>
          <w:sz w:val="22"/>
          <w:szCs w:val="22"/>
        </w:rPr>
        <w:t xml:space="preserve">Ffermio Adfywiol </w:t>
      </w:r>
      <w:r w:rsidRPr="004B7DE4">
        <w:rPr>
          <w:sz w:val="22"/>
          <w:szCs w:val="22"/>
        </w:rPr>
        <w:t>Tirweddau Eryri yn brosiect cydweithredol uchelgeisiol sy'n bwriadu gweithio gydag 20 o ffermwyr mewn dau brif ardal ddaearyddol i weithredu egwyddorion adfywiol ar ffermydd ledled Eryri. Mae'r prosiect wedi'i ariannu gan Lywodraeth Cymru drwy'r Cynllun Adnoddau Naturiol Integredig (</w:t>
      </w:r>
      <w:r w:rsidR="00AB10F3">
        <w:rPr>
          <w:sz w:val="22"/>
          <w:szCs w:val="22"/>
        </w:rPr>
        <w:t>CANI)</w:t>
      </w:r>
      <w:r w:rsidRPr="004B7DE4">
        <w:rPr>
          <w:sz w:val="22"/>
          <w:szCs w:val="22"/>
        </w:rPr>
        <w:t xml:space="preserve"> ac </w:t>
      </w:r>
      <w:r w:rsidR="00AB10F3">
        <w:rPr>
          <w:sz w:val="22"/>
          <w:szCs w:val="22"/>
        </w:rPr>
        <w:t xml:space="preserve">mae’n </w:t>
      </w:r>
      <w:r w:rsidRPr="004B7DE4">
        <w:rPr>
          <w:sz w:val="22"/>
          <w:szCs w:val="22"/>
        </w:rPr>
        <w:t xml:space="preserve">cael ei </w:t>
      </w:r>
      <w:r w:rsidR="00AB10F3">
        <w:rPr>
          <w:sz w:val="22"/>
          <w:szCs w:val="22"/>
        </w:rPr>
        <w:t xml:space="preserve">gyflawni </w:t>
      </w:r>
      <w:r w:rsidRPr="004B7DE4">
        <w:rPr>
          <w:sz w:val="22"/>
          <w:szCs w:val="22"/>
        </w:rPr>
        <w:t>gan Awdurdod Parc Cenedlaethol Eryri (</w:t>
      </w:r>
      <w:r w:rsidR="00AB10F3">
        <w:rPr>
          <w:sz w:val="22"/>
          <w:szCs w:val="22"/>
        </w:rPr>
        <w:t>APCE</w:t>
      </w:r>
      <w:r w:rsidRPr="004B7DE4">
        <w:rPr>
          <w:sz w:val="22"/>
          <w:szCs w:val="22"/>
        </w:rPr>
        <w:t>).</w:t>
      </w:r>
    </w:p>
    <w:p w14:paraId="062BBE2F" w14:textId="51F361BC" w:rsidR="008B7E73" w:rsidRDefault="00B62A64">
      <w:pPr>
        <w:rPr>
          <w:sz w:val="22"/>
          <w:szCs w:val="22"/>
        </w:rPr>
      </w:pPr>
      <w:r>
        <w:rPr>
          <w:sz w:val="22"/>
          <w:szCs w:val="22"/>
        </w:rPr>
        <w:t xml:space="preserve">Mae </w:t>
      </w:r>
      <w:r w:rsidR="00AB10F3">
        <w:rPr>
          <w:sz w:val="22"/>
          <w:szCs w:val="22"/>
        </w:rPr>
        <w:t>APCE</w:t>
      </w:r>
      <w:r>
        <w:rPr>
          <w:sz w:val="22"/>
          <w:szCs w:val="22"/>
        </w:rPr>
        <w:t xml:space="preserve"> yn dymuno penodi unigolyn neu gwmni i gyflawni elfen ymgynghori'r prosiect hwn.</w:t>
      </w:r>
    </w:p>
    <w:p w14:paraId="1D63D994" w14:textId="23A2732D" w:rsidR="00B62A64" w:rsidRDefault="00E97E77">
      <w:pPr>
        <w:rPr>
          <w:sz w:val="22"/>
          <w:szCs w:val="22"/>
        </w:rPr>
      </w:pPr>
      <w:r>
        <w:rPr>
          <w:sz w:val="22"/>
          <w:szCs w:val="22"/>
        </w:rPr>
        <w:t xml:space="preserve">Bydd y gwaith yn cynnwys arwain rhaglen hyfforddi </w:t>
      </w:r>
      <w:r w:rsidR="00AB10F3">
        <w:rPr>
          <w:sz w:val="22"/>
          <w:szCs w:val="22"/>
        </w:rPr>
        <w:t>ar gyfer</w:t>
      </w:r>
      <w:r>
        <w:rPr>
          <w:sz w:val="22"/>
          <w:szCs w:val="22"/>
        </w:rPr>
        <w:t xml:space="preserve"> ffermwyr </w:t>
      </w:r>
      <w:r w:rsidR="00AB10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B10F3">
        <w:rPr>
          <w:sz w:val="22"/>
          <w:szCs w:val="22"/>
        </w:rPr>
        <w:t xml:space="preserve">sy’n </w:t>
      </w:r>
      <w:r>
        <w:rPr>
          <w:sz w:val="22"/>
          <w:szCs w:val="22"/>
        </w:rPr>
        <w:t>dysgu egwyddorion Ffermio Adfywiol</w:t>
      </w:r>
      <w:r w:rsidR="00AB10F3">
        <w:rPr>
          <w:sz w:val="22"/>
          <w:szCs w:val="22"/>
        </w:rPr>
        <w:t xml:space="preserve"> iddynt</w:t>
      </w:r>
      <w:r>
        <w:rPr>
          <w:sz w:val="22"/>
          <w:szCs w:val="22"/>
        </w:rPr>
        <w:t xml:space="preserve">, cyd-ddylunio cynlluniau rheoli fferm a mentora'r ffermwyr drwy gydol y prosiect gyda mewnbwn ac arweiniad arbenigol </w:t>
      </w:r>
      <w:r w:rsidR="00AB10F3">
        <w:rPr>
          <w:sz w:val="22"/>
          <w:szCs w:val="22"/>
        </w:rPr>
        <w:t>sy’n cynnwys cynnal ymweliadau ‘</w:t>
      </w:r>
      <w:r>
        <w:rPr>
          <w:sz w:val="22"/>
          <w:szCs w:val="22"/>
        </w:rPr>
        <w:t>galw heibio</w:t>
      </w:r>
      <w:r w:rsidR="00AB10F3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="00AB10F3">
        <w:rPr>
          <w:sz w:val="22"/>
          <w:szCs w:val="22"/>
        </w:rPr>
        <w:t>ar sail r</w:t>
      </w:r>
      <w:r>
        <w:rPr>
          <w:sz w:val="22"/>
          <w:szCs w:val="22"/>
        </w:rPr>
        <w:t>eolaidd a sefydlu rhaglen ddysgu rhwng cyfoedion.</w:t>
      </w:r>
    </w:p>
    <w:p w14:paraId="47E47B85" w14:textId="279E6073" w:rsidR="00B62A64" w:rsidRPr="004B7DE4" w:rsidRDefault="00C203B7" w:rsidP="00C203B7">
      <w:pPr>
        <w:pStyle w:val="Heading2"/>
        <w:rPr>
          <w:rFonts w:asciiTheme="minorHAnsi" w:hAnsiTheme="minorHAnsi"/>
        </w:rPr>
      </w:pPr>
      <w:bookmarkStart w:id="1" w:name="_Toc224029541"/>
      <w:r>
        <w:t>Trosolwg o'r Prosiect</w:t>
      </w:r>
      <w:bookmarkEnd w:id="1"/>
    </w:p>
    <w:p w14:paraId="76D57D10" w14:textId="008CFDF7" w:rsidR="004B7DE4" w:rsidRPr="004B7DE4" w:rsidRDefault="00AB10F3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Gweithredir y </w:t>
      </w:r>
      <w:r w:rsidR="004B7DE4" w:rsidRPr="004B7DE4">
        <w:rPr>
          <w:rFonts w:ascii="Aptos" w:eastAsia="Aptos" w:hAnsi="Aptos" w:cs="Times New Roman"/>
          <w:sz w:val="22"/>
          <w:szCs w:val="22"/>
        </w:rPr>
        <w:t>fenter hon dan arweiniad ffermwyr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="004B7DE4" w:rsidRPr="004B7DE4">
        <w:rPr>
          <w:rFonts w:ascii="Aptos" w:eastAsia="Aptos" w:hAnsi="Aptos" w:cs="Times New Roman"/>
          <w:sz w:val="22"/>
          <w:szCs w:val="22"/>
        </w:rPr>
        <w:t xml:space="preserve">ar raddfa tirwedd ym Mharc Cenedlaethol Eryri. </w:t>
      </w:r>
      <w:r>
        <w:rPr>
          <w:rFonts w:ascii="Aptos" w:eastAsia="Aptos" w:hAnsi="Aptos" w:cs="Times New Roman"/>
          <w:sz w:val="22"/>
          <w:szCs w:val="22"/>
        </w:rPr>
        <w:t xml:space="preserve">Ei </w:t>
      </w:r>
      <w:r w:rsidR="004B7DE4" w:rsidRPr="004B7DE4">
        <w:rPr>
          <w:rFonts w:ascii="Aptos" w:eastAsia="Aptos" w:hAnsi="Aptos" w:cs="Times New Roman"/>
          <w:sz w:val="22"/>
          <w:szCs w:val="22"/>
        </w:rPr>
        <w:t xml:space="preserve">nod yw meithrin datblygiad mentrau ffermio </w:t>
      </w:r>
      <w:r>
        <w:rPr>
          <w:rFonts w:ascii="Aptos" w:eastAsia="Aptos" w:hAnsi="Aptos" w:cs="Times New Roman"/>
          <w:sz w:val="22"/>
          <w:szCs w:val="22"/>
        </w:rPr>
        <w:t>cadarn</w:t>
      </w:r>
      <w:r w:rsidR="004B7DE4" w:rsidRPr="004B7DE4">
        <w:rPr>
          <w:rFonts w:ascii="Aptos" w:eastAsia="Aptos" w:hAnsi="Aptos" w:cs="Times New Roman"/>
          <w:sz w:val="22"/>
          <w:szCs w:val="22"/>
        </w:rPr>
        <w:t xml:space="preserve"> ac adfywiol a all sbarduno</w:t>
      </w:r>
    </w:p>
    <w:p w14:paraId="772BD0E3" w14:textId="47D72D70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 xml:space="preserve">newidiadau cadarnhaol mewn gwasanaethau ecosystem </w:t>
      </w:r>
      <w:r w:rsidR="00AB10F3">
        <w:rPr>
          <w:rFonts w:ascii="Aptos" w:eastAsia="Aptos" w:hAnsi="Aptos" w:cs="Times New Roman"/>
          <w:sz w:val="22"/>
          <w:szCs w:val="22"/>
        </w:rPr>
        <w:t>tra’n c</w:t>
      </w:r>
      <w:r w:rsidRPr="004B7DE4">
        <w:rPr>
          <w:rFonts w:ascii="Aptos" w:eastAsia="Aptos" w:hAnsi="Aptos" w:cs="Times New Roman"/>
          <w:sz w:val="22"/>
          <w:szCs w:val="22"/>
        </w:rPr>
        <w:t>ynhyrchu bwyd o ansawdd uchel.</w:t>
      </w:r>
    </w:p>
    <w:p w14:paraId="66F97AE4" w14:textId="77777777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</w:p>
    <w:p w14:paraId="61DE5F14" w14:textId="03E41470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 xml:space="preserve">Mae amaethyddiaeth adfywiol yn mabwysiadu dull </w:t>
      </w:r>
      <w:r w:rsidR="00AB10F3">
        <w:rPr>
          <w:rFonts w:ascii="Aptos" w:eastAsia="Aptos" w:hAnsi="Aptos" w:cs="Times New Roman"/>
          <w:sz w:val="22"/>
          <w:szCs w:val="22"/>
        </w:rPr>
        <w:t xml:space="preserve">gweithredu </w:t>
      </w:r>
      <w:r w:rsidRPr="004B7DE4">
        <w:rPr>
          <w:rFonts w:ascii="Aptos" w:eastAsia="Aptos" w:hAnsi="Aptos" w:cs="Times New Roman"/>
          <w:sz w:val="22"/>
          <w:szCs w:val="22"/>
        </w:rPr>
        <w:t xml:space="preserve">sy'n seiliedig ar egwyddorion, gan gymhwyso </w:t>
      </w:r>
      <w:r w:rsidR="00AB10F3">
        <w:rPr>
          <w:rFonts w:ascii="Aptos" w:eastAsia="Aptos" w:hAnsi="Aptos" w:cs="Times New Roman"/>
          <w:sz w:val="22"/>
          <w:szCs w:val="22"/>
        </w:rPr>
        <w:t xml:space="preserve">arferion ffermio </w:t>
      </w:r>
      <w:r w:rsidRPr="004B7DE4">
        <w:rPr>
          <w:rFonts w:ascii="Aptos" w:eastAsia="Aptos" w:hAnsi="Aptos" w:cs="Times New Roman"/>
          <w:sz w:val="22"/>
          <w:szCs w:val="22"/>
        </w:rPr>
        <w:t>adfywiol</w:t>
      </w:r>
      <w:r w:rsidR="00AB10F3">
        <w:rPr>
          <w:rFonts w:ascii="Aptos" w:eastAsia="Aptos" w:hAnsi="Aptos" w:cs="Times New Roman"/>
          <w:sz w:val="22"/>
          <w:szCs w:val="22"/>
        </w:rPr>
        <w:t xml:space="preserve"> sydd </w:t>
      </w:r>
      <w:r w:rsidRPr="004B7DE4">
        <w:rPr>
          <w:rFonts w:ascii="Aptos" w:eastAsia="Aptos" w:hAnsi="Aptos" w:cs="Times New Roman"/>
          <w:sz w:val="22"/>
          <w:szCs w:val="22"/>
        </w:rPr>
        <w:t xml:space="preserve">wedi'u teilwra i gyd-destun cymdeithasol, amgylcheddol ac economaidd penodol </w:t>
      </w:r>
      <w:r w:rsidR="00AB10F3">
        <w:rPr>
          <w:rFonts w:ascii="Aptos" w:eastAsia="Aptos" w:hAnsi="Aptos" w:cs="Times New Roman"/>
          <w:sz w:val="22"/>
          <w:szCs w:val="22"/>
        </w:rPr>
        <w:t>i b</w:t>
      </w:r>
      <w:r w:rsidRPr="004B7DE4">
        <w:rPr>
          <w:rFonts w:ascii="Aptos" w:eastAsia="Aptos" w:hAnsi="Aptos" w:cs="Times New Roman"/>
          <w:sz w:val="22"/>
          <w:szCs w:val="22"/>
        </w:rPr>
        <w:t>ob fferm. Mae</w:t>
      </w:r>
      <w:r w:rsidR="00AB10F3">
        <w:rPr>
          <w:rFonts w:ascii="Aptos" w:eastAsia="Aptos" w:hAnsi="Aptos" w:cs="Times New Roman"/>
          <w:sz w:val="22"/>
          <w:szCs w:val="22"/>
        </w:rPr>
        <w:t xml:space="preserve">’r </w:t>
      </w:r>
      <w:r w:rsidRPr="004B7DE4">
        <w:rPr>
          <w:rFonts w:ascii="Aptos" w:eastAsia="Aptos" w:hAnsi="Aptos" w:cs="Times New Roman"/>
          <w:sz w:val="22"/>
          <w:szCs w:val="22"/>
        </w:rPr>
        <w:t xml:space="preserve">strategaeth </w:t>
      </w:r>
      <w:r w:rsidR="00AB10F3">
        <w:rPr>
          <w:rFonts w:ascii="Aptos" w:eastAsia="Aptos" w:hAnsi="Aptos" w:cs="Times New Roman"/>
          <w:sz w:val="22"/>
          <w:szCs w:val="22"/>
        </w:rPr>
        <w:t xml:space="preserve">hon sydd </w:t>
      </w:r>
      <w:r w:rsidRPr="004B7DE4">
        <w:rPr>
          <w:rFonts w:ascii="Aptos" w:eastAsia="Aptos" w:hAnsi="Aptos" w:cs="Times New Roman"/>
          <w:sz w:val="22"/>
          <w:szCs w:val="22"/>
        </w:rPr>
        <w:t>wedi'i haddasu</w:t>
      </w:r>
      <w:r w:rsidR="00AB10F3">
        <w:rPr>
          <w:rFonts w:ascii="Aptos" w:eastAsia="Aptos" w:hAnsi="Aptos" w:cs="Times New Roman"/>
          <w:sz w:val="22"/>
          <w:szCs w:val="22"/>
        </w:rPr>
        <w:t>’n benodol</w:t>
      </w:r>
      <w:r w:rsidRPr="004B7DE4">
        <w:rPr>
          <w:rFonts w:ascii="Aptos" w:eastAsia="Aptos" w:hAnsi="Aptos" w:cs="Times New Roman"/>
          <w:sz w:val="22"/>
          <w:szCs w:val="22"/>
        </w:rPr>
        <w:t xml:space="preserve"> yn llywio</w:t>
      </w:r>
      <w:r w:rsidR="00AB10F3">
        <w:rPr>
          <w:rFonts w:ascii="Aptos" w:eastAsia="Aptos" w:hAnsi="Aptos" w:cs="Times New Roman"/>
          <w:sz w:val="22"/>
          <w:szCs w:val="22"/>
        </w:rPr>
        <w:t>’r gwaith o g</w:t>
      </w:r>
      <w:r w:rsidRPr="004B7DE4">
        <w:rPr>
          <w:rFonts w:ascii="Aptos" w:eastAsia="Aptos" w:hAnsi="Aptos" w:cs="Times New Roman"/>
          <w:sz w:val="22"/>
          <w:szCs w:val="22"/>
        </w:rPr>
        <w:t>reu cynlluniau pori a rheoli unigryw.</w:t>
      </w:r>
    </w:p>
    <w:p w14:paraId="2AF26493" w14:textId="77777777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</w:p>
    <w:p w14:paraId="30091ADE" w14:textId="198A74F5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>Mae'r prosiect yn cydnabod bod tr</w:t>
      </w:r>
      <w:r w:rsidR="000D6D98">
        <w:rPr>
          <w:rFonts w:ascii="Aptos" w:eastAsia="Aptos" w:hAnsi="Aptos" w:cs="Times New Roman"/>
          <w:sz w:val="22"/>
          <w:szCs w:val="22"/>
        </w:rPr>
        <w:t xml:space="preserve">awsnewid </w:t>
      </w:r>
      <w:r w:rsidRPr="004B7DE4">
        <w:rPr>
          <w:rFonts w:ascii="Aptos" w:eastAsia="Aptos" w:hAnsi="Aptos" w:cs="Times New Roman"/>
          <w:sz w:val="22"/>
          <w:szCs w:val="22"/>
        </w:rPr>
        <w:t>fferm yn llwyddiannus i system adfywiol</w:t>
      </w:r>
    </w:p>
    <w:p w14:paraId="5F64CB89" w14:textId="77777777" w:rsidR="00B5778C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 xml:space="preserve">yn ymestyn y tu hwnt i ddim ond </w:t>
      </w:r>
      <w:r w:rsidR="00AB10F3">
        <w:rPr>
          <w:rFonts w:ascii="Aptos" w:eastAsia="Aptos" w:hAnsi="Aptos" w:cs="Times New Roman"/>
          <w:sz w:val="22"/>
          <w:szCs w:val="22"/>
        </w:rPr>
        <w:t>mynd ati i g</w:t>
      </w:r>
      <w:r w:rsidRPr="004B7DE4">
        <w:rPr>
          <w:rFonts w:ascii="Aptos" w:eastAsia="Aptos" w:hAnsi="Aptos" w:cs="Times New Roman"/>
          <w:sz w:val="22"/>
          <w:szCs w:val="22"/>
        </w:rPr>
        <w:t>yfarwyddo ffermwyr a</w:t>
      </w:r>
      <w:r w:rsidR="00AB10F3">
        <w:rPr>
          <w:rFonts w:ascii="Aptos" w:eastAsia="Aptos" w:hAnsi="Aptos" w:cs="Times New Roman"/>
          <w:sz w:val="22"/>
          <w:szCs w:val="22"/>
        </w:rPr>
        <w:t xml:space="preserve">m </w:t>
      </w:r>
      <w:r w:rsidRPr="004B7DE4">
        <w:rPr>
          <w:rFonts w:ascii="Aptos" w:eastAsia="Aptos" w:hAnsi="Aptos" w:cs="Times New Roman"/>
          <w:sz w:val="22"/>
          <w:szCs w:val="22"/>
        </w:rPr>
        <w:t>arferion newydd. Mae</w:t>
      </w:r>
      <w:r w:rsidR="00AB10F3">
        <w:rPr>
          <w:rFonts w:ascii="Aptos" w:eastAsia="Aptos" w:hAnsi="Aptos" w:cs="Times New Roman"/>
          <w:sz w:val="22"/>
          <w:szCs w:val="22"/>
        </w:rPr>
        <w:t>’r</w:t>
      </w:r>
      <w:r w:rsidRPr="004B7DE4">
        <w:rPr>
          <w:rFonts w:ascii="Aptos" w:eastAsia="Aptos" w:hAnsi="Aptos" w:cs="Times New Roman"/>
          <w:sz w:val="22"/>
          <w:szCs w:val="22"/>
        </w:rPr>
        <w:t xml:space="preserve"> </w:t>
      </w:r>
      <w:r w:rsidR="00AB10F3">
        <w:rPr>
          <w:rFonts w:ascii="Aptos" w:eastAsia="Aptos" w:hAnsi="Aptos" w:cs="Times New Roman"/>
          <w:sz w:val="22"/>
          <w:szCs w:val="22"/>
        </w:rPr>
        <w:t xml:space="preserve">dull gweithredu ar sail </w:t>
      </w:r>
      <w:r w:rsidRPr="004B7DE4">
        <w:rPr>
          <w:rFonts w:ascii="Aptos" w:eastAsia="Aptos" w:hAnsi="Aptos" w:cs="Times New Roman"/>
          <w:sz w:val="22"/>
          <w:szCs w:val="22"/>
        </w:rPr>
        <w:t>"</w:t>
      </w:r>
      <w:r w:rsidR="00AB10F3">
        <w:rPr>
          <w:rFonts w:ascii="Aptos" w:eastAsia="Aptos" w:hAnsi="Aptos" w:cs="Times New Roman"/>
          <w:sz w:val="22"/>
          <w:szCs w:val="22"/>
        </w:rPr>
        <w:t>system g</w:t>
      </w:r>
      <w:r w:rsidRPr="004B7DE4">
        <w:rPr>
          <w:rFonts w:ascii="Aptos" w:eastAsia="Aptos" w:hAnsi="Aptos" w:cs="Times New Roman"/>
          <w:sz w:val="22"/>
          <w:szCs w:val="22"/>
        </w:rPr>
        <w:t xml:space="preserve">yfan" </w:t>
      </w:r>
      <w:r w:rsidR="00AB10F3">
        <w:rPr>
          <w:rFonts w:ascii="Aptos" w:eastAsia="Aptos" w:hAnsi="Aptos" w:cs="Times New Roman"/>
          <w:sz w:val="22"/>
          <w:szCs w:val="22"/>
        </w:rPr>
        <w:t>g</w:t>
      </w:r>
      <w:r w:rsidRPr="004B7DE4">
        <w:rPr>
          <w:rFonts w:ascii="Aptos" w:eastAsia="Aptos" w:hAnsi="Aptos" w:cs="Times New Roman"/>
          <w:sz w:val="22"/>
          <w:szCs w:val="22"/>
        </w:rPr>
        <w:t>ynhwysfawr</w:t>
      </w:r>
      <w:r w:rsidR="00AB10F3">
        <w:rPr>
          <w:rFonts w:ascii="Aptos" w:eastAsia="Aptos" w:hAnsi="Aptos" w:cs="Times New Roman"/>
          <w:sz w:val="22"/>
          <w:szCs w:val="22"/>
        </w:rPr>
        <w:t>,</w:t>
      </w:r>
      <w:r w:rsidRPr="004B7DE4">
        <w:rPr>
          <w:rFonts w:ascii="Aptos" w:eastAsia="Aptos" w:hAnsi="Aptos" w:cs="Times New Roman"/>
          <w:sz w:val="22"/>
          <w:szCs w:val="22"/>
        </w:rPr>
        <w:t xml:space="preserve"> wedi'i addasu i amodau diwylliannol ac amgylcheddol penodol yr ardal y</w:t>
      </w:r>
      <w:r w:rsidR="00B5778C">
        <w:rPr>
          <w:rFonts w:ascii="Aptos" w:eastAsia="Aptos" w:hAnsi="Aptos" w:cs="Times New Roman"/>
          <w:sz w:val="22"/>
          <w:szCs w:val="22"/>
        </w:rPr>
        <w:t xml:space="preserve">n </w:t>
      </w:r>
      <w:r w:rsidRPr="004B7DE4">
        <w:rPr>
          <w:rFonts w:ascii="Aptos" w:eastAsia="Aptos" w:hAnsi="Aptos" w:cs="Times New Roman"/>
          <w:sz w:val="22"/>
          <w:szCs w:val="22"/>
        </w:rPr>
        <w:t xml:space="preserve">hanfodol ar gyfer creu ffermydd gwirioneddol </w:t>
      </w:r>
      <w:r w:rsidR="00B5778C">
        <w:rPr>
          <w:rFonts w:ascii="Aptos" w:eastAsia="Aptos" w:hAnsi="Aptos" w:cs="Times New Roman"/>
          <w:sz w:val="22"/>
          <w:szCs w:val="22"/>
        </w:rPr>
        <w:t>gadarn</w:t>
      </w:r>
      <w:r w:rsidRPr="004B7DE4">
        <w:rPr>
          <w:rFonts w:ascii="Aptos" w:eastAsia="Aptos" w:hAnsi="Aptos" w:cs="Times New Roman"/>
          <w:sz w:val="22"/>
          <w:szCs w:val="22"/>
        </w:rPr>
        <w:t xml:space="preserve">. </w:t>
      </w:r>
    </w:p>
    <w:p w14:paraId="05DC966F" w14:textId="1C577C2C" w:rsidR="004B7DE4" w:rsidRPr="004B7DE4" w:rsidRDefault="00B5778C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Bydd y ffermydd hyn n</w:t>
      </w:r>
      <w:r w:rsidR="004B7DE4" w:rsidRPr="004B7DE4">
        <w:rPr>
          <w:rFonts w:ascii="Aptos" w:eastAsia="Aptos" w:hAnsi="Aptos" w:cs="Times New Roman"/>
          <w:sz w:val="22"/>
          <w:szCs w:val="22"/>
        </w:rPr>
        <w:t>i</w:t>
      </w:r>
      <w:r>
        <w:rPr>
          <w:rFonts w:ascii="Aptos" w:eastAsia="Aptos" w:hAnsi="Aptos" w:cs="Times New Roman"/>
          <w:sz w:val="22"/>
          <w:szCs w:val="22"/>
        </w:rPr>
        <w:t>d</w:t>
      </w:r>
      <w:r w:rsidR="004B7DE4" w:rsidRPr="004B7DE4"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 xml:space="preserve">yn unig yn </w:t>
      </w:r>
      <w:r w:rsidR="004B7DE4" w:rsidRPr="004B7DE4">
        <w:rPr>
          <w:rFonts w:ascii="Aptos" w:eastAsia="Aptos" w:hAnsi="Aptos" w:cs="Times New Roman"/>
          <w:sz w:val="22"/>
          <w:szCs w:val="22"/>
        </w:rPr>
        <w:t xml:space="preserve">cofleidio'r </w:t>
      </w:r>
      <w:r>
        <w:rPr>
          <w:rFonts w:ascii="Aptos" w:eastAsia="Aptos" w:hAnsi="Aptos" w:cs="Times New Roman"/>
          <w:sz w:val="22"/>
          <w:szCs w:val="22"/>
        </w:rPr>
        <w:t xml:space="preserve">ymdeimlad </w:t>
      </w:r>
      <w:r w:rsidR="004B7DE4" w:rsidRPr="004B7DE4">
        <w:rPr>
          <w:rFonts w:ascii="Aptos" w:eastAsia="Aptos" w:hAnsi="Aptos" w:cs="Times New Roman"/>
          <w:sz w:val="22"/>
          <w:szCs w:val="22"/>
        </w:rPr>
        <w:t>unigryw</w:t>
      </w:r>
      <w:r>
        <w:rPr>
          <w:rFonts w:ascii="Aptos" w:eastAsia="Aptos" w:hAnsi="Aptos" w:cs="Times New Roman"/>
          <w:sz w:val="22"/>
          <w:szCs w:val="22"/>
        </w:rPr>
        <w:t xml:space="preserve"> o </w:t>
      </w:r>
      <w:r w:rsidR="004B7DE4" w:rsidRPr="004B7DE4">
        <w:rPr>
          <w:rFonts w:ascii="Aptos" w:eastAsia="Aptos" w:hAnsi="Aptos" w:cs="Times New Roman"/>
          <w:sz w:val="22"/>
          <w:szCs w:val="22"/>
        </w:rPr>
        <w:t>le sy'n gynhenid i bob lleoliad</w:t>
      </w:r>
      <w:r>
        <w:rPr>
          <w:rFonts w:ascii="Aptos" w:eastAsia="Aptos" w:hAnsi="Aptos" w:cs="Times New Roman"/>
          <w:sz w:val="22"/>
          <w:szCs w:val="22"/>
        </w:rPr>
        <w:t>, ond byddant hefyd y</w:t>
      </w:r>
      <w:r w:rsidR="004B7DE4" w:rsidRPr="004B7DE4">
        <w:rPr>
          <w:rFonts w:ascii="Aptos" w:eastAsia="Aptos" w:hAnsi="Aptos" w:cs="Times New Roman"/>
          <w:sz w:val="22"/>
          <w:szCs w:val="22"/>
        </w:rPr>
        <w:t>n anrhydeddu treftadaeth ddiwylliannol gref</w:t>
      </w:r>
    </w:p>
    <w:p w14:paraId="2CA964EF" w14:textId="73778A53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 xml:space="preserve">Ffermio </w:t>
      </w:r>
      <w:r w:rsidR="00B5778C">
        <w:rPr>
          <w:rFonts w:ascii="Aptos" w:eastAsia="Aptos" w:hAnsi="Aptos" w:cs="Times New Roman"/>
          <w:sz w:val="22"/>
          <w:szCs w:val="22"/>
        </w:rPr>
        <w:t xml:space="preserve">yn </w:t>
      </w:r>
      <w:r w:rsidRPr="004B7DE4">
        <w:rPr>
          <w:rFonts w:ascii="Aptos" w:eastAsia="Aptos" w:hAnsi="Aptos" w:cs="Times New Roman"/>
          <w:sz w:val="22"/>
          <w:szCs w:val="22"/>
        </w:rPr>
        <w:t xml:space="preserve">Eryri ac </w:t>
      </w:r>
      <w:r w:rsidR="00B5778C">
        <w:rPr>
          <w:rFonts w:ascii="Aptos" w:eastAsia="Aptos" w:hAnsi="Aptos" w:cs="Times New Roman"/>
          <w:sz w:val="22"/>
          <w:szCs w:val="22"/>
        </w:rPr>
        <w:t xml:space="preserve">yn </w:t>
      </w:r>
      <w:r w:rsidRPr="004B7DE4">
        <w:rPr>
          <w:rFonts w:ascii="Aptos" w:eastAsia="Aptos" w:hAnsi="Aptos" w:cs="Times New Roman"/>
          <w:sz w:val="22"/>
          <w:szCs w:val="22"/>
        </w:rPr>
        <w:t>integreiddio amcanion pwysig sy'n canolbwyntio ar gynefinoedd a rhywogaethau ochr yn och</w:t>
      </w:r>
      <w:r w:rsidR="00B5778C">
        <w:rPr>
          <w:rFonts w:ascii="Aptos" w:eastAsia="Aptos" w:hAnsi="Aptos" w:cs="Times New Roman"/>
          <w:sz w:val="22"/>
          <w:szCs w:val="22"/>
        </w:rPr>
        <w:t xml:space="preserve">r â </w:t>
      </w:r>
      <w:r w:rsidRPr="004B7DE4">
        <w:rPr>
          <w:rFonts w:ascii="Aptos" w:eastAsia="Aptos" w:hAnsi="Aptos" w:cs="Times New Roman"/>
          <w:sz w:val="22"/>
          <w:szCs w:val="22"/>
        </w:rPr>
        <w:t>nodau cynhyrchu a</w:t>
      </w:r>
      <w:r w:rsidR="00B5778C">
        <w:rPr>
          <w:rFonts w:ascii="Aptos" w:eastAsia="Aptos" w:hAnsi="Aptos" w:cs="Times New Roman"/>
          <w:sz w:val="22"/>
          <w:szCs w:val="22"/>
        </w:rPr>
        <w:t>maeth</w:t>
      </w:r>
      <w:r w:rsidRPr="004B7DE4">
        <w:rPr>
          <w:rFonts w:ascii="Aptos" w:eastAsia="Aptos" w:hAnsi="Aptos" w:cs="Times New Roman"/>
          <w:sz w:val="22"/>
          <w:szCs w:val="22"/>
        </w:rPr>
        <w:t>-ecolegol.</w:t>
      </w:r>
    </w:p>
    <w:p w14:paraId="7991E8A2" w14:textId="77777777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</w:p>
    <w:p w14:paraId="2AEB23C9" w14:textId="201A67AA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 xml:space="preserve">Mae'r fenter hon wedi'i strwythuro o amgylch dull </w:t>
      </w:r>
      <w:r w:rsidR="00B5778C">
        <w:rPr>
          <w:rFonts w:ascii="Aptos" w:eastAsia="Aptos" w:hAnsi="Aptos" w:cs="Times New Roman"/>
          <w:sz w:val="22"/>
          <w:szCs w:val="22"/>
        </w:rPr>
        <w:t xml:space="preserve">gweithredu </w:t>
      </w:r>
      <w:r w:rsidRPr="004B7DE4">
        <w:rPr>
          <w:rFonts w:ascii="Aptos" w:eastAsia="Aptos" w:hAnsi="Aptos" w:cs="Times New Roman"/>
          <w:sz w:val="22"/>
          <w:szCs w:val="22"/>
        </w:rPr>
        <w:t>integredig o ysgogi newid. Mae'n cwmpasu</w:t>
      </w:r>
      <w:r w:rsidR="00B5778C">
        <w:rPr>
          <w:rFonts w:ascii="Aptos" w:eastAsia="Aptos" w:hAnsi="Aptos" w:cs="Times New Roman"/>
          <w:sz w:val="22"/>
          <w:szCs w:val="22"/>
        </w:rPr>
        <w:t xml:space="preserve"> </w:t>
      </w:r>
      <w:r w:rsidRPr="004B7DE4">
        <w:rPr>
          <w:rFonts w:ascii="Aptos" w:eastAsia="Aptos" w:hAnsi="Aptos" w:cs="Times New Roman"/>
          <w:sz w:val="22"/>
          <w:szCs w:val="22"/>
        </w:rPr>
        <w:t>dysgu</w:t>
      </w:r>
      <w:r w:rsidR="000D6D98">
        <w:rPr>
          <w:rFonts w:ascii="Aptos" w:eastAsia="Aptos" w:hAnsi="Aptos" w:cs="Times New Roman"/>
          <w:sz w:val="22"/>
          <w:szCs w:val="22"/>
        </w:rPr>
        <w:t>’r</w:t>
      </w:r>
      <w:r w:rsidR="00B5778C">
        <w:rPr>
          <w:rFonts w:ascii="Aptos" w:eastAsia="Aptos" w:hAnsi="Aptos" w:cs="Times New Roman"/>
          <w:sz w:val="22"/>
          <w:szCs w:val="22"/>
        </w:rPr>
        <w:t xml:space="preserve"> </w:t>
      </w:r>
      <w:r w:rsidRPr="004B7DE4">
        <w:rPr>
          <w:rFonts w:ascii="Aptos" w:eastAsia="Aptos" w:hAnsi="Aptos" w:cs="Times New Roman"/>
          <w:sz w:val="22"/>
          <w:szCs w:val="22"/>
        </w:rPr>
        <w:t xml:space="preserve">agweddau technegol </w:t>
      </w:r>
      <w:r w:rsidR="00B5778C">
        <w:rPr>
          <w:rFonts w:ascii="Aptos" w:eastAsia="Aptos" w:hAnsi="Aptos" w:cs="Times New Roman"/>
          <w:sz w:val="22"/>
          <w:szCs w:val="22"/>
        </w:rPr>
        <w:t xml:space="preserve">o </w:t>
      </w:r>
      <w:r w:rsidRPr="004B7DE4">
        <w:rPr>
          <w:rFonts w:ascii="Aptos" w:eastAsia="Aptos" w:hAnsi="Aptos" w:cs="Times New Roman"/>
          <w:sz w:val="22"/>
          <w:szCs w:val="22"/>
        </w:rPr>
        <w:t xml:space="preserve">ffermio adfywiol a hwyluso </w:t>
      </w:r>
      <w:r w:rsidR="00B5778C">
        <w:rPr>
          <w:rFonts w:ascii="Aptos" w:eastAsia="Aptos" w:hAnsi="Aptos" w:cs="Times New Roman"/>
          <w:sz w:val="22"/>
          <w:szCs w:val="22"/>
        </w:rPr>
        <w:t xml:space="preserve">sut y’i </w:t>
      </w:r>
      <w:r w:rsidRPr="004B7DE4">
        <w:rPr>
          <w:rFonts w:ascii="Aptos" w:eastAsia="Aptos" w:hAnsi="Aptos" w:cs="Times New Roman"/>
          <w:sz w:val="22"/>
          <w:szCs w:val="22"/>
        </w:rPr>
        <w:t>cymhwysi</w:t>
      </w:r>
      <w:r w:rsidR="00B5778C">
        <w:rPr>
          <w:rFonts w:ascii="Aptos" w:eastAsia="Aptos" w:hAnsi="Aptos" w:cs="Times New Roman"/>
          <w:sz w:val="22"/>
          <w:szCs w:val="22"/>
        </w:rPr>
        <w:t xml:space="preserve">r (sut maent yn cael eu rhoi ar waith) </w:t>
      </w:r>
      <w:r w:rsidRPr="004B7DE4">
        <w:rPr>
          <w:rFonts w:ascii="Aptos" w:eastAsia="Aptos" w:hAnsi="Aptos" w:cs="Times New Roman"/>
          <w:sz w:val="22"/>
          <w:szCs w:val="22"/>
        </w:rPr>
        <w:t xml:space="preserve">drwy gyfres o weithdai ymarferol, proses ddylunio dan arweiniad, a </w:t>
      </w:r>
      <w:r w:rsidR="000D6D98">
        <w:rPr>
          <w:rFonts w:ascii="Aptos" w:eastAsia="Aptos" w:hAnsi="Aptos" w:cs="Times New Roman"/>
          <w:sz w:val="22"/>
          <w:szCs w:val="22"/>
        </w:rPr>
        <w:t xml:space="preserve">hyfforddiant rhwng </w:t>
      </w:r>
      <w:r w:rsidRPr="004B7DE4">
        <w:rPr>
          <w:rFonts w:ascii="Aptos" w:eastAsia="Aptos" w:hAnsi="Aptos" w:cs="Times New Roman"/>
          <w:sz w:val="22"/>
          <w:szCs w:val="22"/>
        </w:rPr>
        <w:t>cyfoedion</w:t>
      </w:r>
      <w:r w:rsidR="000D6D98">
        <w:rPr>
          <w:rFonts w:ascii="Aptos" w:eastAsia="Aptos" w:hAnsi="Aptos" w:cs="Times New Roman"/>
          <w:sz w:val="22"/>
          <w:szCs w:val="22"/>
        </w:rPr>
        <w:t>.</w:t>
      </w:r>
      <w:r w:rsidRPr="004B7DE4">
        <w:rPr>
          <w:rFonts w:ascii="Aptos" w:eastAsia="Aptos" w:hAnsi="Aptos" w:cs="Times New Roman"/>
          <w:sz w:val="22"/>
          <w:szCs w:val="22"/>
        </w:rPr>
        <w:t xml:space="preserve"> Nod y gefnogaeth amlochrog hon yw meithrin ymdeimlad o hyder parhaus a</w:t>
      </w:r>
      <w:r w:rsidR="000D6D98">
        <w:rPr>
          <w:rFonts w:ascii="Aptos" w:eastAsia="Aptos" w:hAnsi="Aptos" w:cs="Times New Roman"/>
          <w:sz w:val="22"/>
          <w:szCs w:val="22"/>
        </w:rPr>
        <w:t xml:space="preserve"> </w:t>
      </w:r>
      <w:r w:rsidRPr="004B7DE4">
        <w:rPr>
          <w:rFonts w:ascii="Aptos" w:eastAsia="Aptos" w:hAnsi="Aptos" w:cs="Times New Roman"/>
          <w:sz w:val="22"/>
          <w:szCs w:val="22"/>
        </w:rPr>
        <w:t>meithrin cymuned adfywiol gefnogol.</w:t>
      </w:r>
    </w:p>
    <w:p w14:paraId="19C8A9A4" w14:textId="77777777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</w:p>
    <w:p w14:paraId="7E8BB7AE" w14:textId="6A0A61E5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>Un o brif amcanion a chanlyniadau disgwyliedig ffermio adfywiol yw gwella'r prosesau</w:t>
      </w:r>
      <w:r w:rsidR="000D6D98">
        <w:rPr>
          <w:rFonts w:ascii="Aptos" w:eastAsia="Aptos" w:hAnsi="Aptos" w:cs="Times New Roman"/>
          <w:sz w:val="22"/>
          <w:szCs w:val="22"/>
        </w:rPr>
        <w:t xml:space="preserve"> ecosystem</w:t>
      </w:r>
      <w:r w:rsidRPr="004B7DE4">
        <w:rPr>
          <w:rFonts w:ascii="Aptos" w:eastAsia="Aptos" w:hAnsi="Aptos" w:cs="Times New Roman"/>
          <w:sz w:val="22"/>
          <w:szCs w:val="22"/>
        </w:rPr>
        <w:t>, sy'n cynnwys iechyd pridd, swyddogaethau hydrolegol ar lefel y dirwedd, gwell</w:t>
      </w:r>
    </w:p>
    <w:p w14:paraId="51128A11" w14:textId="77777777" w:rsidR="004B7DE4" w:rsidRPr="004B7DE4" w:rsidRDefault="004B7DE4" w:rsidP="004B7DE4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 w:rsidRPr="004B7DE4">
        <w:rPr>
          <w:rFonts w:ascii="Aptos" w:eastAsia="Aptos" w:hAnsi="Aptos" w:cs="Times New Roman"/>
          <w:sz w:val="22"/>
          <w:szCs w:val="22"/>
        </w:rPr>
        <w:t>bioamrywiaeth mewn glaswelltiroedd a chynefinoedd cyffredinol, a chynhyrchiant cynradd cynyddol.</w:t>
      </w:r>
    </w:p>
    <w:p w14:paraId="4F4C68EC" w14:textId="2B8D5FB9" w:rsidR="008B7E73" w:rsidRDefault="00F90420" w:rsidP="00BD29D9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>Bydd pob fferm yn datblygu ei chynlluniau adfywio pwrpasol ei hun ar ôl cymryd rhan mewn amrywiaeth o sesiynau hyfforddi yn cynnwys hyfforddiant grŵp ar y safle, gweithdai, dysgu hunangyfeiriedig ar-lein, sesiynau hyfforddi grŵp ar-lein, hyfforddiant rhwng cyfoedion.</w:t>
      </w:r>
    </w:p>
    <w:p w14:paraId="52DA0FEC" w14:textId="77777777" w:rsidR="00BD29D9" w:rsidRPr="00BD29D9" w:rsidRDefault="00BD29D9" w:rsidP="00BD29D9">
      <w:pPr>
        <w:spacing w:after="0" w:line="256" w:lineRule="auto"/>
        <w:rPr>
          <w:rFonts w:ascii="Aptos" w:eastAsia="Aptos" w:hAnsi="Aptos" w:cs="Times New Roman"/>
          <w:sz w:val="22"/>
          <w:szCs w:val="22"/>
        </w:rPr>
      </w:pPr>
    </w:p>
    <w:p w14:paraId="416213F4" w14:textId="77777777" w:rsidR="008B7E73" w:rsidRPr="00BD29D9" w:rsidRDefault="008B7E73" w:rsidP="008B7E73">
      <w:pPr>
        <w:rPr>
          <w:sz w:val="22"/>
          <w:szCs w:val="22"/>
        </w:rPr>
      </w:pPr>
      <w:r w:rsidRPr="00BD29D9">
        <w:rPr>
          <w:sz w:val="22"/>
          <w:szCs w:val="22"/>
        </w:rPr>
        <w:t>Mae'r prosiect hwn wedi'i ariannu gan Gynllun Adnoddau Naturiol Integredig Llywodraeth Cymru. Cymeradwywyd y cyllid ym mis Chwefror 2026.</w:t>
      </w:r>
    </w:p>
    <w:p w14:paraId="6AA458E5" w14:textId="77777777" w:rsidR="008B7E73" w:rsidRPr="00BD29D9" w:rsidRDefault="008B7E73" w:rsidP="008B7E73">
      <w:pPr>
        <w:rPr>
          <w:sz w:val="22"/>
          <w:szCs w:val="22"/>
        </w:rPr>
      </w:pPr>
      <w:r w:rsidRPr="00BD29D9">
        <w:rPr>
          <w:sz w:val="22"/>
          <w:szCs w:val="22"/>
        </w:rPr>
        <w:t>Mae'r prosiect hwn i fod i ddechrau ym mis Ebrill 2026 gyda phroses recriwtio yn mynd rhagddi i gyflogi Swyddog Prosiect. Hyd yn hyn, dyddiad cwblhau'r prosiect yw Medi 2028, fodd bynnag, mae ymdrechion yn parhau i symud y dyddiad cwblhau i Fawrth 2029.</w:t>
      </w:r>
    </w:p>
    <w:p w14:paraId="2D27C215" w14:textId="17976AF6" w:rsidR="00374589" w:rsidRPr="00374589" w:rsidRDefault="00374589" w:rsidP="00374589">
      <w:pPr>
        <w:rPr>
          <w:sz w:val="22"/>
          <w:szCs w:val="22"/>
        </w:rPr>
      </w:pPr>
      <w:r w:rsidRPr="00374589">
        <w:rPr>
          <w:sz w:val="22"/>
          <w:szCs w:val="22"/>
        </w:rPr>
        <w:t>Bydd y Swyddog Prosiect yn gyfrifol am reoli'r gwaith</w:t>
      </w:r>
      <w:r w:rsidR="000D6D98">
        <w:rPr>
          <w:sz w:val="22"/>
          <w:szCs w:val="22"/>
        </w:rPr>
        <w:t xml:space="preserve"> </w:t>
      </w:r>
      <w:r w:rsidRPr="00374589">
        <w:rPr>
          <w:sz w:val="22"/>
          <w:szCs w:val="22"/>
        </w:rPr>
        <w:t>o gyflawni'r prosiect o ddydd i ddydd. Byddant yn gweithio'n agos gyda'r ymgynghorydd penodedig i gydlynu'r rhaglen hyfforddi</w:t>
      </w:r>
      <w:r w:rsidR="000D6D98">
        <w:rPr>
          <w:sz w:val="22"/>
          <w:szCs w:val="22"/>
        </w:rPr>
        <w:t>ant</w:t>
      </w:r>
      <w:r w:rsidRPr="00374589">
        <w:rPr>
          <w:sz w:val="22"/>
          <w:szCs w:val="22"/>
        </w:rPr>
        <w:t xml:space="preserve"> a chefnogi datblygiad cynlluniau rheoli ffermydd. Yn ogystal, bydd y Swyddog Prosiect yn goruchwylio rheoli contractau'r holl waith cyfalaf.</w:t>
      </w:r>
    </w:p>
    <w:p w14:paraId="4539A3C4" w14:textId="2856CC3A" w:rsidR="008B7E73" w:rsidRPr="00BD29D9" w:rsidRDefault="00374589">
      <w:pPr>
        <w:rPr>
          <w:sz w:val="22"/>
          <w:szCs w:val="22"/>
        </w:rPr>
      </w:pPr>
      <w:r w:rsidRPr="00374589">
        <w:rPr>
          <w:sz w:val="22"/>
          <w:szCs w:val="22"/>
        </w:rPr>
        <w:t>Mae'r prosiect hefyd yn bwriadu cydweithio â chwmni allanol i ddarparu mynediad at ap ar-lein i gefnogi ffermwyr sy'n cymryd rhan. Bydd y platfform hwn yn gweithredu fel canolfan ganolog ar gyfer arolygon sylfaenol, monitro iechyd pridd a chynllunio pori cylchdro yn y dyfodol.</w:t>
      </w:r>
    </w:p>
    <w:p w14:paraId="4FDD55F0" w14:textId="0D8D9D50" w:rsidR="00F7364B" w:rsidRPr="00BD29D9" w:rsidRDefault="008B7E73" w:rsidP="00BD29D9">
      <w:pPr>
        <w:pStyle w:val="Heading1"/>
      </w:pPr>
      <w:bookmarkStart w:id="2" w:name="_Toc224029542"/>
      <w:r w:rsidRPr="00BD29D9">
        <w:t>Y Gofyniad</w:t>
      </w:r>
      <w:bookmarkEnd w:id="2"/>
    </w:p>
    <w:p w14:paraId="1C34469F" w14:textId="615E087B" w:rsidR="00374589" w:rsidRPr="00BD29D9" w:rsidRDefault="00374589" w:rsidP="00374589">
      <w:pPr>
        <w:rPr>
          <w:sz w:val="22"/>
          <w:szCs w:val="22"/>
        </w:rPr>
      </w:pPr>
      <w:r w:rsidRPr="00BD29D9">
        <w:rPr>
          <w:sz w:val="22"/>
          <w:szCs w:val="22"/>
        </w:rPr>
        <w:t>Mae'r is-benawdau canlynol yn nodi'r gofynion ar gyfer darpar dendrwyr. Gall ymgeiswyr ddewis cyfl</w:t>
      </w:r>
      <w:r w:rsidR="000D6D98">
        <w:rPr>
          <w:sz w:val="22"/>
          <w:szCs w:val="22"/>
        </w:rPr>
        <w:t xml:space="preserve">awni </w:t>
      </w:r>
      <w:r w:rsidRPr="00BD29D9">
        <w:rPr>
          <w:sz w:val="22"/>
          <w:szCs w:val="22"/>
        </w:rPr>
        <w:t>elfennau o'r fanyleb mewn cydweithrediad â chydweithwyr, unigolion, neu sefydliadau partner. Mae hyn yn dderbyniol ar yr amod bod gan bob cydweithiwr yr arbenigedd a'r gallu angenrheidiol i gyflawni amcanion y prosiect. Lle cynigir cydweithio, rhaid i ymgeiswyr amlinellu'n glir</w:t>
      </w:r>
      <w:r w:rsidR="000D6D98">
        <w:rPr>
          <w:sz w:val="22"/>
          <w:szCs w:val="22"/>
        </w:rPr>
        <w:t xml:space="preserve"> beth yw</w:t>
      </w:r>
      <w:r w:rsidRPr="00BD29D9">
        <w:rPr>
          <w:sz w:val="22"/>
          <w:szCs w:val="22"/>
        </w:rPr>
        <w:t xml:space="preserve"> rolau, cyfrifoldebau a phrofiad perthnasol pob parti sy'n cyfrannu.</w:t>
      </w:r>
    </w:p>
    <w:p w14:paraId="20952120" w14:textId="5E4B18AD" w:rsidR="0034157D" w:rsidRPr="00BD29D9" w:rsidRDefault="0034157D" w:rsidP="002918F1">
      <w:pPr>
        <w:pStyle w:val="Heading2"/>
        <w:rPr>
          <w:sz w:val="28"/>
          <w:szCs w:val="28"/>
        </w:rPr>
      </w:pPr>
      <w:bookmarkStart w:id="3" w:name="_Toc224029543"/>
      <w:r w:rsidRPr="00BD29D9">
        <w:rPr>
          <w:sz w:val="28"/>
          <w:szCs w:val="28"/>
        </w:rPr>
        <w:t>Cyd-destun Pwysig</w:t>
      </w:r>
      <w:bookmarkEnd w:id="3"/>
    </w:p>
    <w:p w14:paraId="56B546E3" w14:textId="14993546" w:rsidR="00374589" w:rsidRPr="00BD29D9" w:rsidRDefault="00F90420" w:rsidP="00374589">
      <w:pPr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Mae 20 o ffermydd yn cymryd rhan yn y fenter hon. O'r rhain, mae 13 wedi ymrwymo i gyflawni holl elfennau'r prosiect, hyfforddiant, datblygu cynllun rheoli, a gwaith cyfalaf. Bydd y 7 fferm arall yn ymwneud â'r cydrannau hyfforddiant a datblygu'r cynllun yn unig.</w:t>
      </w:r>
    </w:p>
    <w:p w14:paraId="036D4D5B" w14:textId="2C46B665" w:rsidR="00374589" w:rsidRPr="00BD29D9" w:rsidRDefault="00374589" w:rsidP="00374589">
      <w:pPr>
        <w:rPr>
          <w:sz w:val="22"/>
          <w:szCs w:val="22"/>
        </w:rPr>
      </w:pPr>
      <w:r w:rsidRPr="00BD29D9">
        <w:rPr>
          <w:sz w:val="22"/>
          <w:szCs w:val="22"/>
        </w:rPr>
        <w:t>Gan fod y ffermydd sy'n cymryd rhan wedi'u lleoli o fewn dwy ardal ddaearyddol wahanol, bydd y rhaglen hyfforddi</w:t>
      </w:r>
      <w:r w:rsidR="000D6D98">
        <w:rPr>
          <w:sz w:val="22"/>
          <w:szCs w:val="22"/>
        </w:rPr>
        <w:t>ant</w:t>
      </w:r>
      <w:r w:rsidRPr="00BD29D9">
        <w:rPr>
          <w:sz w:val="22"/>
          <w:szCs w:val="22"/>
        </w:rPr>
        <w:t xml:space="preserve"> lawn a nodir yn yr adran ganlynol yn cael ei chyfl</w:t>
      </w:r>
      <w:r w:rsidR="00E27500">
        <w:rPr>
          <w:sz w:val="22"/>
          <w:szCs w:val="22"/>
        </w:rPr>
        <w:t xml:space="preserve">awni </w:t>
      </w:r>
      <w:r w:rsidRPr="00BD29D9">
        <w:rPr>
          <w:sz w:val="22"/>
          <w:szCs w:val="22"/>
        </w:rPr>
        <w:t>ddwywaith: unwaith yn Ysbyty Ifan ac unwaith yn Rhydymain</w:t>
      </w:r>
      <w:r w:rsidR="00A951DA">
        <w:rPr>
          <w:sz w:val="22"/>
          <w:szCs w:val="22"/>
        </w:rPr>
        <w:t>.</w:t>
      </w:r>
      <w:r w:rsidRPr="00BD29D9">
        <w:rPr>
          <w:sz w:val="22"/>
          <w:szCs w:val="22"/>
        </w:rPr>
        <w:t xml:space="preserve"> Bydd yr un dull </w:t>
      </w:r>
      <w:r w:rsidR="00E27500">
        <w:rPr>
          <w:sz w:val="22"/>
          <w:szCs w:val="22"/>
        </w:rPr>
        <w:t xml:space="preserve">gweithredu’n </w:t>
      </w:r>
      <w:r w:rsidRPr="00BD29D9">
        <w:rPr>
          <w:sz w:val="22"/>
          <w:szCs w:val="22"/>
        </w:rPr>
        <w:t>berthnasol i'r gefnogaeth barhaus a ddisgrifir yn ddiweddarach yn y ddogfen hon.</w:t>
      </w:r>
    </w:p>
    <w:p w14:paraId="4E8C7AEF" w14:textId="2542B247" w:rsidR="00C94171" w:rsidRPr="00BD29D9" w:rsidRDefault="006F64D3" w:rsidP="006F64D3">
      <w:pPr>
        <w:pStyle w:val="Heading2"/>
        <w:rPr>
          <w:sz w:val="28"/>
          <w:szCs w:val="28"/>
        </w:rPr>
      </w:pPr>
      <w:bookmarkStart w:id="4" w:name="_Toc224029544"/>
      <w:r w:rsidRPr="00BD29D9">
        <w:rPr>
          <w:sz w:val="28"/>
          <w:szCs w:val="28"/>
        </w:rPr>
        <w:t>Rhaglen Hyfforddi</w:t>
      </w:r>
      <w:bookmarkEnd w:id="4"/>
      <w:r w:rsidR="00E27500">
        <w:rPr>
          <w:sz w:val="28"/>
          <w:szCs w:val="28"/>
        </w:rPr>
        <w:t>ant</w:t>
      </w:r>
      <w:r w:rsidRPr="00BD29D9">
        <w:rPr>
          <w:sz w:val="28"/>
          <w:szCs w:val="28"/>
        </w:rPr>
        <w:t xml:space="preserve">  </w:t>
      </w:r>
    </w:p>
    <w:p w14:paraId="7C73D7C2" w14:textId="73DF60FC" w:rsidR="00374589" w:rsidRPr="00BD29D9" w:rsidRDefault="00374589" w:rsidP="00374589">
      <w:pPr>
        <w:rPr>
          <w:sz w:val="22"/>
          <w:szCs w:val="22"/>
        </w:rPr>
      </w:pPr>
      <w:r w:rsidRPr="00BD29D9">
        <w:rPr>
          <w:sz w:val="22"/>
          <w:szCs w:val="22"/>
        </w:rPr>
        <w:t>Elfen graidd o'r prosiect hwn yw rhoi dealltwriaeth glir i ffermwyr o beth yw ffermio adfywiol, yr egwyddorion sy'n sail iddo, a sut y gellir cymhwyso'r egwyddorion hyn o fewn eu cyd-destunau fferm unigryw eu hunain. Mae cyfranogiad llawn yn y rhaglen hyfforddi yn orfodol i'r 13 fferm sy'n cymryd rhan ym mhob elfen o'r prosiect (gan gynnwys gwaith cyfalaf). Bydd y rhaglen yn cynnwys y gweithdai canlynol:</w:t>
      </w:r>
    </w:p>
    <w:p w14:paraId="03292CA2" w14:textId="778362C1" w:rsidR="00374589" w:rsidRPr="00374589" w:rsidRDefault="00E27500" w:rsidP="0037458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74589">
        <w:rPr>
          <w:b/>
          <w:bCs/>
          <w:sz w:val="22"/>
          <w:szCs w:val="22"/>
        </w:rPr>
        <w:t xml:space="preserve">Cyd-destun </w:t>
      </w:r>
      <w:r w:rsidR="00374589" w:rsidRPr="00374589">
        <w:rPr>
          <w:b/>
          <w:bCs/>
          <w:sz w:val="22"/>
          <w:szCs w:val="22"/>
        </w:rPr>
        <w:t xml:space="preserve">Gweithdy Datblygu </w:t>
      </w:r>
      <w:r w:rsidR="00374589" w:rsidRPr="00374589">
        <w:rPr>
          <w:sz w:val="22"/>
          <w:szCs w:val="22"/>
        </w:rPr>
        <w:br/>
        <w:t>Bydd y gweithdy hwn yn cyflwyno egwyddorion ffermio adfywiol i ffermwyr ac yn egluro eu perthnasedd a'u pwysigrwydd. Bydd y sesiwn yn cyfuno dysgu yn yr ystafell ddosbarth â gweithgareddau ymarferol yn y maes.</w:t>
      </w:r>
    </w:p>
    <w:p w14:paraId="5DA1FFC4" w14:textId="5803A5B2" w:rsidR="00374589" w:rsidRPr="00374589" w:rsidRDefault="00374589" w:rsidP="0037458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74589">
        <w:rPr>
          <w:b/>
          <w:bCs/>
          <w:sz w:val="22"/>
          <w:szCs w:val="22"/>
        </w:rPr>
        <w:lastRenderedPageBreak/>
        <w:t xml:space="preserve">Gweithdy Cynllun Pori </w:t>
      </w:r>
      <w:r w:rsidRPr="00374589">
        <w:rPr>
          <w:sz w:val="22"/>
          <w:szCs w:val="22"/>
        </w:rPr>
        <w:br/>
        <w:t xml:space="preserve">Bydd y gweithdy hwn yn darparu dealltwriaeth fanwl o sut mae systemau pori yn gweithredu o fewn dull </w:t>
      </w:r>
      <w:r w:rsidR="00E27500">
        <w:rPr>
          <w:sz w:val="22"/>
          <w:szCs w:val="22"/>
        </w:rPr>
        <w:t xml:space="preserve">gweithredu </w:t>
      </w:r>
      <w:r w:rsidRPr="00374589">
        <w:rPr>
          <w:sz w:val="22"/>
          <w:szCs w:val="22"/>
        </w:rPr>
        <w:t xml:space="preserve">adfywiol. Bydd ffermwyr yn cael eu dysgu </w:t>
      </w:r>
      <w:r w:rsidR="00E27500">
        <w:rPr>
          <w:sz w:val="22"/>
          <w:szCs w:val="22"/>
        </w:rPr>
        <w:t xml:space="preserve">am </w:t>
      </w:r>
      <w:r w:rsidRPr="00374589">
        <w:rPr>
          <w:sz w:val="22"/>
          <w:szCs w:val="22"/>
        </w:rPr>
        <w:t>egwyddorion pori cylchdro</w:t>
      </w:r>
      <w:r w:rsidR="00E27500">
        <w:rPr>
          <w:sz w:val="22"/>
          <w:szCs w:val="22"/>
        </w:rPr>
        <w:t>adol</w:t>
      </w:r>
      <w:r w:rsidRPr="00374589">
        <w:rPr>
          <w:sz w:val="22"/>
          <w:szCs w:val="22"/>
        </w:rPr>
        <w:t xml:space="preserve">, </w:t>
      </w:r>
      <w:r w:rsidR="00E27500">
        <w:rPr>
          <w:sz w:val="22"/>
          <w:szCs w:val="22"/>
        </w:rPr>
        <w:t xml:space="preserve">pori </w:t>
      </w:r>
      <w:r w:rsidRPr="00374589">
        <w:rPr>
          <w:sz w:val="22"/>
          <w:szCs w:val="22"/>
        </w:rPr>
        <w:t>gorffwys hir a'r manteision economaidd ac amgylcheddol cysylltiedig. Bydd y cyflwyniad yn cynnwys elfennau yn yr ystafell ddosbarth ac yn y maes.</w:t>
      </w:r>
    </w:p>
    <w:p w14:paraId="2ADDF5E5" w14:textId="77777777" w:rsidR="00374589" w:rsidRPr="00374589" w:rsidRDefault="00374589" w:rsidP="0037458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74589">
        <w:rPr>
          <w:b/>
          <w:bCs/>
          <w:sz w:val="22"/>
          <w:szCs w:val="22"/>
        </w:rPr>
        <w:t xml:space="preserve">Gweithdy Cynllunio Iechyd </w:t>
      </w:r>
      <w:r w:rsidRPr="00374589">
        <w:rPr>
          <w:sz w:val="22"/>
          <w:szCs w:val="22"/>
        </w:rPr>
        <w:br/>
        <w:t>Bydd y sesiwn hon yn canolbwyntio ar ddatblygu gwell dealltwriaeth o gynllunio iechyd da byw rhagweithiol. Nod allweddol y prosiect yw lleihau dibyniaeth ar feddyginiaethau milfeddygol. Gwahoddir milfeddygon lleol sy'n cynrychioli ffermydd sy'n cymryd rhan i gyfrannu, gan feithrin trafodaeth gynhwysol a gwybodus ynghylch iechyd da byw o fewn system adfywiol.</w:t>
      </w:r>
    </w:p>
    <w:p w14:paraId="202F2E0E" w14:textId="1CFE5C41" w:rsidR="00374589" w:rsidRPr="00374589" w:rsidRDefault="00F90420" w:rsidP="0037458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rFonts w:ascii="Aptos" w:hAnsi="Aptos" w:cs="Aptos"/>
          <w:b/>
          <w:bCs/>
          <w:sz w:val="22"/>
          <w:szCs w:val="22"/>
        </w:rPr>
        <w:t xml:space="preserve">Gweithdy Asesiad Sylfaenol a Monitro Prosesau Ecosystemau </w:t>
      </w:r>
      <w:r>
        <w:rPr>
          <w:rFonts w:ascii="Aptos" w:hAnsi="Aptos" w:cs="Aptos"/>
          <w:sz w:val="22"/>
          <w:szCs w:val="22"/>
        </w:rPr>
        <w:br/>
        <w:t>Bydd y gweithdy hwn yn dysgu ffermwyr sut i fesur a monitro effeithiau newidiadau a weithredir ar eu ffermydd. Bydd y gweithgareddau'n cynnwys asesiadau gweledol, samplu pridd, cyfrif pryfed genwair a chynnal profion ymdreiddio. Bydd gan ffermwyr fynediad hefyd at ap ar gyfer cofnodi ac olrhain y mesuriadau hyn, a disgwylir i'r ymgynghorydd esbonio pwysigrwydd yr offer digidol hwn ar gyfer monitro cynnydd a chefnogi gwneud penderfyniadau.</w:t>
      </w:r>
    </w:p>
    <w:p w14:paraId="1CF45A19" w14:textId="77777777" w:rsidR="00396E0F" w:rsidRPr="00BD29D9" w:rsidRDefault="00396E0F" w:rsidP="00E16AC8">
      <w:pPr>
        <w:pStyle w:val="ListParagraph"/>
        <w:ind w:left="770"/>
        <w:rPr>
          <w:sz w:val="22"/>
          <w:szCs w:val="22"/>
        </w:rPr>
      </w:pPr>
    </w:p>
    <w:p w14:paraId="4869294D" w14:textId="1F905406" w:rsidR="00E16AC8" w:rsidRPr="00BD29D9" w:rsidRDefault="00E16AC8" w:rsidP="00E16AC8">
      <w:pPr>
        <w:pStyle w:val="Heading2"/>
        <w:rPr>
          <w:sz w:val="28"/>
          <w:szCs w:val="28"/>
        </w:rPr>
      </w:pPr>
      <w:bookmarkStart w:id="5" w:name="_Toc224029545"/>
      <w:r w:rsidRPr="00BD29D9">
        <w:rPr>
          <w:sz w:val="28"/>
          <w:szCs w:val="28"/>
        </w:rPr>
        <w:t>Datblygu Cynllun.</w:t>
      </w:r>
      <w:bookmarkEnd w:id="5"/>
      <w:r w:rsidRPr="00BD29D9">
        <w:rPr>
          <w:sz w:val="28"/>
          <w:szCs w:val="28"/>
        </w:rPr>
        <w:t xml:space="preserve"> </w:t>
      </w:r>
    </w:p>
    <w:p w14:paraId="5957D4DE" w14:textId="496BB216" w:rsidR="00374589" w:rsidRPr="00374589" w:rsidRDefault="00374589" w:rsidP="00374589">
      <w:pPr>
        <w:rPr>
          <w:sz w:val="22"/>
          <w:szCs w:val="22"/>
        </w:rPr>
      </w:pPr>
      <w:r w:rsidRPr="00374589">
        <w:rPr>
          <w:sz w:val="22"/>
          <w:szCs w:val="22"/>
        </w:rPr>
        <w:t xml:space="preserve">Ar ôl cwblhau'r rhaglen hyfforddi, bydd pob fferm yn derbyn cynllun ffermio adfywiol pwrpasol wedi'i deilwra i'w chyd-destun penodol. Ynghyd â'r wybodaeth a geir drwy </w:t>
      </w:r>
      <w:r w:rsidR="00C64511">
        <w:rPr>
          <w:sz w:val="22"/>
          <w:szCs w:val="22"/>
        </w:rPr>
        <w:t xml:space="preserve">gyfrwng yr </w:t>
      </w:r>
      <w:r w:rsidRPr="00374589">
        <w:rPr>
          <w:sz w:val="22"/>
          <w:szCs w:val="22"/>
        </w:rPr>
        <w:t>hyfforddiant, bydd y cynllun rheoli fferm gyfan hwn yn galluogi ffermwyr i wneud penderfyniadau gwybodus sy'n cyd-fynd â'u hamgylchiadau amgylcheddol, cymdeithasol ac economaidd.</w:t>
      </w:r>
    </w:p>
    <w:p w14:paraId="198E373F" w14:textId="0E19C853" w:rsidR="00374589" w:rsidRPr="00374589" w:rsidRDefault="00374589" w:rsidP="00374589">
      <w:pPr>
        <w:rPr>
          <w:sz w:val="22"/>
          <w:szCs w:val="22"/>
        </w:rPr>
      </w:pPr>
      <w:r w:rsidRPr="00374589">
        <w:rPr>
          <w:sz w:val="22"/>
          <w:szCs w:val="22"/>
        </w:rPr>
        <w:t xml:space="preserve">Bydd datblygu cynlluniau yn rhan ganolog o'r prosiect, gyda phob cynllun yn </w:t>
      </w:r>
      <w:r w:rsidR="00C64511">
        <w:rPr>
          <w:sz w:val="22"/>
          <w:szCs w:val="22"/>
        </w:rPr>
        <w:t xml:space="preserve">bwydo gwybodaeth yn uniongyrchol i mewn i’r </w:t>
      </w:r>
      <w:r w:rsidRPr="00374589">
        <w:rPr>
          <w:sz w:val="22"/>
          <w:szCs w:val="22"/>
        </w:rPr>
        <w:t xml:space="preserve">gwaith cyfalaf </w:t>
      </w:r>
      <w:r w:rsidR="00C64511">
        <w:rPr>
          <w:sz w:val="22"/>
          <w:szCs w:val="22"/>
        </w:rPr>
        <w:t xml:space="preserve">sydd </w:t>
      </w:r>
      <w:r w:rsidRPr="00374589">
        <w:rPr>
          <w:sz w:val="22"/>
          <w:szCs w:val="22"/>
        </w:rPr>
        <w:t>i'w gyflawni ar ffermydd sy'n cymryd rhan. Er mwyn sicrhau llwyddiant hirdymor a mabwysiadu'r cynlluniau</w:t>
      </w:r>
      <w:r w:rsidR="00C64511">
        <w:rPr>
          <w:sz w:val="22"/>
          <w:szCs w:val="22"/>
        </w:rPr>
        <w:t xml:space="preserve"> o ddifri calon</w:t>
      </w:r>
      <w:r w:rsidRPr="00374589">
        <w:rPr>
          <w:sz w:val="22"/>
          <w:szCs w:val="22"/>
        </w:rPr>
        <w:t>, mae'n hanfodol bod ffermwyr yn cymryd rhan weithredol drwy gydol y broses o ddatblygu cynlluniau.</w:t>
      </w:r>
    </w:p>
    <w:p w14:paraId="7294A651" w14:textId="5713DAED" w:rsidR="008B7E73" w:rsidRPr="00BD29D9" w:rsidRDefault="008B7E73" w:rsidP="006C037C">
      <w:pPr>
        <w:rPr>
          <w:b/>
          <w:bCs/>
          <w:sz w:val="22"/>
          <w:szCs w:val="22"/>
          <w:u w:val="single"/>
        </w:rPr>
      </w:pPr>
      <w:r w:rsidRPr="00BD29D9">
        <w:rPr>
          <w:b/>
          <w:bCs/>
          <w:sz w:val="22"/>
          <w:szCs w:val="22"/>
          <w:u w:val="single"/>
        </w:rPr>
        <w:t>Rhaid i gynlluniau gynnwys:</w:t>
      </w:r>
    </w:p>
    <w:p w14:paraId="2E9A05C4" w14:textId="6A7C2319" w:rsidR="00642E92" w:rsidRPr="00BD29D9" w:rsidRDefault="00642E92" w:rsidP="008911C6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 w:rsidRPr="00BD29D9">
        <w:rPr>
          <w:sz w:val="22"/>
          <w:szCs w:val="22"/>
        </w:rPr>
        <w:t>Cyd-destun Adfywiol: Dogfen weledigaeth gyffredinol sy'n crynhoi agweddau cymdeithasol, amgylcheddol ac economaidd unigryw pob gweithrediad fferm.</w:t>
      </w:r>
    </w:p>
    <w:p w14:paraId="2492F684" w14:textId="7C5AEEA4" w:rsidR="00642E92" w:rsidRPr="00BD29D9" w:rsidRDefault="00642E92" w:rsidP="00642E92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 w:rsidRPr="00BD29D9">
        <w:rPr>
          <w:sz w:val="22"/>
          <w:szCs w:val="22"/>
        </w:rPr>
        <w:t>Cynlluniau Pori Adfywiol: Cynlluniau tymhorol a gynlluniwyd i drefnu pori, effaith anifeiliaid, a gorffwys mewn modd sy'n cyflawni canlyniadau adfywiol dymunol yn y cyd-destun.</w:t>
      </w:r>
    </w:p>
    <w:p w14:paraId="1D4890AC" w14:textId="26704177" w:rsidR="008911C6" w:rsidRPr="00BD29D9" w:rsidRDefault="00642E92" w:rsidP="008911C6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 w:rsidRPr="00BD29D9">
        <w:rPr>
          <w:sz w:val="22"/>
          <w:szCs w:val="22"/>
        </w:rPr>
        <w:t>Cynlluniau Iechyd Da Byw: Strategaethau rhagweithiol ar gyfer atal clefydau a lleihau ymyriadau sy'n niweidiol i'r amgylchedd trwy ddetholiad genetig a phroses gwneud penderfyniadau 'baner goch'.</w:t>
      </w:r>
    </w:p>
    <w:p w14:paraId="10FB1F81" w14:textId="77777777" w:rsidR="00642E92" w:rsidRPr="00BD29D9" w:rsidRDefault="00642E92" w:rsidP="00642E92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 w:rsidRPr="00BD29D9">
        <w:rPr>
          <w:sz w:val="22"/>
          <w:szCs w:val="22"/>
        </w:rPr>
        <w:t>Sylfaen Canlyniadau Adfywiol: Sefydlu sylfaen ar gyfer mesur llwyddiant.</w:t>
      </w:r>
    </w:p>
    <w:p w14:paraId="0F34C9CC" w14:textId="0DCC7C45" w:rsidR="00642E92" w:rsidRDefault="00BD29D9" w:rsidP="00642E92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Cynllun Buddsoddi a Gweithredu Blynyddol Gwaith Cyfalaf Fferm – Bydd y cynllun yn cael ei ariannu drwy elfen gwaith cyfalaf y prosiect hwn.</w:t>
      </w:r>
    </w:p>
    <w:p w14:paraId="2C845C6B" w14:textId="77777777" w:rsidR="00BD29D9" w:rsidRDefault="00BD29D9" w:rsidP="00BD29D9">
      <w:pPr>
        <w:pStyle w:val="ListParagraph"/>
        <w:spacing w:after="0" w:line="259" w:lineRule="auto"/>
        <w:ind w:left="1080"/>
        <w:rPr>
          <w:sz w:val="22"/>
          <w:szCs w:val="22"/>
        </w:rPr>
      </w:pPr>
    </w:p>
    <w:p w14:paraId="0576607A" w14:textId="29A7DF18" w:rsidR="00BD29D9" w:rsidRDefault="00BD29D9" w:rsidP="00BD29D9">
      <w:pPr>
        <w:pStyle w:val="ListParagraph"/>
        <w:spacing w:after="0" w:line="259" w:lineRule="auto"/>
        <w:ind w:left="1080"/>
        <w:rPr>
          <w:sz w:val="22"/>
          <w:szCs w:val="22"/>
        </w:rPr>
      </w:pPr>
      <w:r>
        <w:rPr>
          <w:sz w:val="22"/>
          <w:szCs w:val="22"/>
        </w:rPr>
        <w:t>A</w:t>
      </w:r>
      <w:r w:rsidR="00F45E4C">
        <w:rPr>
          <w:sz w:val="22"/>
          <w:szCs w:val="22"/>
        </w:rPr>
        <w:t>c fe f</w:t>
      </w:r>
      <w:r w:rsidR="00C64511">
        <w:rPr>
          <w:sz w:val="22"/>
          <w:szCs w:val="22"/>
        </w:rPr>
        <w:t>ydd</w:t>
      </w:r>
      <w:r>
        <w:rPr>
          <w:sz w:val="22"/>
          <w:szCs w:val="22"/>
        </w:rPr>
        <w:t>…</w:t>
      </w:r>
    </w:p>
    <w:p w14:paraId="25288A39" w14:textId="77777777" w:rsidR="00BD29D9" w:rsidRPr="00BD29D9" w:rsidRDefault="00BD29D9" w:rsidP="00BD29D9">
      <w:pPr>
        <w:pStyle w:val="ListParagraph"/>
        <w:spacing w:after="0" w:line="259" w:lineRule="auto"/>
        <w:ind w:left="1080"/>
        <w:rPr>
          <w:sz w:val="22"/>
          <w:szCs w:val="22"/>
        </w:rPr>
      </w:pPr>
    </w:p>
    <w:p w14:paraId="5CDBCC86" w14:textId="56CFCD3D" w:rsidR="00642E92" w:rsidRPr="00BD29D9" w:rsidRDefault="00C64511" w:rsidP="00642E92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Y c</w:t>
      </w:r>
      <w:r w:rsidR="00BD29D9">
        <w:rPr>
          <w:sz w:val="22"/>
          <w:szCs w:val="22"/>
        </w:rPr>
        <w:t xml:space="preserve">ynllun </w:t>
      </w:r>
      <w:r>
        <w:rPr>
          <w:sz w:val="22"/>
          <w:szCs w:val="22"/>
        </w:rPr>
        <w:t xml:space="preserve">yn </w:t>
      </w:r>
      <w:r w:rsidR="00BD29D9">
        <w:rPr>
          <w:sz w:val="22"/>
          <w:szCs w:val="22"/>
        </w:rPr>
        <w:t xml:space="preserve">hawdd ei gyrchu trwy sawl cyfrwng </w:t>
      </w:r>
      <w:r w:rsidR="00F45E4C">
        <w:rPr>
          <w:sz w:val="22"/>
          <w:szCs w:val="22"/>
        </w:rPr>
        <w:t>ac yn cynnwys m</w:t>
      </w:r>
      <w:r w:rsidR="00BD29D9">
        <w:rPr>
          <w:sz w:val="22"/>
          <w:szCs w:val="22"/>
        </w:rPr>
        <w:t>apio manwl a chywir. (ap, copi caled, ar-lein)</w:t>
      </w:r>
    </w:p>
    <w:p w14:paraId="43E7E8A2" w14:textId="3647360A" w:rsidR="00642E92" w:rsidRPr="00BD29D9" w:rsidRDefault="00F45E4C" w:rsidP="00642E92">
      <w:pPr>
        <w:pStyle w:val="ListParagraph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Defnyddir </w:t>
      </w:r>
      <w:r w:rsidR="00642E92" w:rsidRPr="00BD29D9">
        <w:rPr>
          <w:sz w:val="22"/>
          <w:szCs w:val="22"/>
        </w:rPr>
        <w:t xml:space="preserve">dull cydweithredol gyda ffermwyr – </w:t>
      </w:r>
      <w:r>
        <w:rPr>
          <w:sz w:val="22"/>
          <w:szCs w:val="22"/>
        </w:rPr>
        <w:t>Ac yn cynnwys o</w:t>
      </w:r>
      <w:r w:rsidR="00642E92" w:rsidRPr="00BD29D9">
        <w:rPr>
          <w:sz w:val="22"/>
          <w:szCs w:val="22"/>
        </w:rPr>
        <w:t xml:space="preserve"> leiaf un ymweliad fferm diwrnod llawn gyda phob fferm i ddatblygu’r cynllun.</w:t>
      </w:r>
    </w:p>
    <w:p w14:paraId="6CFDE793" w14:textId="609F8DB1" w:rsidR="008911C6" w:rsidRPr="00BD29D9" w:rsidRDefault="008911C6" w:rsidP="008911C6">
      <w:pPr>
        <w:spacing w:after="0" w:line="259" w:lineRule="auto"/>
        <w:rPr>
          <w:sz w:val="22"/>
          <w:szCs w:val="22"/>
        </w:rPr>
      </w:pPr>
    </w:p>
    <w:p w14:paraId="68BF75E7" w14:textId="0D3FC462" w:rsidR="00642E92" w:rsidRPr="00BD29D9" w:rsidRDefault="00F90420" w:rsidP="006C037C">
      <w:pPr>
        <w:pStyle w:val="Heading2"/>
        <w:rPr>
          <w:sz w:val="28"/>
          <w:szCs w:val="28"/>
        </w:rPr>
      </w:pPr>
      <w:r w:rsidRPr="00F90420">
        <w:rPr>
          <w:rFonts w:ascii="Aptos Display" w:hAnsi="Aptos Display" w:cs="Aptos"/>
          <w:sz w:val="28"/>
          <w:szCs w:val="28"/>
        </w:rPr>
        <w:t>Cefnogaeth barhaus</w:t>
      </w:r>
    </w:p>
    <w:p w14:paraId="2A9CE376" w14:textId="214DBF0D" w:rsidR="00374589" w:rsidRPr="00BD29D9" w:rsidRDefault="00374589" w:rsidP="00374589">
      <w:pPr>
        <w:rPr>
          <w:sz w:val="22"/>
          <w:szCs w:val="22"/>
        </w:rPr>
      </w:pPr>
      <w:r w:rsidRPr="00BD29D9">
        <w:rPr>
          <w:sz w:val="22"/>
          <w:szCs w:val="22"/>
        </w:rPr>
        <w:t xml:space="preserve">Er mwyn sicrhau bod ffermwyr yn teimlo eu bod yn cael eu cefnogi drwy gydol y broses, bydd darpariaethau'n cael eu gwneud ar gyfer </w:t>
      </w:r>
      <w:r w:rsidR="00AB43C7">
        <w:rPr>
          <w:sz w:val="22"/>
          <w:szCs w:val="22"/>
        </w:rPr>
        <w:t>cynnig cefnogaeth b</w:t>
      </w:r>
      <w:r w:rsidRPr="00BD29D9">
        <w:rPr>
          <w:sz w:val="22"/>
          <w:szCs w:val="22"/>
        </w:rPr>
        <w:t>arhaus. Bydd hyn yn cynnwys:</w:t>
      </w:r>
    </w:p>
    <w:p w14:paraId="5FCEECD3" w14:textId="377F8DF8" w:rsidR="00374589" w:rsidRPr="00BD29D9" w:rsidRDefault="00374589" w:rsidP="00374589">
      <w:pPr>
        <w:rPr>
          <w:sz w:val="22"/>
          <w:szCs w:val="22"/>
        </w:rPr>
      </w:pPr>
      <w:r w:rsidRPr="00BD29D9">
        <w:rPr>
          <w:b/>
          <w:bCs/>
          <w:sz w:val="22"/>
          <w:szCs w:val="22"/>
        </w:rPr>
        <w:t xml:space="preserve">Clinigau Hyfforddi Ar-lein Misol </w:t>
      </w:r>
      <w:r w:rsidRPr="00BD29D9">
        <w:rPr>
          <w:sz w:val="22"/>
          <w:szCs w:val="22"/>
        </w:rPr>
        <w:br/>
        <w:t xml:space="preserve">Cynigir clinigau galw heibio awr </w:t>
      </w:r>
      <w:r w:rsidR="00AB43C7">
        <w:rPr>
          <w:sz w:val="22"/>
          <w:szCs w:val="22"/>
        </w:rPr>
        <w:t xml:space="preserve">o hyd </w:t>
      </w:r>
      <w:r w:rsidRPr="00BD29D9">
        <w:rPr>
          <w:sz w:val="22"/>
          <w:szCs w:val="22"/>
        </w:rPr>
        <w:t xml:space="preserve">bob mis </w:t>
      </w:r>
      <w:r w:rsidR="004A7373">
        <w:rPr>
          <w:sz w:val="22"/>
          <w:szCs w:val="22"/>
        </w:rPr>
        <w:t xml:space="preserve">o </w:t>
      </w:r>
      <w:r w:rsidR="00AB43C7">
        <w:rPr>
          <w:sz w:val="22"/>
          <w:szCs w:val="22"/>
        </w:rPr>
        <w:t xml:space="preserve">adeg </w:t>
      </w:r>
      <w:r w:rsidR="004A7373">
        <w:rPr>
          <w:sz w:val="22"/>
          <w:szCs w:val="22"/>
        </w:rPr>
        <w:t>datblyg</w:t>
      </w:r>
      <w:r w:rsidR="00AB43C7">
        <w:rPr>
          <w:sz w:val="22"/>
          <w:szCs w:val="22"/>
        </w:rPr>
        <w:t xml:space="preserve">u’r </w:t>
      </w:r>
      <w:r w:rsidR="004A7373">
        <w:rPr>
          <w:sz w:val="22"/>
          <w:szCs w:val="22"/>
        </w:rPr>
        <w:t>cynlluniau hyd at ddiwedd y prosiect (Mawrth 2029), gan roi cyfle i ffermwyr drafod unrhyw heriau, pryderon neu lwyddiannau y gallent fod yn eu profi. Mae cymryd rhan yn y sesiynau hyn yn ddewisol, yn wahanol i elfennau gorfodol eraill y prosiect.</w:t>
      </w:r>
    </w:p>
    <w:p w14:paraId="7C4C6629" w14:textId="7C8A6905" w:rsidR="00CA57DF" w:rsidRDefault="00374589" w:rsidP="00CA57DF">
      <w:pPr>
        <w:rPr>
          <w:sz w:val="22"/>
          <w:szCs w:val="22"/>
        </w:rPr>
      </w:pPr>
      <w:r w:rsidRPr="00BD29D9">
        <w:rPr>
          <w:sz w:val="22"/>
          <w:szCs w:val="22"/>
        </w:rPr>
        <w:t xml:space="preserve">Wrth i'r prosiect fynd rhagddo a ffermwyr yn dechrau gweithredu newidiadau ar eu ffermydd, bydd y sesiynau hyn yn trawsnewid yn raddol yn gyfleoedd dysgu rhwng cyfoedion. Byddant yn cael eu hwyluso gan staff </w:t>
      </w:r>
      <w:r w:rsidR="00AB10F3">
        <w:rPr>
          <w:sz w:val="22"/>
          <w:szCs w:val="22"/>
        </w:rPr>
        <w:t>APCE</w:t>
      </w:r>
      <w:r w:rsidRPr="00BD29D9">
        <w:rPr>
          <w:sz w:val="22"/>
          <w:szCs w:val="22"/>
        </w:rPr>
        <w:t xml:space="preserve"> gyda chefnogaeth yr ymgynghorydd penodedig, gan helpu i gryfhau dysgu a rennir ac adeiladu cymuned ffermio adfywiol </w:t>
      </w:r>
      <w:r w:rsidR="00AB43C7">
        <w:rPr>
          <w:sz w:val="22"/>
          <w:szCs w:val="22"/>
        </w:rPr>
        <w:t>gadarn</w:t>
      </w:r>
      <w:r w:rsidRPr="00BD29D9">
        <w:rPr>
          <w:sz w:val="22"/>
          <w:szCs w:val="22"/>
        </w:rPr>
        <w:t>.</w:t>
      </w:r>
    </w:p>
    <w:p w14:paraId="4BC1B6A5" w14:textId="4614FC3E" w:rsidR="0038586D" w:rsidRDefault="00CA57DF" w:rsidP="00CA57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E7222C" w14:textId="5BDCECCD" w:rsidR="0038586D" w:rsidRDefault="00DA5F7A" w:rsidP="0038586D">
      <w:pPr>
        <w:pStyle w:val="Heading1"/>
      </w:pPr>
      <w:bookmarkStart w:id="6" w:name="_Toc224029547"/>
      <w:r>
        <w:lastRenderedPageBreak/>
        <w:t>Sgorio a Dyfarnu Contract</w:t>
      </w:r>
      <w:bookmarkEnd w:id="6"/>
    </w:p>
    <w:p w14:paraId="720274E7" w14:textId="5BF37FA7" w:rsidR="00101E05" w:rsidRPr="00101E05" w:rsidRDefault="00DA5F7A" w:rsidP="00101E05">
      <w:r w:rsidRPr="00101E05">
        <w:t xml:space="preserve">Bydd tendrau’n cael eu sgorio’n annibynnol gan banel sy’n cynnwys o leiaf dri aelod o staff sy’n gysylltiedig â’r </w:t>
      </w:r>
      <w:r w:rsidR="00AB43C7">
        <w:t>CANI</w:t>
      </w:r>
      <w:r w:rsidRPr="00101E05">
        <w:t xml:space="preserve"> Ffermio </w:t>
      </w:r>
      <w:r>
        <w:t>Adfywiol gan ddefnyddio’r matrics sgorio a’r meini prawf ansawdd fel y dangosir yn y tabl isod: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159"/>
      </w:tblGrid>
      <w:tr w:rsidR="0038586D" w:rsidRPr="0038586D" w14:paraId="7642A6FF" w14:textId="77777777" w:rsidTr="00502BD9">
        <w:trPr>
          <w:trHeight w:val="599"/>
        </w:trPr>
        <w:tc>
          <w:tcPr>
            <w:tcW w:w="7905" w:type="dxa"/>
          </w:tcPr>
          <w:p w14:paraId="5451FC3D" w14:textId="1FF367B5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 xml:space="preserve">Gallu i ddangos profiad blaenorol o gyflwyno hyfforddiant tebyg </w:t>
            </w:r>
            <w:r w:rsidRPr="00BC5DB4">
              <w:rPr>
                <w:b/>
                <w:bCs/>
                <w:sz w:val="22"/>
                <w:szCs w:val="22"/>
              </w:rPr>
              <w:t xml:space="preserve">fel yr amlinellir o dan 'y gofyniad' </w:t>
            </w:r>
            <w:r>
              <w:rPr>
                <w:sz w:val="22"/>
                <w:szCs w:val="22"/>
              </w:rPr>
              <w:t xml:space="preserve">gyda phrofiad o ddatblygu cynlluniau adfywiol i ffermwyr a chynnal perthynas fel mentor. Gallai hyn fod trwy dystiolaeth o weithdai blaenorol yn dysgu meini prawf tebyg, deunydd a ddatblygwyd ar gyfer dysgu a </w:t>
            </w:r>
            <w:r w:rsidR="00AB43C7">
              <w:rPr>
                <w:sz w:val="22"/>
                <w:szCs w:val="22"/>
              </w:rPr>
              <w:t xml:space="preserve">geirdaon yn seiliedig ar </w:t>
            </w:r>
            <w:r>
              <w:rPr>
                <w:sz w:val="22"/>
                <w:szCs w:val="22"/>
              </w:rPr>
              <w:t>waith tebyg blaenorol. Hefyd, y gallu i ddangos dealltwriaeth a phrofiad o gyfl</w:t>
            </w:r>
            <w:r w:rsidR="00AB43C7">
              <w:rPr>
                <w:sz w:val="22"/>
                <w:szCs w:val="22"/>
              </w:rPr>
              <w:t>awni</w:t>
            </w:r>
            <w:r>
              <w:rPr>
                <w:sz w:val="22"/>
                <w:szCs w:val="22"/>
              </w:rPr>
              <w:t xml:space="preserve"> gwaith tebyg mewn lleoliad ucheldir</w:t>
            </w:r>
            <w:r w:rsidR="00AB43C7">
              <w:rPr>
                <w:sz w:val="22"/>
                <w:szCs w:val="22"/>
              </w:rPr>
              <w:t>ol.</w:t>
            </w:r>
          </w:p>
        </w:tc>
        <w:tc>
          <w:tcPr>
            <w:tcW w:w="1159" w:type="dxa"/>
          </w:tcPr>
          <w:p w14:paraId="68469157" w14:textId="140B6D09" w:rsidR="0038586D" w:rsidRPr="0038586D" w:rsidRDefault="00152A7C" w:rsidP="0038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</w:tr>
      <w:tr w:rsidR="0038586D" w:rsidRPr="0038586D" w14:paraId="6D064ACD" w14:textId="77777777" w:rsidTr="00502BD9">
        <w:trPr>
          <w:trHeight w:val="306"/>
        </w:trPr>
        <w:tc>
          <w:tcPr>
            <w:tcW w:w="7905" w:type="dxa"/>
          </w:tcPr>
          <w:p w14:paraId="760D7028" w14:textId="08877233" w:rsidR="0038586D" w:rsidRPr="0038586D" w:rsidRDefault="00152A7C" w:rsidP="0038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 gallu i gyflawni o fewn yr amserlen benodedig. Mae'r amserlen wedi'i hamlinellu yn yr adran 'Amserlen'. Y dyddiad cau allweddol yw </w:t>
            </w:r>
            <w:r w:rsidR="00AB43C7">
              <w:rPr>
                <w:sz w:val="22"/>
                <w:szCs w:val="22"/>
              </w:rPr>
              <w:t xml:space="preserve">bod yr </w:t>
            </w:r>
            <w:r>
              <w:rPr>
                <w:sz w:val="22"/>
                <w:szCs w:val="22"/>
              </w:rPr>
              <w:t xml:space="preserve">holl hyfforddiant a datblygu cynlluniau </w:t>
            </w:r>
            <w:r w:rsidR="00AB43C7">
              <w:rPr>
                <w:sz w:val="22"/>
                <w:szCs w:val="22"/>
              </w:rPr>
              <w:t xml:space="preserve">wedi cael eu cwblhau </w:t>
            </w:r>
            <w:r>
              <w:rPr>
                <w:sz w:val="22"/>
                <w:szCs w:val="22"/>
              </w:rPr>
              <w:t xml:space="preserve">erbyn mis </w:t>
            </w:r>
            <w:r w:rsidR="007F74E8">
              <w:rPr>
                <w:sz w:val="22"/>
                <w:szCs w:val="22"/>
              </w:rPr>
              <w:t>Hydref</w:t>
            </w:r>
            <w:r>
              <w:rPr>
                <w:sz w:val="22"/>
                <w:szCs w:val="22"/>
              </w:rPr>
              <w:t xml:space="preserve"> 2026. Mae gan waith arall fel cefnogaeth barhaus amserlenni llai llym.</w:t>
            </w:r>
          </w:p>
        </w:tc>
        <w:tc>
          <w:tcPr>
            <w:tcW w:w="1159" w:type="dxa"/>
          </w:tcPr>
          <w:p w14:paraId="7C94A18B" w14:textId="03C28A78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>10%</w:t>
            </w:r>
          </w:p>
        </w:tc>
      </w:tr>
      <w:tr w:rsidR="0038586D" w:rsidRPr="0038586D" w14:paraId="60862334" w14:textId="77777777" w:rsidTr="00502BD9">
        <w:trPr>
          <w:trHeight w:val="160"/>
        </w:trPr>
        <w:tc>
          <w:tcPr>
            <w:tcW w:w="7905" w:type="dxa"/>
          </w:tcPr>
          <w:p w14:paraId="25709DAD" w14:textId="6849B635" w:rsidR="0038586D" w:rsidRPr="0038586D" w:rsidRDefault="00AB43C7" w:rsidP="0038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Yn gallu d</w:t>
            </w:r>
            <w:r w:rsidR="0038586D" w:rsidRPr="0038586D">
              <w:rPr>
                <w:sz w:val="22"/>
                <w:szCs w:val="22"/>
              </w:rPr>
              <w:t>angos eu gallu i weithio drwy gyfrwng y Gymraeg. Mae hyn yn cynnwys cyflwyno'r addysgu</w:t>
            </w:r>
            <w:r>
              <w:rPr>
                <w:sz w:val="22"/>
                <w:szCs w:val="22"/>
              </w:rPr>
              <w:t>/dysgu</w:t>
            </w:r>
            <w:r w:rsidR="0038586D" w:rsidRPr="0038586D">
              <w:rPr>
                <w:sz w:val="22"/>
                <w:szCs w:val="22"/>
              </w:rPr>
              <w:t xml:space="preserve">, ysgrifennu'r cynlluniau a </w:t>
            </w:r>
            <w:r>
              <w:rPr>
                <w:sz w:val="22"/>
                <w:szCs w:val="22"/>
              </w:rPr>
              <w:t xml:space="preserve">chynnal </w:t>
            </w:r>
            <w:r w:rsidR="0038586D" w:rsidRPr="0038586D">
              <w:rPr>
                <w:sz w:val="22"/>
                <w:szCs w:val="22"/>
              </w:rPr>
              <w:t xml:space="preserve">y gefnogaeth barhaus </w:t>
            </w:r>
            <w:r>
              <w:rPr>
                <w:sz w:val="22"/>
                <w:szCs w:val="22"/>
              </w:rPr>
              <w:t xml:space="preserve">trwy gyfrwng </w:t>
            </w:r>
            <w:r w:rsidR="0038586D" w:rsidRPr="0038586D">
              <w:rPr>
                <w:sz w:val="22"/>
                <w:szCs w:val="22"/>
              </w:rPr>
              <w:t>y Gymraeg.</w:t>
            </w:r>
          </w:p>
        </w:tc>
        <w:tc>
          <w:tcPr>
            <w:tcW w:w="1159" w:type="dxa"/>
          </w:tcPr>
          <w:p w14:paraId="6C5DAB6B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>5%</w:t>
            </w:r>
          </w:p>
        </w:tc>
      </w:tr>
      <w:tr w:rsidR="0038586D" w:rsidRPr="0038586D" w14:paraId="79F05292" w14:textId="77777777" w:rsidTr="00502BD9">
        <w:trPr>
          <w:trHeight w:val="160"/>
        </w:trPr>
        <w:tc>
          <w:tcPr>
            <w:tcW w:w="7905" w:type="dxa"/>
          </w:tcPr>
          <w:p w14:paraId="15015B22" w14:textId="46D90072" w:rsidR="0038586D" w:rsidRPr="0038586D" w:rsidRDefault="00AB43C7" w:rsidP="0038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Geirdaon</w:t>
            </w:r>
            <w:r w:rsidR="0038586D" w:rsidRPr="0038586D">
              <w:rPr>
                <w:sz w:val="22"/>
                <w:szCs w:val="22"/>
              </w:rPr>
              <w:t xml:space="preserve"> ysgrifenedig</w:t>
            </w:r>
          </w:p>
        </w:tc>
        <w:tc>
          <w:tcPr>
            <w:tcW w:w="1159" w:type="dxa"/>
          </w:tcPr>
          <w:p w14:paraId="7011E7A3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>5%</w:t>
            </w:r>
          </w:p>
        </w:tc>
      </w:tr>
      <w:tr w:rsidR="0038586D" w:rsidRPr="0038586D" w14:paraId="4E2C67A3" w14:textId="77777777" w:rsidTr="00502BD9">
        <w:trPr>
          <w:trHeight w:val="160"/>
        </w:trPr>
        <w:tc>
          <w:tcPr>
            <w:tcW w:w="7905" w:type="dxa"/>
          </w:tcPr>
          <w:p w14:paraId="139C9CB5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>Ffi arfaethedig</w:t>
            </w:r>
          </w:p>
        </w:tc>
        <w:tc>
          <w:tcPr>
            <w:tcW w:w="1159" w:type="dxa"/>
          </w:tcPr>
          <w:p w14:paraId="7A34945B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sz w:val="22"/>
                <w:szCs w:val="22"/>
              </w:rPr>
              <w:t>50%</w:t>
            </w:r>
          </w:p>
        </w:tc>
      </w:tr>
      <w:tr w:rsidR="0038586D" w:rsidRPr="0038586D" w14:paraId="5E6E28EC" w14:textId="77777777" w:rsidTr="00502BD9">
        <w:trPr>
          <w:trHeight w:val="166"/>
        </w:trPr>
        <w:tc>
          <w:tcPr>
            <w:tcW w:w="7905" w:type="dxa"/>
          </w:tcPr>
          <w:p w14:paraId="1890A65E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b/>
                <w:bCs/>
                <w:sz w:val="22"/>
                <w:szCs w:val="22"/>
              </w:rPr>
              <w:t>Cyfanswm</w:t>
            </w:r>
          </w:p>
        </w:tc>
        <w:tc>
          <w:tcPr>
            <w:tcW w:w="1159" w:type="dxa"/>
          </w:tcPr>
          <w:p w14:paraId="004B28F0" w14:textId="77777777" w:rsidR="0038586D" w:rsidRPr="0038586D" w:rsidRDefault="0038586D" w:rsidP="0038586D">
            <w:pPr>
              <w:rPr>
                <w:sz w:val="22"/>
                <w:szCs w:val="22"/>
              </w:rPr>
            </w:pPr>
            <w:r w:rsidRPr="0038586D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14:paraId="193100F9" w14:textId="129134D4" w:rsidR="00F90820" w:rsidRPr="00BD29D9" w:rsidRDefault="00F90820" w:rsidP="00152A7C">
      <w:pPr>
        <w:pStyle w:val="Heading2"/>
      </w:pPr>
      <w:bookmarkStart w:id="7" w:name="_Toc224029548"/>
      <w:r w:rsidRPr="00BD29D9">
        <w:t>Amserlen.</w:t>
      </w:r>
      <w:bookmarkEnd w:id="7"/>
      <w:r w:rsidRPr="00BD29D9">
        <w:t xml:space="preserve"> </w:t>
      </w:r>
    </w:p>
    <w:p w14:paraId="19290AE1" w14:textId="0E19C26D" w:rsidR="001918EB" w:rsidRPr="00BD29D9" w:rsidRDefault="00AB43C7" w:rsidP="001918EB">
      <w:pPr>
        <w:rPr>
          <w:sz w:val="22"/>
          <w:szCs w:val="22"/>
        </w:rPr>
      </w:pPr>
      <w:r>
        <w:rPr>
          <w:sz w:val="22"/>
          <w:szCs w:val="22"/>
        </w:rPr>
        <w:t xml:space="preserve">Sicrhawyd cyllid ar gyfer y </w:t>
      </w:r>
      <w:r w:rsidR="001918EB" w:rsidRPr="00BD29D9">
        <w:rPr>
          <w:sz w:val="22"/>
          <w:szCs w:val="22"/>
        </w:rPr>
        <w:t xml:space="preserve">prosiect hwn tan fis Medi 2028. Er mwyn sicrhau digon o amser ar gyfer cyflawni pob cynllun fferm, </w:t>
      </w:r>
      <w:r w:rsidR="001918EB" w:rsidRPr="00152A7C">
        <w:rPr>
          <w:b/>
          <w:bCs/>
          <w:sz w:val="22"/>
          <w:szCs w:val="22"/>
        </w:rPr>
        <w:t>rhaid cwblhau'r rhaglen hyfforddi</w:t>
      </w:r>
      <w:r>
        <w:rPr>
          <w:b/>
          <w:bCs/>
          <w:sz w:val="22"/>
          <w:szCs w:val="22"/>
        </w:rPr>
        <w:t>ant</w:t>
      </w:r>
      <w:r w:rsidR="001918EB" w:rsidRPr="00152A7C">
        <w:rPr>
          <w:b/>
          <w:bCs/>
          <w:sz w:val="22"/>
          <w:szCs w:val="22"/>
        </w:rPr>
        <w:t xml:space="preserve"> a datblygu'r cynllun erbyn mis </w:t>
      </w:r>
      <w:r w:rsidR="00502BD9">
        <w:rPr>
          <w:b/>
          <w:bCs/>
          <w:sz w:val="22"/>
          <w:szCs w:val="22"/>
        </w:rPr>
        <w:t>Hydref</w:t>
      </w:r>
      <w:r w:rsidR="001918EB" w:rsidRPr="00152A7C">
        <w:rPr>
          <w:b/>
          <w:bCs/>
          <w:sz w:val="22"/>
          <w:szCs w:val="22"/>
        </w:rPr>
        <w:t xml:space="preserve"> 2026. </w:t>
      </w:r>
      <w:r>
        <w:rPr>
          <w:b/>
          <w:bCs/>
          <w:sz w:val="22"/>
          <w:szCs w:val="22"/>
        </w:rPr>
        <w:t xml:space="preserve"> </w:t>
      </w:r>
      <w:r w:rsidR="001918EB" w:rsidRPr="00BD29D9">
        <w:rPr>
          <w:sz w:val="22"/>
          <w:szCs w:val="22"/>
        </w:rPr>
        <w:t>Bydd yr amserlen hon yn darparu dwy flynedd lawn i ffermwyr</w:t>
      </w:r>
      <w:r w:rsidR="00D24D23">
        <w:rPr>
          <w:sz w:val="22"/>
          <w:szCs w:val="22"/>
        </w:rPr>
        <w:t xml:space="preserve"> sy’n cymryd rhan, ar gyfer </w:t>
      </w:r>
      <w:r w:rsidR="001918EB" w:rsidRPr="00BD29D9">
        <w:rPr>
          <w:sz w:val="22"/>
          <w:szCs w:val="22"/>
        </w:rPr>
        <w:t xml:space="preserve"> </w:t>
      </w:r>
      <w:r w:rsidR="00D24D23">
        <w:rPr>
          <w:sz w:val="22"/>
          <w:szCs w:val="22"/>
        </w:rPr>
        <w:t>g</w:t>
      </w:r>
      <w:r w:rsidR="001918EB" w:rsidRPr="00BD29D9">
        <w:rPr>
          <w:sz w:val="22"/>
          <w:szCs w:val="22"/>
        </w:rPr>
        <w:t>weithredu eu gwaith cyfalaf. Er bod yr amserlen hon yn uchelgeisiol, mae'n hanfodol i lwyddiant cyffredinol y prosiect.</w:t>
      </w:r>
    </w:p>
    <w:p w14:paraId="56930858" w14:textId="652B563A" w:rsidR="001918EB" w:rsidRDefault="00F90420" w:rsidP="001918EB">
      <w:pPr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Gellir gwneud addasiadau i drefn y sesiynau hyfforddiant ar ôl ymgynghori â'r Rheolwr Prosiect; fodd bynnag, mae'n hanfodol bod yr holl elfennau hyfforddi craidd yn cael eu cyflawni cyn dechrau ar y gwaith o ddatblygu’r cynlluniau fferm. Bydd hyn yn sicrhau y gall ffermwyr ymgysylltu'n llawn yn y broses gynllunio gyda'r wybodaeth a'r ddealltwriaeth orau bosibl.</w:t>
      </w:r>
    </w:p>
    <w:p w14:paraId="08F48398" w14:textId="59EAAF5E" w:rsidR="009C1FB5" w:rsidRDefault="009C1FB5" w:rsidP="001918EB">
      <w:pPr>
        <w:rPr>
          <w:sz w:val="22"/>
          <w:szCs w:val="22"/>
        </w:rPr>
      </w:pPr>
      <w:r w:rsidRPr="00057819">
        <w:rPr>
          <w:rStyle w:val="Heading2Char"/>
        </w:rPr>
        <w:t>Taliadau</w:t>
      </w:r>
      <w:r w:rsidR="00A951DA">
        <w:rPr>
          <w:rStyle w:val="Heading2Char"/>
        </w:rPr>
        <w:t>.</w:t>
      </w:r>
    </w:p>
    <w:p w14:paraId="412A0540" w14:textId="79D2CB07" w:rsidR="0055683E" w:rsidRDefault="0030049C" w:rsidP="001918EB">
      <w:pPr>
        <w:rPr>
          <w:sz w:val="22"/>
          <w:szCs w:val="22"/>
        </w:rPr>
      </w:pPr>
      <w:r>
        <w:rPr>
          <w:sz w:val="22"/>
          <w:szCs w:val="22"/>
        </w:rPr>
        <w:t xml:space="preserve">Gwneir taliadau ar ôl derbyn anfoneb ar gyfer pob cam llwyddiannus o'r gwaith. </w:t>
      </w:r>
      <w:r w:rsidR="00D24D23">
        <w:rPr>
          <w:sz w:val="22"/>
          <w:szCs w:val="22"/>
        </w:rPr>
        <w:t xml:space="preserve">Petai’r </w:t>
      </w:r>
      <w:r>
        <w:rPr>
          <w:sz w:val="22"/>
          <w:szCs w:val="22"/>
        </w:rPr>
        <w:t>ymgeisydd llwyddiannus yn dymuno cyflwyno anfoneb ar ôl pob sesiwn hyfforddi</w:t>
      </w:r>
      <w:r w:rsidR="00D24D23">
        <w:rPr>
          <w:sz w:val="22"/>
          <w:szCs w:val="22"/>
        </w:rPr>
        <w:t>ant</w:t>
      </w:r>
      <w:r>
        <w:rPr>
          <w:sz w:val="22"/>
          <w:szCs w:val="22"/>
        </w:rPr>
        <w:t xml:space="preserve"> neu ar ôl datblygu'r cynlluniau fferm, mae hyn yn dderbyniol. Gwneir taliadau'n uniongyrchol i'r ymgeiswyr llwyddiannus drwy Drosglwyddiad Banc. Gall taliadau gymryd hyd at fis i'w prosesu.</w:t>
      </w:r>
    </w:p>
    <w:p w14:paraId="70B29A1F" w14:textId="26C3D09E" w:rsidR="00152A7C" w:rsidRPr="00152A7C" w:rsidRDefault="00152A7C" w:rsidP="00152A7C">
      <w:pPr>
        <w:pStyle w:val="Heading2"/>
      </w:pPr>
      <w:bookmarkStart w:id="8" w:name="_Toc224029549"/>
      <w:r w:rsidRPr="00152A7C">
        <w:lastRenderedPageBreak/>
        <w:t>Rheolau tendr</w:t>
      </w:r>
      <w:bookmarkEnd w:id="8"/>
      <w:r w:rsidR="00D24D23">
        <w:t>o</w:t>
      </w:r>
      <w:r w:rsidRPr="00152A7C">
        <w:t xml:space="preserve"> </w:t>
      </w:r>
    </w:p>
    <w:p w14:paraId="0ECF8DE0" w14:textId="1C86541E" w:rsidR="00152A7C" w:rsidRPr="00152A7C" w:rsidRDefault="00152A7C" w:rsidP="00152A7C">
      <w:pPr>
        <w:rPr>
          <w:sz w:val="22"/>
          <w:szCs w:val="22"/>
        </w:rPr>
      </w:pPr>
      <w:r w:rsidRPr="00152A7C">
        <w:rPr>
          <w:sz w:val="22"/>
          <w:szCs w:val="22"/>
        </w:rPr>
        <w:t xml:space="preserve">Ni fyddwn yn ystyried tendr unrhyw gwmni sy'n </w:t>
      </w:r>
      <w:r w:rsidR="00D24D23">
        <w:rPr>
          <w:sz w:val="22"/>
          <w:szCs w:val="22"/>
        </w:rPr>
        <w:t>canfasio yn</w:t>
      </w:r>
      <w:r w:rsidRPr="00152A7C">
        <w:rPr>
          <w:sz w:val="22"/>
          <w:szCs w:val="22"/>
        </w:rPr>
        <w:t xml:space="preserve"> uniongyrchol neu'n anuniongyrchol </w:t>
      </w:r>
      <w:r w:rsidR="00D24D23">
        <w:rPr>
          <w:sz w:val="22"/>
          <w:szCs w:val="22"/>
        </w:rPr>
        <w:t>unrhyw a</w:t>
      </w:r>
      <w:r w:rsidRPr="00152A7C">
        <w:rPr>
          <w:sz w:val="22"/>
          <w:szCs w:val="22"/>
        </w:rPr>
        <w:t xml:space="preserve">elod o staff </w:t>
      </w:r>
      <w:r w:rsidR="00AB10F3">
        <w:rPr>
          <w:sz w:val="22"/>
          <w:szCs w:val="22"/>
        </w:rPr>
        <w:t>APCE</w:t>
      </w:r>
      <w:r w:rsidRPr="00152A7C">
        <w:rPr>
          <w:sz w:val="22"/>
          <w:szCs w:val="22"/>
        </w:rPr>
        <w:t xml:space="preserve">, nac unrhyw un sy'n gweithredu ar ran </w:t>
      </w:r>
      <w:r w:rsidR="00AB10F3">
        <w:rPr>
          <w:sz w:val="22"/>
          <w:szCs w:val="22"/>
        </w:rPr>
        <w:t>APCE</w:t>
      </w:r>
      <w:r w:rsidRPr="00152A7C">
        <w:rPr>
          <w:sz w:val="22"/>
          <w:szCs w:val="22"/>
        </w:rPr>
        <w:t>, mewn perthynas â dyfarnu'r cytundeb hwn. Ar ben hynny, ni fyddwn yn ystyried tendr unrhyw gwmni sy'n:</w:t>
      </w:r>
    </w:p>
    <w:p w14:paraId="4B829288" w14:textId="237A9A3E" w:rsidR="00152A7C" w:rsidRPr="00152A7C" w:rsidRDefault="00152A7C" w:rsidP="00152A7C">
      <w:pPr>
        <w:rPr>
          <w:sz w:val="22"/>
          <w:szCs w:val="22"/>
        </w:rPr>
      </w:pPr>
      <w:r w:rsidRPr="00152A7C">
        <w:rPr>
          <w:sz w:val="22"/>
          <w:szCs w:val="22"/>
        </w:rPr>
        <w:t xml:space="preserve">i. </w:t>
      </w:r>
      <w:r w:rsidR="00D24D23">
        <w:rPr>
          <w:sz w:val="22"/>
          <w:szCs w:val="22"/>
        </w:rPr>
        <w:t>C</w:t>
      </w:r>
      <w:r w:rsidRPr="00152A7C">
        <w:rPr>
          <w:sz w:val="22"/>
          <w:szCs w:val="22"/>
        </w:rPr>
        <w:t>ytuno â chwmni arall i beidio â chyflwyno tendr neu'n cytuno ar swm ei dendr â chwmni arall ymlaen llaw;</w:t>
      </w:r>
    </w:p>
    <w:p w14:paraId="6B3C422C" w14:textId="6B4BB65B" w:rsidR="00152A7C" w:rsidRPr="00152A7C" w:rsidRDefault="00152A7C" w:rsidP="00152A7C">
      <w:pPr>
        <w:rPr>
          <w:sz w:val="22"/>
          <w:szCs w:val="22"/>
        </w:rPr>
      </w:pPr>
      <w:r w:rsidRPr="00152A7C">
        <w:rPr>
          <w:sz w:val="22"/>
          <w:szCs w:val="22"/>
        </w:rPr>
        <w:t xml:space="preserve">ii. </w:t>
      </w:r>
      <w:r w:rsidR="00D24D23">
        <w:rPr>
          <w:sz w:val="22"/>
          <w:szCs w:val="22"/>
        </w:rPr>
        <w:t>C</w:t>
      </w:r>
      <w:r w:rsidRPr="00152A7C">
        <w:rPr>
          <w:sz w:val="22"/>
          <w:szCs w:val="22"/>
        </w:rPr>
        <w:t>ynnig neu'n cytuno i dalu neu roi arian, yn uniongyrchol neu'n anuniongyrchol, i unrhyw un sy'n gwneud rhywbeth neu ddim yn gwneud rhywbeth mewn perthynas â'r tendr hwn.</w:t>
      </w:r>
    </w:p>
    <w:p w14:paraId="01C378DD" w14:textId="52B33457" w:rsidR="00152A7C" w:rsidRPr="00F90420" w:rsidRDefault="00152A7C" w:rsidP="00152A7C">
      <w:pPr>
        <w:rPr>
          <w:sz w:val="22"/>
          <w:szCs w:val="22"/>
        </w:rPr>
      </w:pPr>
      <w:r w:rsidRPr="00F90420">
        <w:rPr>
          <w:b/>
          <w:bCs/>
          <w:sz w:val="22"/>
          <w:szCs w:val="22"/>
        </w:rPr>
        <w:t xml:space="preserve">Mae gan </w:t>
      </w:r>
      <w:r w:rsidR="00AB10F3" w:rsidRPr="00F90420">
        <w:rPr>
          <w:b/>
          <w:bCs/>
          <w:sz w:val="22"/>
          <w:szCs w:val="22"/>
        </w:rPr>
        <w:t>APCE</w:t>
      </w:r>
      <w:r w:rsidRPr="00F90420">
        <w:rPr>
          <w:b/>
          <w:bCs/>
          <w:sz w:val="22"/>
          <w:szCs w:val="22"/>
        </w:rPr>
        <w:t xml:space="preserve"> yr hawl i wrthod unrhyw geisiadau.</w:t>
      </w:r>
    </w:p>
    <w:p w14:paraId="430078E6" w14:textId="77777777" w:rsidR="00152A7C" w:rsidRDefault="00152A7C" w:rsidP="00152A7C">
      <w:pPr>
        <w:rPr>
          <w:sz w:val="22"/>
          <w:szCs w:val="22"/>
        </w:rPr>
      </w:pPr>
      <w:r w:rsidRPr="00F90420">
        <w:rPr>
          <w:sz w:val="22"/>
          <w:szCs w:val="22"/>
        </w:rPr>
        <w:t>Byddwch yn datgan yr uchod drwy lofnodi'r ffurflen sydd ynghlwm a'i dychwelyd fel rhan o'r broses dendro.</w:t>
      </w:r>
    </w:p>
    <w:p w14:paraId="3AAD0696" w14:textId="4CAAE9E8" w:rsidR="00DA5F7A" w:rsidRDefault="00DA5F7A" w:rsidP="00DA5F7A">
      <w:pPr>
        <w:spacing w:after="0"/>
        <w:rPr>
          <w:b/>
          <w:bCs/>
          <w:sz w:val="22"/>
          <w:szCs w:val="22"/>
        </w:rPr>
      </w:pPr>
      <w:r w:rsidRPr="00DA5F7A">
        <w:rPr>
          <w:b/>
          <w:bCs/>
          <w:sz w:val="22"/>
          <w:szCs w:val="22"/>
        </w:rPr>
        <w:t>Dylid cyflwyno pob tendr gan ddefnyddio'r porth cyflwyno ar GwerthwchiGymru.</w:t>
      </w:r>
    </w:p>
    <w:p w14:paraId="0483B328" w14:textId="77777777" w:rsidR="004A7373" w:rsidRPr="004A7373" w:rsidRDefault="004A7373" w:rsidP="00DA5F7A">
      <w:pPr>
        <w:spacing w:after="0"/>
        <w:rPr>
          <w:b/>
          <w:bCs/>
          <w:sz w:val="22"/>
          <w:szCs w:val="22"/>
        </w:rPr>
      </w:pPr>
    </w:p>
    <w:p w14:paraId="1C336738" w14:textId="67EAFF69" w:rsidR="00DA5F7A" w:rsidRDefault="00F90420" w:rsidP="00DA5F7A">
      <w:pPr>
        <w:spacing w:after="0"/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Os oes gennych unrhyw gwestiynau ynglŷn â'r gwaith, cysylltwch â Dion Roberts, Uwch Reolwr Prosiect, trwy e-bostio dion.roberts@eryri.llyw.cymru neu drwy ffonio 07917651973</w:t>
      </w:r>
    </w:p>
    <w:p w14:paraId="54A119BA" w14:textId="3C754A0D" w:rsidR="009C1FB5" w:rsidRDefault="004A375D" w:rsidP="00DA5F7A">
      <w:pPr>
        <w:spacing w:after="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Y dyddiad cau ar gyfer cwestiynau yw wythnos cyn </w:t>
      </w:r>
      <w:r w:rsidR="00F90420">
        <w:rPr>
          <w:sz w:val="22"/>
          <w:szCs w:val="22"/>
          <w:highlight w:val="yellow"/>
        </w:rPr>
        <w:t xml:space="preserve">y dyddiad </w:t>
      </w:r>
      <w:r>
        <w:rPr>
          <w:sz w:val="22"/>
          <w:szCs w:val="22"/>
          <w:highlight w:val="yellow"/>
        </w:rPr>
        <w:t>cyflwyno (30/04/2026)</w:t>
      </w:r>
    </w:p>
    <w:p w14:paraId="1AE2760C" w14:textId="44661B55" w:rsidR="00DA5F7A" w:rsidRPr="00DA5F7A" w:rsidRDefault="00DA5F7A" w:rsidP="00DA5F7A">
      <w:pPr>
        <w:spacing w:after="0"/>
        <w:rPr>
          <w:sz w:val="22"/>
          <w:szCs w:val="22"/>
        </w:rPr>
      </w:pPr>
      <w:r w:rsidRPr="00DA5F7A">
        <w:rPr>
          <w:sz w:val="22"/>
          <w:szCs w:val="22"/>
        </w:rPr>
        <w:t xml:space="preserve"> </w:t>
      </w:r>
    </w:p>
    <w:p w14:paraId="6242FD07" w14:textId="23F585AE" w:rsidR="00DA5F7A" w:rsidRDefault="00DA5F7A" w:rsidP="00DA5F7A">
      <w:pPr>
        <w:spacing w:after="0"/>
        <w:rPr>
          <w:b/>
          <w:bCs/>
          <w:sz w:val="22"/>
          <w:szCs w:val="22"/>
        </w:rPr>
      </w:pPr>
      <w:r w:rsidRPr="00DA5F7A">
        <w:rPr>
          <w:b/>
          <w:bCs/>
          <w:sz w:val="22"/>
          <w:szCs w:val="22"/>
        </w:rPr>
        <w:t xml:space="preserve">Y dyddiad cau ar gyfer y tendr hwn yw 12:00 canol dydd ar ddydd </w:t>
      </w:r>
      <w:r w:rsidR="00502BD9">
        <w:rPr>
          <w:b/>
          <w:bCs/>
          <w:sz w:val="22"/>
          <w:szCs w:val="22"/>
        </w:rPr>
        <w:t>Iau</w:t>
      </w:r>
      <w:r w:rsidRPr="00DA5F7A">
        <w:rPr>
          <w:b/>
          <w:bCs/>
          <w:sz w:val="22"/>
          <w:szCs w:val="22"/>
        </w:rPr>
        <w:t xml:space="preserve"> </w:t>
      </w:r>
      <w:r w:rsidR="00502BD9">
        <w:rPr>
          <w:b/>
          <w:bCs/>
          <w:sz w:val="22"/>
          <w:szCs w:val="22"/>
        </w:rPr>
        <w:t>7f</w:t>
      </w:r>
      <w:r w:rsidRPr="00DA5F7A">
        <w:rPr>
          <w:b/>
          <w:bCs/>
          <w:sz w:val="22"/>
          <w:szCs w:val="22"/>
        </w:rPr>
        <w:t>ed</w:t>
      </w:r>
      <w:r w:rsidR="00F90420">
        <w:rPr>
          <w:b/>
          <w:bCs/>
          <w:sz w:val="22"/>
          <w:szCs w:val="22"/>
        </w:rPr>
        <w:t xml:space="preserve"> o</w:t>
      </w:r>
      <w:r w:rsidR="00C51483" w:rsidRPr="00057819">
        <w:rPr>
          <w:b/>
          <w:bCs/>
          <w:sz w:val="22"/>
          <w:szCs w:val="22"/>
          <w:vertAlign w:val="superscript"/>
        </w:rPr>
        <w:t xml:space="preserve"> </w:t>
      </w:r>
      <w:r w:rsidR="00057819">
        <w:rPr>
          <w:b/>
          <w:bCs/>
          <w:sz w:val="22"/>
          <w:szCs w:val="22"/>
        </w:rPr>
        <w:t>Fai 2026</w:t>
      </w:r>
    </w:p>
    <w:p w14:paraId="509E4E95" w14:textId="77777777" w:rsidR="00181CB7" w:rsidRDefault="00181CB7" w:rsidP="00DA5F7A">
      <w:pPr>
        <w:spacing w:after="0"/>
        <w:rPr>
          <w:b/>
          <w:bCs/>
          <w:sz w:val="22"/>
          <w:szCs w:val="22"/>
        </w:rPr>
      </w:pPr>
    </w:p>
    <w:p w14:paraId="2DC36FBB" w14:textId="77777777" w:rsidR="00181CB7" w:rsidRDefault="00181CB7" w:rsidP="00DA5F7A">
      <w:pPr>
        <w:spacing w:after="0"/>
        <w:rPr>
          <w:b/>
          <w:bCs/>
          <w:sz w:val="22"/>
          <w:szCs w:val="22"/>
        </w:rPr>
      </w:pPr>
    </w:p>
    <w:p w14:paraId="390065D1" w14:textId="77777777" w:rsidR="00181CB7" w:rsidRPr="00DA5F7A" w:rsidRDefault="00181CB7" w:rsidP="00DA5F7A">
      <w:pPr>
        <w:spacing w:after="0"/>
        <w:rPr>
          <w:b/>
          <w:bCs/>
          <w:sz w:val="22"/>
          <w:szCs w:val="22"/>
        </w:rPr>
      </w:pPr>
    </w:p>
    <w:p w14:paraId="5B799589" w14:textId="0DE13018" w:rsidR="00CA57DF" w:rsidRPr="00CA57DF" w:rsidRDefault="00CA57DF" w:rsidP="00CA57DF">
      <w:pPr>
        <w:pStyle w:val="Heading2"/>
        <w:rPr>
          <w:sz w:val="28"/>
          <w:szCs w:val="28"/>
        </w:rPr>
      </w:pPr>
      <w:bookmarkStart w:id="9" w:name="_Toc224029550"/>
      <w:r w:rsidRPr="00CA57DF">
        <w:rPr>
          <w:sz w:val="28"/>
          <w:szCs w:val="28"/>
        </w:rPr>
        <w:t>Datganiad – Ffurflen Ymateb</w:t>
      </w:r>
      <w:bookmarkEnd w:id="9"/>
      <w:r w:rsidRPr="00CA57DF">
        <w:rPr>
          <w:sz w:val="28"/>
          <w:szCs w:val="28"/>
        </w:rPr>
        <w:t xml:space="preserve"> </w:t>
      </w:r>
    </w:p>
    <w:p w14:paraId="626A7C9D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Rwyf wedi fy awdurdodi gan y Sefydliad Tendro (a chwmnïau ac isgontractwyr) i ddarparu'r wybodaeth a roddir yn y cynnig hwn. Rwy'n datgan, ar ddyddiad llofnodi'r datganiad hwn, fod y wybodaeth a roddir yn gyflawn ac yn gywir hyd eithaf fy ngwybodaeth, ar ôl gwneud ymholiadau rhesymol.</w:t>
      </w:r>
    </w:p>
    <w:p w14:paraId="2A3B76B1" w14:textId="77777777" w:rsidR="00CA57DF" w:rsidRPr="00CA57DF" w:rsidRDefault="00CA57DF" w:rsidP="00CA57DF">
      <w:pPr>
        <w:rPr>
          <w:sz w:val="22"/>
          <w:szCs w:val="22"/>
          <w:u w:val="single"/>
        </w:rPr>
      </w:pPr>
      <w:r w:rsidRPr="00CA57DF">
        <w:rPr>
          <w:sz w:val="22"/>
          <w:szCs w:val="22"/>
          <w:u w:val="single"/>
        </w:rPr>
        <w:t>Mae gan y Cleient ein caniatâd i:</w:t>
      </w:r>
    </w:p>
    <w:p w14:paraId="46452E1B" w14:textId="58B626AA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 xml:space="preserve">- </w:t>
      </w:r>
      <w:r w:rsidR="00F90420">
        <w:rPr>
          <w:sz w:val="22"/>
          <w:szCs w:val="22"/>
        </w:rPr>
        <w:t>g</w:t>
      </w:r>
      <w:r w:rsidRPr="00CA57DF">
        <w:rPr>
          <w:sz w:val="22"/>
          <w:szCs w:val="22"/>
        </w:rPr>
        <w:t>wblhau'r holl gamau angenrheidiol i wirio'r wybodaeth a ddarparwyd; a</w:t>
      </w:r>
    </w:p>
    <w:p w14:paraId="0312668B" w14:textId="5EF631C8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- t</w:t>
      </w:r>
      <w:r w:rsidR="00F90420">
        <w:rPr>
          <w:sz w:val="22"/>
          <w:szCs w:val="22"/>
        </w:rPr>
        <w:t>h</w:t>
      </w:r>
      <w:r w:rsidRPr="00CA57DF">
        <w:rPr>
          <w:sz w:val="22"/>
          <w:szCs w:val="22"/>
        </w:rPr>
        <w:t>rosglwyddo'r wybodaeth a ddarperir i drydydd partïon (partneriaid prosiect) at ddibenion gwerthuso'r ymatebion.</w:t>
      </w:r>
    </w:p>
    <w:p w14:paraId="73F486E9" w14:textId="64BE8C40" w:rsidR="00CA57DF" w:rsidRPr="00CA57DF" w:rsidRDefault="00CA57DF" w:rsidP="00CA57DF">
      <w:pPr>
        <w:rPr>
          <w:sz w:val="22"/>
          <w:szCs w:val="22"/>
          <w:u w:val="single"/>
        </w:rPr>
      </w:pPr>
      <w:r w:rsidRPr="00CA57DF">
        <w:rPr>
          <w:sz w:val="22"/>
          <w:szCs w:val="22"/>
          <w:u w:val="single"/>
        </w:rPr>
        <w:t>Rwy'n cydnabod</w:t>
      </w:r>
      <w:r w:rsidR="00F90420">
        <w:rPr>
          <w:sz w:val="22"/>
          <w:szCs w:val="22"/>
          <w:u w:val="single"/>
        </w:rPr>
        <w:t xml:space="preserve"> ac yn deall</w:t>
      </w:r>
      <w:r w:rsidRPr="00CA57DF">
        <w:rPr>
          <w:sz w:val="22"/>
          <w:szCs w:val="22"/>
          <w:u w:val="single"/>
        </w:rPr>
        <w:t>:</w:t>
      </w:r>
    </w:p>
    <w:p w14:paraId="06E87D21" w14:textId="7CF708A5" w:rsidR="00CA57DF" w:rsidRPr="00CA57DF" w:rsidRDefault="00F90420" w:rsidP="00CA57DF">
      <w:pPr>
        <w:rPr>
          <w:sz w:val="22"/>
          <w:szCs w:val="22"/>
        </w:rPr>
      </w:pPr>
      <w:r>
        <w:rPr>
          <w:rFonts w:ascii="Aptos" w:hAnsi="Aptos" w:cs="Aptos"/>
          <w:sz w:val="22"/>
          <w:szCs w:val="22"/>
        </w:rPr>
        <w:t>- ei bod yn drosedd cynnig unrhyw rodd neu roi ystyriaeth i weithiwr corff cyhoeddus fel gwobr neu gymhelliant mewn perthynas â dyfarnu contract, a bod gweithred o'r fath yn rhoi'r hawl i'r Cleient ddiarddel y Corff Tendro o'r broses dendro; a</w:t>
      </w:r>
    </w:p>
    <w:p w14:paraId="2015155C" w14:textId="71334A38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 xml:space="preserve">- bydd unrhyw sefydlogi prisiau neu gyd-gynllwynio mewn perthynas â'r gwaith yn caniatáu i'r Cleient ddiarddel Corff Tendro o'r broses gaffael a gall arwain at </w:t>
      </w:r>
      <w:r w:rsidR="00F90420">
        <w:rPr>
          <w:sz w:val="22"/>
          <w:szCs w:val="22"/>
        </w:rPr>
        <w:t>gyflawni t</w:t>
      </w:r>
      <w:r w:rsidRPr="00CA57DF">
        <w:rPr>
          <w:sz w:val="22"/>
          <w:szCs w:val="22"/>
        </w:rPr>
        <w:t>rosedd.</w:t>
      </w:r>
    </w:p>
    <w:p w14:paraId="63E13101" w14:textId="77777777" w:rsidR="00CA57DF" w:rsidRPr="00CA57DF" w:rsidRDefault="00CA57DF" w:rsidP="00CA57DF">
      <w:pPr>
        <w:rPr>
          <w:sz w:val="22"/>
          <w:szCs w:val="22"/>
        </w:rPr>
      </w:pPr>
    </w:p>
    <w:p w14:paraId="5121D13F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lastRenderedPageBreak/>
        <w:t>Llofnodwyd:</w:t>
      </w:r>
    </w:p>
    <w:p w14:paraId="19654E95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Enw:</w:t>
      </w:r>
    </w:p>
    <w:p w14:paraId="5E8464CC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Teitl y Swydd:</w:t>
      </w:r>
    </w:p>
    <w:p w14:paraId="181BC891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Cwmni:</w:t>
      </w:r>
    </w:p>
    <w:p w14:paraId="7CEA3013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Gwerth y cynnig:</w:t>
      </w:r>
    </w:p>
    <w:p w14:paraId="3F433B18" w14:textId="77777777" w:rsidR="00CA57DF" w:rsidRPr="00CA57DF" w:rsidRDefault="00CA57DF" w:rsidP="00CA57DF">
      <w:pPr>
        <w:rPr>
          <w:sz w:val="22"/>
          <w:szCs w:val="22"/>
        </w:rPr>
      </w:pPr>
      <w:r w:rsidRPr="00CA57DF">
        <w:rPr>
          <w:sz w:val="22"/>
          <w:szCs w:val="22"/>
        </w:rPr>
        <w:t>Dyddiad:</w:t>
      </w:r>
    </w:p>
    <w:p w14:paraId="54621046" w14:textId="36A505EF" w:rsidR="00CA57DF" w:rsidRPr="00BD29D9" w:rsidRDefault="00CA57DF" w:rsidP="00CA57DF">
      <w:pPr>
        <w:rPr>
          <w:sz w:val="22"/>
          <w:szCs w:val="22"/>
        </w:rPr>
      </w:pPr>
      <w:r w:rsidRPr="00CA57DF">
        <w:rPr>
          <w:b/>
          <w:bCs/>
          <w:sz w:val="22"/>
          <w:szCs w:val="22"/>
        </w:rPr>
        <w:t>Nodyn: Rhaid i'r datganiad hwn gael ei lofnodi (</w:t>
      </w:r>
      <w:r w:rsidR="00F90420">
        <w:rPr>
          <w:b/>
          <w:bCs/>
          <w:sz w:val="22"/>
          <w:szCs w:val="22"/>
        </w:rPr>
        <w:t>fel sy’n berthnasol</w:t>
      </w:r>
      <w:r w:rsidRPr="00CA57DF">
        <w:rPr>
          <w:b/>
          <w:bCs/>
          <w:sz w:val="22"/>
          <w:szCs w:val="22"/>
        </w:rPr>
        <w:t>) gan lofnodwr awdurdodedig ar ran y Corff Tendro (ac unrhyw gwmnïau cysylltiedig,</w:t>
      </w:r>
      <w:r w:rsidR="00F90420">
        <w:rPr>
          <w:b/>
          <w:bCs/>
          <w:sz w:val="22"/>
          <w:szCs w:val="22"/>
        </w:rPr>
        <w:t xml:space="preserve"> </w:t>
      </w:r>
      <w:r w:rsidRPr="00CA57DF">
        <w:rPr>
          <w:b/>
          <w:bCs/>
          <w:sz w:val="22"/>
          <w:szCs w:val="22"/>
        </w:rPr>
        <w:t xml:space="preserve">neu </w:t>
      </w:r>
      <w:commentRangeStart w:id="10"/>
      <w:r w:rsidRPr="00CA57DF">
        <w:rPr>
          <w:b/>
          <w:bCs/>
          <w:sz w:val="22"/>
          <w:szCs w:val="22"/>
        </w:rPr>
        <w:t>is</w:t>
      </w:r>
      <w:r w:rsidR="00A951DA">
        <w:rPr>
          <w:b/>
          <w:bCs/>
          <w:sz w:val="22"/>
          <w:szCs w:val="22"/>
        </w:rPr>
        <w:t>-</w:t>
      </w:r>
      <w:r w:rsidRPr="00CA57DF">
        <w:rPr>
          <w:b/>
          <w:bCs/>
          <w:sz w:val="22"/>
          <w:szCs w:val="22"/>
        </w:rPr>
        <w:t>gontractwyr</w:t>
      </w:r>
      <w:commentRangeEnd w:id="10"/>
      <w:r w:rsidR="00F90420" w:rsidRPr="00CA57DF">
        <w:rPr>
          <w:rStyle w:val="CommentReference"/>
          <w:b/>
          <w:bCs/>
          <w:sz w:val="22"/>
          <w:szCs w:val="22"/>
        </w:rPr>
        <w:commentReference w:id="10"/>
      </w:r>
      <w:r w:rsidRPr="00CA57DF">
        <w:rPr>
          <w:b/>
          <w:bCs/>
          <w:sz w:val="22"/>
          <w:szCs w:val="22"/>
        </w:rPr>
        <w:t>). Dychwelwch y ffurflen hon gyda'ch tendr</w:t>
      </w:r>
      <w:r w:rsidR="00A951DA">
        <w:rPr>
          <w:b/>
          <w:bCs/>
          <w:sz w:val="22"/>
          <w:szCs w:val="22"/>
        </w:rPr>
        <w:t xml:space="preserve"> os gwelwch yn dda</w:t>
      </w:r>
      <w:r w:rsidRPr="00CA57DF">
        <w:rPr>
          <w:b/>
          <w:bCs/>
          <w:sz w:val="22"/>
          <w:szCs w:val="22"/>
        </w:rPr>
        <w:t>.</w:t>
      </w:r>
    </w:p>
    <w:p w14:paraId="47A86B57" w14:textId="151C84BE" w:rsidR="00F90820" w:rsidRPr="00F90820" w:rsidRDefault="00F90820" w:rsidP="00F90820"/>
    <w:p w14:paraId="308BD802" w14:textId="77777777" w:rsidR="00835E66" w:rsidRDefault="00835E66" w:rsidP="00835E66"/>
    <w:p w14:paraId="7713FCD6" w14:textId="77777777" w:rsidR="00E16AC8" w:rsidRPr="006F64D3" w:rsidRDefault="00E16AC8" w:rsidP="00E16AC8">
      <w:pPr>
        <w:pStyle w:val="ListParagraph"/>
        <w:ind w:left="770"/>
      </w:pPr>
    </w:p>
    <w:sectPr w:rsidR="00E16AC8" w:rsidRPr="006F6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Catrin Soraya Williams" w:date="2026-04-08T13:48:00Z" w:initials="CW">
    <w:p w14:paraId="520779B9" w14:textId="77777777" w:rsidR="00F90420" w:rsidRDefault="00F90420" w:rsidP="00F90420">
      <w:pPr>
        <w:pStyle w:val="CommentText"/>
      </w:pPr>
      <w:r>
        <w:rPr>
          <w:rStyle w:val="CommentReference"/>
        </w:rPr>
        <w:annotationRef/>
      </w:r>
      <w:r>
        <w:t>Angen dileu y gair sub-contractors yn y fersiwn Saesneg - mae’n ymddangos ddwywaith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0779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1853D3" w16cex:dateUtc="2026-04-08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0779B9" w16cid:durableId="071853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9FA"/>
    <w:multiLevelType w:val="hybridMultilevel"/>
    <w:tmpl w:val="6D5AB8E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FCA6529"/>
    <w:multiLevelType w:val="hybridMultilevel"/>
    <w:tmpl w:val="B7C477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C25"/>
    <w:multiLevelType w:val="multilevel"/>
    <w:tmpl w:val="71CC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532B6"/>
    <w:multiLevelType w:val="hybridMultilevel"/>
    <w:tmpl w:val="C23AC47C"/>
    <w:lvl w:ilvl="0" w:tplc="A3F43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67B61"/>
    <w:multiLevelType w:val="hybridMultilevel"/>
    <w:tmpl w:val="4F8C3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273A5"/>
    <w:multiLevelType w:val="hybridMultilevel"/>
    <w:tmpl w:val="8194A9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E1E40"/>
    <w:multiLevelType w:val="hybridMultilevel"/>
    <w:tmpl w:val="726E4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A4E66"/>
    <w:multiLevelType w:val="hybridMultilevel"/>
    <w:tmpl w:val="6D5AB8E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749575500">
    <w:abstractNumId w:val="0"/>
  </w:num>
  <w:num w:numId="2" w16cid:durableId="289362200">
    <w:abstractNumId w:val="5"/>
  </w:num>
  <w:num w:numId="3" w16cid:durableId="111170828">
    <w:abstractNumId w:val="6"/>
  </w:num>
  <w:num w:numId="4" w16cid:durableId="1882594407">
    <w:abstractNumId w:val="1"/>
  </w:num>
  <w:num w:numId="5" w16cid:durableId="1792942530">
    <w:abstractNumId w:val="3"/>
  </w:num>
  <w:num w:numId="6" w16cid:durableId="1760297193">
    <w:abstractNumId w:val="4"/>
  </w:num>
  <w:num w:numId="7" w16cid:durableId="1788616173">
    <w:abstractNumId w:val="7"/>
  </w:num>
  <w:num w:numId="8" w16cid:durableId="20591573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rin Soraya Williams">
    <w15:presenceInfo w15:providerId="AD" w15:userId="S::Catrin.Williams@eryri.llyw.cymru::945d6dac-4d1a-44b5-8de8-b88185f84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9"/>
    <w:rsid w:val="000047D3"/>
    <w:rsid w:val="00023432"/>
    <w:rsid w:val="00057819"/>
    <w:rsid w:val="000D6D98"/>
    <w:rsid w:val="000F2701"/>
    <w:rsid w:val="00101E05"/>
    <w:rsid w:val="00152A7C"/>
    <w:rsid w:val="00181CB7"/>
    <w:rsid w:val="001918EB"/>
    <w:rsid w:val="001A1909"/>
    <w:rsid w:val="00220CB6"/>
    <w:rsid w:val="00284AA7"/>
    <w:rsid w:val="002918F1"/>
    <w:rsid w:val="00292D4A"/>
    <w:rsid w:val="002964B2"/>
    <w:rsid w:val="002B74AD"/>
    <w:rsid w:val="002B7D0B"/>
    <w:rsid w:val="002E29EE"/>
    <w:rsid w:val="002F56BF"/>
    <w:rsid w:val="0030049C"/>
    <w:rsid w:val="003123A6"/>
    <w:rsid w:val="0034157D"/>
    <w:rsid w:val="00360B16"/>
    <w:rsid w:val="00366CFF"/>
    <w:rsid w:val="00374589"/>
    <w:rsid w:val="00375179"/>
    <w:rsid w:val="0038586D"/>
    <w:rsid w:val="00396E0F"/>
    <w:rsid w:val="00460032"/>
    <w:rsid w:val="004A375D"/>
    <w:rsid w:val="004A7373"/>
    <w:rsid w:val="004B7DE4"/>
    <w:rsid w:val="00502BD9"/>
    <w:rsid w:val="0055683E"/>
    <w:rsid w:val="005C0659"/>
    <w:rsid w:val="005C71C9"/>
    <w:rsid w:val="00621066"/>
    <w:rsid w:val="00635F6D"/>
    <w:rsid w:val="00642E92"/>
    <w:rsid w:val="0065312C"/>
    <w:rsid w:val="006A3F74"/>
    <w:rsid w:val="006C037C"/>
    <w:rsid w:val="006F64D3"/>
    <w:rsid w:val="007659A4"/>
    <w:rsid w:val="007F74E8"/>
    <w:rsid w:val="00810E71"/>
    <w:rsid w:val="008178CD"/>
    <w:rsid w:val="00835E66"/>
    <w:rsid w:val="008911C6"/>
    <w:rsid w:val="008B7E73"/>
    <w:rsid w:val="008E1A7F"/>
    <w:rsid w:val="0095441A"/>
    <w:rsid w:val="009C1FB5"/>
    <w:rsid w:val="009D14B1"/>
    <w:rsid w:val="009E4A53"/>
    <w:rsid w:val="00A951DA"/>
    <w:rsid w:val="00AB10F3"/>
    <w:rsid w:val="00AB43C7"/>
    <w:rsid w:val="00B5778C"/>
    <w:rsid w:val="00B62A64"/>
    <w:rsid w:val="00B81C67"/>
    <w:rsid w:val="00BC5DB4"/>
    <w:rsid w:val="00BD29D9"/>
    <w:rsid w:val="00C203B7"/>
    <w:rsid w:val="00C51483"/>
    <w:rsid w:val="00C64511"/>
    <w:rsid w:val="00C94171"/>
    <w:rsid w:val="00CA57DF"/>
    <w:rsid w:val="00D11A7E"/>
    <w:rsid w:val="00D24D23"/>
    <w:rsid w:val="00D3378D"/>
    <w:rsid w:val="00DA5F7A"/>
    <w:rsid w:val="00DC55EA"/>
    <w:rsid w:val="00E16AC8"/>
    <w:rsid w:val="00E27500"/>
    <w:rsid w:val="00E97E77"/>
    <w:rsid w:val="00EA63ED"/>
    <w:rsid w:val="00EC475B"/>
    <w:rsid w:val="00F45E4C"/>
    <w:rsid w:val="00F7364B"/>
    <w:rsid w:val="00F90420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7FFE"/>
  <w15:chartTrackingRefBased/>
  <w15:docId w15:val="{2A547969-80E7-4A9B-962B-C389CF6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8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8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A57D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A57D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57DF"/>
    <w:pPr>
      <w:spacing w:after="100"/>
      <w:ind w:left="240"/>
    </w:pPr>
  </w:style>
  <w:style w:type="paragraph" w:styleId="Revision">
    <w:name w:val="Revision"/>
    <w:hidden/>
    <w:uiPriority w:val="99"/>
    <w:semiHidden/>
    <w:rsid w:val="004A37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0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ACB5-E6F5-495D-9725-332971DF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2458</Words>
  <Characters>13642</Characters>
  <Application>Microsoft Office Word</Application>
  <DocSecurity>0</DocSecurity>
  <Lines>272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 Rh. Roberts</dc:creator>
  <cp:keywords/>
  <dc:description/>
  <cp:lastModifiedBy>Dion Rh. Roberts</cp:lastModifiedBy>
  <cp:revision>3</cp:revision>
  <dcterms:created xsi:type="dcterms:W3CDTF">2026-04-13T12:38:00Z</dcterms:created>
  <dcterms:modified xsi:type="dcterms:W3CDTF">2026-04-13T13:10:00Z</dcterms:modified>
</cp:coreProperties>
</file>