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D2D0C" w14:textId="77777777" w:rsidR="00C516B0" w:rsidRDefault="00C516B0">
      <w:pPr>
        <w:pStyle w:val="CoversheetStaticText"/>
        <w:rPr>
          <w:rFonts w:ascii="Arial" w:hAnsi="Arial" w:cs="Arial"/>
        </w:rPr>
      </w:pPr>
    </w:p>
    <w:p w14:paraId="59D97FCB" w14:textId="77777777" w:rsidR="00C516B0" w:rsidRDefault="00C516B0" w:rsidP="00C516B0">
      <w:pPr>
        <w:pStyle w:val="AdditionalTitle"/>
        <w:jc w:val="center"/>
      </w:pPr>
    </w:p>
    <w:p w14:paraId="1794C604" w14:textId="52A7CABD" w:rsidR="00C516B0" w:rsidRPr="00974EC2" w:rsidRDefault="00C516B0" w:rsidP="00C516B0">
      <w:pPr>
        <w:pStyle w:val="AdditionalTitle"/>
        <w:jc w:val="center"/>
      </w:pPr>
      <w:r w:rsidRPr="00974EC2">
        <w:t xml:space="preserve">Coleg Y </w:t>
      </w:r>
      <w:proofErr w:type="spellStart"/>
      <w:r w:rsidRPr="00974EC2">
        <w:t>Cymoedd</w:t>
      </w:r>
      <w:proofErr w:type="spellEnd"/>
      <w:r w:rsidRPr="00974EC2">
        <w:t xml:space="preserve"> (the “College”)</w:t>
      </w:r>
    </w:p>
    <w:p w14:paraId="1BB071EB" w14:textId="77777777" w:rsidR="00C516B0" w:rsidRPr="00974EC2" w:rsidRDefault="00C516B0" w:rsidP="00C516B0">
      <w:pPr>
        <w:pStyle w:val="AdditionalTitle"/>
        <w:jc w:val="center"/>
      </w:pPr>
    </w:p>
    <w:p w14:paraId="061B461B" w14:textId="77777777" w:rsidR="00CC52C0" w:rsidRPr="00974EC2" w:rsidRDefault="00C516B0" w:rsidP="00C516B0">
      <w:pPr>
        <w:pStyle w:val="AdditionalTitle"/>
        <w:jc w:val="center"/>
      </w:pPr>
      <w:r w:rsidRPr="00974EC2">
        <w:t xml:space="preserve">Invitation to tender for </w:t>
      </w:r>
    </w:p>
    <w:p w14:paraId="6B2CB023" w14:textId="77777777" w:rsidR="00C516B0" w:rsidRPr="00974EC2" w:rsidRDefault="00C516B0" w:rsidP="00C516B0">
      <w:pPr>
        <w:pStyle w:val="AdditionalTitle"/>
        <w:jc w:val="center"/>
      </w:pPr>
    </w:p>
    <w:p w14:paraId="10ACEB93" w14:textId="6A9F99E2" w:rsidR="00151996" w:rsidRDefault="00325DB7" w:rsidP="00267D24">
      <w:pPr>
        <w:pStyle w:val="Parasubclause1"/>
        <w:ind w:left="0"/>
        <w:jc w:val="center"/>
        <w:rPr>
          <w:b/>
          <w:bCs/>
        </w:rPr>
      </w:pPr>
      <w:r>
        <w:rPr>
          <w:b/>
          <w:bCs/>
        </w:rPr>
        <w:t>A</w:t>
      </w:r>
      <w:r w:rsidR="001F497D">
        <w:rPr>
          <w:b/>
          <w:bCs/>
        </w:rPr>
        <w:t xml:space="preserve"> </w:t>
      </w:r>
      <w:r w:rsidR="00516A4A">
        <w:rPr>
          <w:b/>
          <w:bCs/>
        </w:rPr>
        <w:t>Framework</w:t>
      </w:r>
      <w:r>
        <w:rPr>
          <w:b/>
          <w:bCs/>
        </w:rPr>
        <w:t xml:space="preserve"> relating to the provision of small construction projects up to £35,000</w:t>
      </w:r>
    </w:p>
    <w:p w14:paraId="15DD6F3B" w14:textId="77C0F1C2" w:rsidR="00C516B0" w:rsidRPr="00974EC2" w:rsidRDefault="00C516B0" w:rsidP="00C516B0">
      <w:pPr>
        <w:pStyle w:val="AdditionalTitle"/>
        <w:jc w:val="center"/>
      </w:pPr>
    </w:p>
    <w:p w14:paraId="5600F1D7" w14:textId="1708ACDC" w:rsidR="00C516B0" w:rsidRPr="00724E66" w:rsidRDefault="00C516B0" w:rsidP="00C516B0">
      <w:pPr>
        <w:pStyle w:val="AdditionalTitle"/>
        <w:jc w:val="center"/>
      </w:pPr>
    </w:p>
    <w:tbl>
      <w:tblPr>
        <w:tblStyle w:val="TableGrid"/>
        <w:tblW w:w="0" w:type="auto"/>
        <w:tblLook w:val="04A0" w:firstRow="1" w:lastRow="0" w:firstColumn="1" w:lastColumn="0" w:noHBand="0" w:noVBand="1"/>
      </w:tblPr>
      <w:tblGrid>
        <w:gridCol w:w="9350"/>
      </w:tblGrid>
      <w:tr w:rsidR="00C516B0" w:rsidRPr="00974EC2" w14:paraId="7C797D5B" w14:textId="77777777">
        <w:tc>
          <w:tcPr>
            <w:tcW w:w="9350" w:type="dxa"/>
            <w:tcBorders>
              <w:top w:val="single" w:sz="4" w:space="0" w:color="auto"/>
              <w:left w:val="single" w:sz="4" w:space="0" w:color="auto"/>
              <w:bottom w:val="single" w:sz="4" w:space="0" w:color="auto"/>
              <w:right w:val="single" w:sz="4" w:space="0" w:color="auto"/>
            </w:tcBorders>
          </w:tcPr>
          <w:p w14:paraId="16CAC879" w14:textId="5417E19F" w:rsidR="00C516B0" w:rsidRPr="00974EC2" w:rsidRDefault="00C516B0">
            <w:pPr>
              <w:pStyle w:val="Paragraph"/>
              <w:jc w:val="center"/>
            </w:pPr>
            <w:r w:rsidRPr="00974EC2">
              <w:t xml:space="preserve">UNIQUE IDENTIFIER FOR THE PROCUREMENT: </w:t>
            </w:r>
            <w:r w:rsidR="005B6109">
              <w:t>CYC/26/041</w:t>
            </w:r>
          </w:p>
        </w:tc>
      </w:tr>
      <w:tr w:rsidR="00C516B0" w:rsidRPr="00974EC2" w14:paraId="155D9237" w14:textId="77777777">
        <w:tc>
          <w:tcPr>
            <w:tcW w:w="9350" w:type="dxa"/>
            <w:tcBorders>
              <w:top w:val="single" w:sz="4" w:space="0" w:color="auto"/>
              <w:left w:val="single" w:sz="4" w:space="0" w:color="auto"/>
              <w:bottom w:val="single" w:sz="4" w:space="0" w:color="auto"/>
              <w:right w:val="single" w:sz="4" w:space="0" w:color="auto"/>
            </w:tcBorders>
          </w:tcPr>
          <w:p w14:paraId="5BCAFD20" w14:textId="014A68F8" w:rsidR="00C516B0" w:rsidRPr="00974EC2" w:rsidRDefault="00C516B0">
            <w:pPr>
              <w:pStyle w:val="Paragraph"/>
              <w:jc w:val="center"/>
            </w:pPr>
            <w:r w:rsidRPr="00974EC2">
              <w:t xml:space="preserve">TENDER RETURN DATE AND TIME (DEADLINE): </w:t>
            </w:r>
            <w:r w:rsidR="00175078">
              <w:t>16</w:t>
            </w:r>
            <w:r w:rsidR="00175078" w:rsidRPr="00175078">
              <w:rPr>
                <w:vertAlign w:val="superscript"/>
              </w:rPr>
              <w:t>th</w:t>
            </w:r>
            <w:r w:rsidR="00175078">
              <w:t xml:space="preserve"> June 2026 at 17:00</w:t>
            </w:r>
          </w:p>
        </w:tc>
      </w:tr>
    </w:tbl>
    <w:p w14:paraId="3118E469" w14:textId="16ECAFB3" w:rsidR="00C516B0" w:rsidRPr="00974EC2" w:rsidRDefault="00C516B0" w:rsidP="00C516B0">
      <w:pPr>
        <w:pStyle w:val="AdditionalTitle"/>
        <w:jc w:val="center"/>
        <w:sectPr w:rsidR="00C516B0" w:rsidRPr="00974EC2">
          <w:footerReference w:type="default" r:id="rId14"/>
          <w:pgSz w:w="12240" w:h="15840"/>
          <w:pgMar w:top="1440" w:right="1440" w:bottom="1440" w:left="1440" w:header="720" w:footer="720" w:gutter="0"/>
          <w:cols w:space="720"/>
        </w:sectPr>
      </w:pPr>
    </w:p>
    <w:p w14:paraId="22FF50E2" w14:textId="77777777" w:rsidR="00492069" w:rsidRPr="00974EC2" w:rsidRDefault="00492069">
      <w:pPr>
        <w:rPr>
          <w:rFonts w:ascii="Arial" w:hAnsi="Arial" w:cs="Arial"/>
        </w:rPr>
        <w:sectPr w:rsidR="00492069" w:rsidRPr="00974EC2">
          <w:type w:val="continuous"/>
          <w:pgSz w:w="12240" w:h="15840"/>
          <w:pgMar w:top="1440" w:right="1440" w:bottom="1440" w:left="1440" w:header="720" w:footer="720" w:gutter="0"/>
          <w:cols w:space="720"/>
        </w:sectPr>
      </w:pPr>
    </w:p>
    <w:p w14:paraId="37CEC58B" w14:textId="77777777" w:rsidR="00CC52C0" w:rsidRPr="00974EC2" w:rsidRDefault="00A01C2C">
      <w:pPr>
        <w:pStyle w:val="HeadingLevel2"/>
      </w:pPr>
      <w:r w:rsidRPr="00974EC2">
        <w:lastRenderedPageBreak/>
        <w:t>CONTENTS</w:t>
      </w:r>
    </w:p>
    <w:p w14:paraId="127D3E5D" w14:textId="77777777" w:rsidR="00CC52C0" w:rsidRPr="00974EC2" w:rsidRDefault="00A01C2C">
      <w:pPr>
        <w:pStyle w:val="HeadingLevel2"/>
      </w:pPr>
      <w:r w:rsidRPr="00974EC2">
        <w:t>____________________________________________________________</w:t>
      </w:r>
    </w:p>
    <w:p w14:paraId="69CE3998" w14:textId="77777777" w:rsidR="00CC52C0" w:rsidRPr="00974EC2" w:rsidRDefault="00A01C2C">
      <w:pPr>
        <w:pStyle w:val="HeadingLevel2"/>
      </w:pPr>
      <w:r w:rsidRPr="00974EC2">
        <w:t>CLAUSE</w:t>
      </w:r>
    </w:p>
    <w:p w14:paraId="1F961261" w14:textId="7EF9FE29" w:rsidR="00EF3C68" w:rsidRPr="00267D24" w:rsidRDefault="00A01C2C">
      <w:pPr>
        <w:pStyle w:val="TOC1"/>
        <w:rPr>
          <w:rFonts w:ascii="Arial" w:eastAsiaTheme="minorEastAsia" w:hAnsi="Arial" w:cs="Arial"/>
          <w:lang w:eastAsia="en-GB"/>
        </w:rPr>
      </w:pPr>
      <w:r w:rsidRPr="00974EC2">
        <w:rPr>
          <w:rFonts w:ascii="Arial" w:eastAsia="Arial" w:hAnsi="Arial" w:cs="Arial"/>
          <w:sz w:val="22"/>
          <w:szCs w:val="22"/>
          <w:lang w:eastAsia="en-GB"/>
        </w:rPr>
        <w:fldChar w:fldCharType="begin"/>
      </w:r>
      <w:r w:rsidRPr="00974EC2">
        <w:rPr>
          <w:rFonts w:ascii="Arial" w:hAnsi="Arial" w:cs="Arial"/>
          <w:color w:val="000000"/>
        </w:rPr>
        <w:instrText>TOC \t "Title Clause, 1" \h</w:instrText>
      </w:r>
      <w:r w:rsidRPr="00974EC2">
        <w:rPr>
          <w:rFonts w:ascii="Arial" w:eastAsia="Arial" w:hAnsi="Arial" w:cs="Arial"/>
          <w:sz w:val="22"/>
          <w:szCs w:val="22"/>
          <w:lang w:eastAsia="en-GB"/>
        </w:rPr>
        <w:fldChar w:fldCharType="separate"/>
      </w:r>
      <w:hyperlink w:anchor="_Toc216178764" w:history="1">
        <w:r w:rsidR="00EF3C68" w:rsidRPr="00267D24">
          <w:rPr>
            <w:rStyle w:val="Hyperlink"/>
            <w:rFonts w:ascii="Arial" w:hAnsi="Arial" w:cs="Arial"/>
          </w:rPr>
          <w:t>1.</w:t>
        </w:r>
        <w:r w:rsidR="00EF3C68" w:rsidRPr="00267D24">
          <w:rPr>
            <w:rFonts w:ascii="Arial" w:eastAsiaTheme="minorEastAsia" w:hAnsi="Arial" w:cs="Arial"/>
            <w:lang w:eastAsia="en-GB"/>
          </w:rPr>
          <w:tab/>
        </w:r>
        <w:r w:rsidR="00EF3C68" w:rsidRPr="00267D24">
          <w:rPr>
            <w:rStyle w:val="Hyperlink"/>
            <w:rFonts w:ascii="Arial" w:hAnsi="Arial" w:cs="Arial"/>
          </w:rPr>
          <w:t>Introduction and background</w:t>
        </w:r>
        <w:r w:rsidR="00EF3C68" w:rsidRPr="00267D24">
          <w:rPr>
            <w:rFonts w:ascii="Arial" w:hAnsi="Arial" w:cs="Arial"/>
          </w:rPr>
          <w:tab/>
        </w:r>
        <w:r w:rsidR="00EF3C68" w:rsidRPr="00267D24">
          <w:rPr>
            <w:rFonts w:ascii="Arial" w:hAnsi="Arial" w:cs="Arial"/>
          </w:rPr>
          <w:fldChar w:fldCharType="begin"/>
        </w:r>
        <w:r w:rsidR="00EF3C68" w:rsidRPr="00267D24">
          <w:rPr>
            <w:rFonts w:ascii="Arial" w:hAnsi="Arial" w:cs="Arial"/>
          </w:rPr>
          <w:instrText xml:space="preserve"> PAGEREF _Toc216178764 \h </w:instrText>
        </w:r>
        <w:r w:rsidR="00EF3C68" w:rsidRPr="00267D24">
          <w:rPr>
            <w:rFonts w:ascii="Arial" w:hAnsi="Arial" w:cs="Arial"/>
          </w:rPr>
        </w:r>
        <w:r w:rsidR="00EF3C68" w:rsidRPr="00267D24">
          <w:rPr>
            <w:rFonts w:ascii="Arial" w:hAnsi="Arial" w:cs="Arial"/>
          </w:rPr>
          <w:fldChar w:fldCharType="separate"/>
        </w:r>
        <w:r w:rsidR="00777E89" w:rsidRPr="00267D24">
          <w:rPr>
            <w:rFonts w:ascii="Arial" w:hAnsi="Arial" w:cs="Arial"/>
          </w:rPr>
          <w:t>2</w:t>
        </w:r>
        <w:r w:rsidR="00EF3C68" w:rsidRPr="00267D24">
          <w:rPr>
            <w:rFonts w:ascii="Arial" w:hAnsi="Arial" w:cs="Arial"/>
          </w:rPr>
          <w:fldChar w:fldCharType="end"/>
        </w:r>
      </w:hyperlink>
    </w:p>
    <w:p w14:paraId="5B4BD2ED" w14:textId="6E5D84A3" w:rsidR="00EF3C68" w:rsidRPr="00267D24" w:rsidRDefault="00EF3C68">
      <w:pPr>
        <w:pStyle w:val="TOC1"/>
        <w:rPr>
          <w:rFonts w:ascii="Arial" w:eastAsiaTheme="minorEastAsia" w:hAnsi="Arial" w:cs="Arial"/>
          <w:lang w:eastAsia="en-GB"/>
        </w:rPr>
      </w:pPr>
      <w:hyperlink w:anchor="_Toc216178765" w:history="1">
        <w:r w:rsidRPr="00267D24">
          <w:rPr>
            <w:rStyle w:val="Hyperlink"/>
            <w:rFonts w:ascii="Arial" w:hAnsi="Arial" w:cs="Arial"/>
          </w:rPr>
          <w:t>2.</w:t>
        </w:r>
        <w:r w:rsidRPr="00267D24">
          <w:rPr>
            <w:rFonts w:ascii="Arial" w:eastAsiaTheme="minorEastAsia" w:hAnsi="Arial" w:cs="Arial"/>
            <w:lang w:eastAsia="en-GB"/>
          </w:rPr>
          <w:tab/>
        </w:r>
        <w:r w:rsidRPr="00267D24">
          <w:rPr>
            <w:rStyle w:val="Hyperlink"/>
            <w:rFonts w:ascii="Arial" w:hAnsi="Arial" w:cs="Arial"/>
          </w:rPr>
          <w:t>Tender Timetable</w:t>
        </w:r>
        <w:r w:rsidRPr="00267D24">
          <w:rPr>
            <w:rFonts w:ascii="Arial" w:hAnsi="Arial" w:cs="Arial"/>
          </w:rPr>
          <w:tab/>
        </w:r>
        <w:r w:rsidRPr="00267D24">
          <w:rPr>
            <w:rFonts w:ascii="Arial" w:hAnsi="Arial" w:cs="Arial"/>
          </w:rPr>
          <w:fldChar w:fldCharType="begin"/>
        </w:r>
        <w:r w:rsidRPr="00267D24">
          <w:rPr>
            <w:rFonts w:ascii="Arial" w:hAnsi="Arial" w:cs="Arial"/>
          </w:rPr>
          <w:instrText xml:space="preserve"> PAGEREF _Toc216178765 \h </w:instrText>
        </w:r>
        <w:r w:rsidRPr="00267D24">
          <w:rPr>
            <w:rFonts w:ascii="Arial" w:hAnsi="Arial" w:cs="Arial"/>
          </w:rPr>
        </w:r>
        <w:r w:rsidRPr="00267D24">
          <w:rPr>
            <w:rFonts w:ascii="Arial" w:hAnsi="Arial" w:cs="Arial"/>
          </w:rPr>
          <w:fldChar w:fldCharType="separate"/>
        </w:r>
        <w:r w:rsidR="00777E89" w:rsidRPr="00267D24">
          <w:rPr>
            <w:rFonts w:ascii="Arial" w:hAnsi="Arial" w:cs="Arial"/>
          </w:rPr>
          <w:t>6</w:t>
        </w:r>
        <w:r w:rsidRPr="00267D24">
          <w:rPr>
            <w:rFonts w:ascii="Arial" w:hAnsi="Arial" w:cs="Arial"/>
          </w:rPr>
          <w:fldChar w:fldCharType="end"/>
        </w:r>
      </w:hyperlink>
    </w:p>
    <w:p w14:paraId="06E7B713" w14:textId="71E0ECE4" w:rsidR="00EF3C68" w:rsidRPr="00267D24" w:rsidRDefault="00EF3C68">
      <w:pPr>
        <w:pStyle w:val="TOC1"/>
        <w:rPr>
          <w:rFonts w:ascii="Arial" w:eastAsiaTheme="minorEastAsia" w:hAnsi="Arial" w:cs="Arial"/>
          <w:lang w:eastAsia="en-GB"/>
        </w:rPr>
      </w:pPr>
      <w:hyperlink w:anchor="_Toc216178766" w:history="1">
        <w:r w:rsidRPr="00267D24">
          <w:rPr>
            <w:rStyle w:val="Hyperlink"/>
            <w:rFonts w:ascii="Arial" w:hAnsi="Arial" w:cs="Arial"/>
          </w:rPr>
          <w:t>3.</w:t>
        </w:r>
        <w:r w:rsidRPr="00267D24">
          <w:rPr>
            <w:rFonts w:ascii="Arial" w:eastAsiaTheme="minorEastAsia" w:hAnsi="Arial" w:cs="Arial"/>
            <w:lang w:eastAsia="en-GB"/>
          </w:rPr>
          <w:tab/>
        </w:r>
        <w:r w:rsidRPr="00267D24">
          <w:rPr>
            <w:rStyle w:val="Hyperlink"/>
            <w:rFonts w:ascii="Arial" w:hAnsi="Arial" w:cs="Arial"/>
          </w:rPr>
          <w:t>Tender completion information</w:t>
        </w:r>
        <w:r w:rsidRPr="00267D24">
          <w:rPr>
            <w:rFonts w:ascii="Arial" w:hAnsi="Arial" w:cs="Arial"/>
          </w:rPr>
          <w:tab/>
        </w:r>
        <w:r w:rsidRPr="00267D24">
          <w:rPr>
            <w:rFonts w:ascii="Arial" w:hAnsi="Arial" w:cs="Arial"/>
          </w:rPr>
          <w:fldChar w:fldCharType="begin"/>
        </w:r>
        <w:r w:rsidRPr="00267D24">
          <w:rPr>
            <w:rFonts w:ascii="Arial" w:hAnsi="Arial" w:cs="Arial"/>
          </w:rPr>
          <w:instrText xml:space="preserve"> PAGEREF _Toc216178766 \h </w:instrText>
        </w:r>
        <w:r w:rsidRPr="00267D24">
          <w:rPr>
            <w:rFonts w:ascii="Arial" w:hAnsi="Arial" w:cs="Arial"/>
          </w:rPr>
        </w:r>
        <w:r w:rsidRPr="00267D24">
          <w:rPr>
            <w:rFonts w:ascii="Arial" w:hAnsi="Arial" w:cs="Arial"/>
          </w:rPr>
          <w:fldChar w:fldCharType="separate"/>
        </w:r>
        <w:r w:rsidR="00777E89" w:rsidRPr="00267D24">
          <w:rPr>
            <w:rFonts w:ascii="Arial" w:hAnsi="Arial" w:cs="Arial"/>
          </w:rPr>
          <w:t>9</w:t>
        </w:r>
        <w:r w:rsidRPr="00267D24">
          <w:rPr>
            <w:rFonts w:ascii="Arial" w:hAnsi="Arial" w:cs="Arial"/>
          </w:rPr>
          <w:fldChar w:fldCharType="end"/>
        </w:r>
      </w:hyperlink>
    </w:p>
    <w:p w14:paraId="026719BD" w14:textId="5ABD7805" w:rsidR="00EF3C68" w:rsidRPr="00267D24" w:rsidRDefault="00EF3C68">
      <w:pPr>
        <w:pStyle w:val="TOC1"/>
        <w:rPr>
          <w:rFonts w:ascii="Arial" w:eastAsiaTheme="minorEastAsia" w:hAnsi="Arial" w:cs="Arial"/>
          <w:lang w:eastAsia="en-GB"/>
        </w:rPr>
      </w:pPr>
      <w:hyperlink w:anchor="_Toc216178767" w:history="1">
        <w:r w:rsidRPr="00267D24">
          <w:rPr>
            <w:rStyle w:val="Hyperlink"/>
            <w:rFonts w:ascii="Arial" w:hAnsi="Arial" w:cs="Arial"/>
          </w:rPr>
          <w:t>4.</w:t>
        </w:r>
        <w:r w:rsidRPr="00267D24">
          <w:rPr>
            <w:rFonts w:ascii="Arial" w:eastAsiaTheme="minorEastAsia" w:hAnsi="Arial" w:cs="Arial"/>
            <w:lang w:eastAsia="en-GB"/>
          </w:rPr>
          <w:tab/>
        </w:r>
        <w:r w:rsidRPr="00267D24">
          <w:rPr>
            <w:rStyle w:val="Hyperlink"/>
            <w:rFonts w:ascii="Arial" w:hAnsi="Arial" w:cs="Arial"/>
          </w:rPr>
          <w:t>Procurement terms and conditions</w:t>
        </w:r>
        <w:r w:rsidRPr="00267D24">
          <w:rPr>
            <w:rFonts w:ascii="Arial" w:hAnsi="Arial" w:cs="Arial"/>
          </w:rPr>
          <w:tab/>
        </w:r>
        <w:r w:rsidRPr="00267D24">
          <w:rPr>
            <w:rFonts w:ascii="Arial" w:hAnsi="Arial" w:cs="Arial"/>
          </w:rPr>
          <w:fldChar w:fldCharType="begin"/>
        </w:r>
        <w:r w:rsidRPr="00267D24">
          <w:rPr>
            <w:rFonts w:ascii="Arial" w:hAnsi="Arial" w:cs="Arial"/>
          </w:rPr>
          <w:instrText xml:space="preserve"> PAGEREF _Toc216178767 \h </w:instrText>
        </w:r>
        <w:r w:rsidRPr="00267D24">
          <w:rPr>
            <w:rFonts w:ascii="Arial" w:hAnsi="Arial" w:cs="Arial"/>
          </w:rPr>
        </w:r>
        <w:r w:rsidRPr="00267D24">
          <w:rPr>
            <w:rFonts w:ascii="Arial" w:hAnsi="Arial" w:cs="Arial"/>
          </w:rPr>
          <w:fldChar w:fldCharType="separate"/>
        </w:r>
        <w:r w:rsidR="00777E89" w:rsidRPr="00267D24">
          <w:rPr>
            <w:rFonts w:ascii="Arial" w:hAnsi="Arial" w:cs="Arial"/>
          </w:rPr>
          <w:t>12</w:t>
        </w:r>
        <w:r w:rsidRPr="00267D24">
          <w:rPr>
            <w:rFonts w:ascii="Arial" w:hAnsi="Arial" w:cs="Arial"/>
          </w:rPr>
          <w:fldChar w:fldCharType="end"/>
        </w:r>
      </w:hyperlink>
    </w:p>
    <w:p w14:paraId="4853263A" w14:textId="6BF1379C" w:rsidR="00EF3C68" w:rsidRPr="00267D24" w:rsidRDefault="00EF3C68">
      <w:pPr>
        <w:pStyle w:val="TOC1"/>
        <w:rPr>
          <w:rFonts w:ascii="Arial" w:eastAsiaTheme="minorEastAsia" w:hAnsi="Arial" w:cs="Arial"/>
          <w:lang w:eastAsia="en-GB"/>
        </w:rPr>
      </w:pPr>
      <w:hyperlink w:anchor="_Toc216178768" w:history="1">
        <w:r w:rsidRPr="00267D24">
          <w:rPr>
            <w:rStyle w:val="Hyperlink"/>
            <w:rFonts w:ascii="Arial" w:hAnsi="Arial" w:cs="Arial"/>
          </w:rPr>
          <w:t>5.</w:t>
        </w:r>
        <w:r w:rsidRPr="00267D24">
          <w:rPr>
            <w:rFonts w:ascii="Arial" w:eastAsiaTheme="minorEastAsia" w:hAnsi="Arial" w:cs="Arial"/>
            <w:lang w:eastAsia="en-GB"/>
          </w:rPr>
          <w:tab/>
        </w:r>
        <w:r w:rsidRPr="00267D24">
          <w:rPr>
            <w:rStyle w:val="Hyperlink"/>
            <w:rFonts w:ascii="Arial" w:hAnsi="Arial" w:cs="Arial"/>
          </w:rPr>
          <w:t xml:space="preserve">Tender </w:t>
        </w:r>
        <w:r w:rsidR="00F751F1">
          <w:rPr>
            <w:rStyle w:val="Hyperlink"/>
            <w:rFonts w:ascii="Arial" w:hAnsi="Arial" w:cs="Arial"/>
          </w:rPr>
          <w:t>Assessment</w:t>
        </w:r>
        <w:r w:rsidRPr="00267D24">
          <w:rPr>
            <w:rStyle w:val="Hyperlink"/>
            <w:rFonts w:ascii="Arial" w:hAnsi="Arial" w:cs="Arial"/>
          </w:rPr>
          <w:t xml:space="preserve"> Model</w:t>
        </w:r>
        <w:r w:rsidRPr="00267D24">
          <w:rPr>
            <w:rFonts w:ascii="Arial" w:hAnsi="Arial" w:cs="Arial"/>
          </w:rPr>
          <w:tab/>
        </w:r>
        <w:r w:rsidRPr="00267D24">
          <w:rPr>
            <w:rFonts w:ascii="Arial" w:hAnsi="Arial" w:cs="Arial"/>
          </w:rPr>
          <w:fldChar w:fldCharType="begin"/>
        </w:r>
        <w:r w:rsidRPr="00267D24">
          <w:rPr>
            <w:rFonts w:ascii="Arial" w:hAnsi="Arial" w:cs="Arial"/>
          </w:rPr>
          <w:instrText xml:space="preserve"> PAGEREF _Toc216178768 \h </w:instrText>
        </w:r>
        <w:r w:rsidRPr="00267D24">
          <w:rPr>
            <w:rFonts w:ascii="Arial" w:hAnsi="Arial" w:cs="Arial"/>
          </w:rPr>
        </w:r>
        <w:r w:rsidRPr="00267D24">
          <w:rPr>
            <w:rFonts w:ascii="Arial" w:hAnsi="Arial" w:cs="Arial"/>
          </w:rPr>
          <w:fldChar w:fldCharType="separate"/>
        </w:r>
        <w:r w:rsidR="00777E89" w:rsidRPr="00267D24">
          <w:rPr>
            <w:rFonts w:ascii="Arial" w:hAnsi="Arial" w:cs="Arial"/>
          </w:rPr>
          <w:t>16</w:t>
        </w:r>
        <w:r w:rsidRPr="00267D24">
          <w:rPr>
            <w:rFonts w:ascii="Arial" w:hAnsi="Arial" w:cs="Arial"/>
          </w:rPr>
          <w:fldChar w:fldCharType="end"/>
        </w:r>
      </w:hyperlink>
    </w:p>
    <w:p w14:paraId="38EE4C40" w14:textId="5CECDBF1" w:rsidR="00EF3C68" w:rsidRPr="00267D24" w:rsidRDefault="00EF3C68">
      <w:pPr>
        <w:pStyle w:val="TOC1"/>
        <w:rPr>
          <w:rFonts w:ascii="Arial" w:eastAsiaTheme="minorEastAsia" w:hAnsi="Arial" w:cs="Arial"/>
          <w:lang w:eastAsia="en-GB"/>
        </w:rPr>
      </w:pPr>
      <w:hyperlink w:anchor="_Toc216178769" w:history="1">
        <w:r w:rsidRPr="00267D24">
          <w:rPr>
            <w:rStyle w:val="Hyperlink"/>
            <w:rFonts w:ascii="Arial" w:hAnsi="Arial" w:cs="Arial"/>
          </w:rPr>
          <w:t>6.</w:t>
        </w:r>
        <w:r w:rsidRPr="00267D24">
          <w:rPr>
            <w:rFonts w:ascii="Arial" w:eastAsiaTheme="minorEastAsia" w:hAnsi="Arial" w:cs="Arial"/>
            <w:lang w:eastAsia="en-GB"/>
          </w:rPr>
          <w:tab/>
        </w:r>
        <w:r w:rsidRPr="00267D24">
          <w:rPr>
            <w:rStyle w:val="Hyperlink"/>
            <w:rFonts w:ascii="Arial" w:hAnsi="Arial" w:cs="Arial"/>
          </w:rPr>
          <w:t>TUPE</w:t>
        </w:r>
        <w:r w:rsidRPr="00267D24">
          <w:rPr>
            <w:rFonts w:ascii="Arial" w:hAnsi="Arial" w:cs="Arial"/>
          </w:rPr>
          <w:tab/>
        </w:r>
        <w:r w:rsidRPr="00267D24">
          <w:rPr>
            <w:rFonts w:ascii="Arial" w:hAnsi="Arial" w:cs="Arial"/>
          </w:rPr>
          <w:fldChar w:fldCharType="begin"/>
        </w:r>
        <w:r w:rsidRPr="00267D24">
          <w:rPr>
            <w:rFonts w:ascii="Arial" w:hAnsi="Arial" w:cs="Arial"/>
          </w:rPr>
          <w:instrText xml:space="preserve"> PAGEREF _Toc216178769 \h </w:instrText>
        </w:r>
        <w:r w:rsidRPr="00267D24">
          <w:rPr>
            <w:rFonts w:ascii="Arial" w:hAnsi="Arial" w:cs="Arial"/>
          </w:rPr>
        </w:r>
        <w:r w:rsidRPr="00267D24">
          <w:rPr>
            <w:rFonts w:ascii="Arial" w:hAnsi="Arial" w:cs="Arial"/>
          </w:rPr>
          <w:fldChar w:fldCharType="separate"/>
        </w:r>
        <w:r w:rsidR="00777E89" w:rsidRPr="00267D24">
          <w:rPr>
            <w:rFonts w:ascii="Arial" w:hAnsi="Arial" w:cs="Arial"/>
          </w:rPr>
          <w:t>19</w:t>
        </w:r>
        <w:r w:rsidRPr="00267D24">
          <w:rPr>
            <w:rFonts w:ascii="Arial" w:hAnsi="Arial" w:cs="Arial"/>
          </w:rPr>
          <w:fldChar w:fldCharType="end"/>
        </w:r>
      </w:hyperlink>
    </w:p>
    <w:p w14:paraId="28F0012D" w14:textId="05BE82CC" w:rsidR="00EF3C68" w:rsidRPr="00267D24" w:rsidRDefault="00EF3C68">
      <w:pPr>
        <w:pStyle w:val="TOC1"/>
        <w:rPr>
          <w:rFonts w:ascii="Arial" w:eastAsiaTheme="minorEastAsia" w:hAnsi="Arial" w:cs="Arial"/>
          <w:lang w:eastAsia="en-GB"/>
        </w:rPr>
      </w:pPr>
      <w:hyperlink w:anchor="_Toc216178770" w:history="1">
        <w:r w:rsidRPr="00267D24">
          <w:rPr>
            <w:rStyle w:val="Hyperlink"/>
            <w:rFonts w:ascii="Arial" w:hAnsi="Arial" w:cs="Arial"/>
          </w:rPr>
          <w:t>7.</w:t>
        </w:r>
        <w:r w:rsidRPr="00267D24">
          <w:rPr>
            <w:rFonts w:ascii="Arial" w:eastAsiaTheme="minorEastAsia" w:hAnsi="Arial" w:cs="Arial"/>
            <w:lang w:eastAsia="en-GB"/>
          </w:rPr>
          <w:tab/>
        </w:r>
        <w:r w:rsidRPr="00267D24">
          <w:rPr>
            <w:rStyle w:val="Hyperlink"/>
            <w:rFonts w:ascii="Arial" w:hAnsi="Arial" w:cs="Arial"/>
          </w:rPr>
          <w:t>Assessment questions for completion by tenderers</w:t>
        </w:r>
        <w:r w:rsidRPr="00267D24">
          <w:rPr>
            <w:rFonts w:ascii="Arial" w:hAnsi="Arial" w:cs="Arial"/>
          </w:rPr>
          <w:tab/>
        </w:r>
        <w:r w:rsidRPr="00267D24">
          <w:rPr>
            <w:rFonts w:ascii="Arial" w:hAnsi="Arial" w:cs="Arial"/>
          </w:rPr>
          <w:fldChar w:fldCharType="begin"/>
        </w:r>
        <w:r w:rsidRPr="00267D24">
          <w:rPr>
            <w:rFonts w:ascii="Arial" w:hAnsi="Arial" w:cs="Arial"/>
          </w:rPr>
          <w:instrText xml:space="preserve"> PAGEREF _Toc216178770 \h </w:instrText>
        </w:r>
        <w:r w:rsidRPr="00267D24">
          <w:rPr>
            <w:rFonts w:ascii="Arial" w:hAnsi="Arial" w:cs="Arial"/>
          </w:rPr>
        </w:r>
        <w:r w:rsidRPr="00267D24">
          <w:rPr>
            <w:rFonts w:ascii="Arial" w:hAnsi="Arial" w:cs="Arial"/>
          </w:rPr>
          <w:fldChar w:fldCharType="separate"/>
        </w:r>
        <w:r w:rsidR="00777E89" w:rsidRPr="00267D24">
          <w:rPr>
            <w:rFonts w:ascii="Arial" w:hAnsi="Arial" w:cs="Arial"/>
          </w:rPr>
          <w:t>20</w:t>
        </w:r>
        <w:r w:rsidRPr="00267D24">
          <w:rPr>
            <w:rFonts w:ascii="Arial" w:hAnsi="Arial" w:cs="Arial"/>
          </w:rPr>
          <w:fldChar w:fldCharType="end"/>
        </w:r>
      </w:hyperlink>
    </w:p>
    <w:p w14:paraId="1A69F198" w14:textId="78AC8234" w:rsidR="00EF3C68" w:rsidRPr="00267D24" w:rsidRDefault="00EF3C68">
      <w:pPr>
        <w:pStyle w:val="TOC1"/>
        <w:rPr>
          <w:rFonts w:ascii="Arial" w:eastAsiaTheme="minorEastAsia" w:hAnsi="Arial" w:cs="Arial"/>
          <w:lang w:eastAsia="en-GB"/>
        </w:rPr>
      </w:pPr>
      <w:hyperlink w:anchor="_Toc216178771" w:history="1">
        <w:r w:rsidRPr="00267D24">
          <w:rPr>
            <w:rStyle w:val="Hyperlink"/>
            <w:rFonts w:ascii="Arial" w:hAnsi="Arial" w:cs="Arial"/>
          </w:rPr>
          <w:t>8.</w:t>
        </w:r>
        <w:r w:rsidRPr="00267D24">
          <w:rPr>
            <w:rFonts w:ascii="Arial" w:eastAsiaTheme="minorEastAsia" w:hAnsi="Arial" w:cs="Arial"/>
            <w:lang w:eastAsia="en-GB"/>
          </w:rPr>
          <w:tab/>
        </w:r>
        <w:r w:rsidRPr="00267D24">
          <w:rPr>
            <w:rStyle w:val="Hyperlink"/>
            <w:rFonts w:ascii="Arial" w:hAnsi="Arial" w:cs="Arial"/>
          </w:rPr>
          <w:t>Construction Specific Requirements</w:t>
        </w:r>
        <w:r w:rsidRPr="00267D24">
          <w:rPr>
            <w:rFonts w:ascii="Arial" w:hAnsi="Arial" w:cs="Arial"/>
          </w:rPr>
          <w:tab/>
        </w:r>
        <w:r w:rsidRPr="00267D24">
          <w:rPr>
            <w:rFonts w:ascii="Arial" w:hAnsi="Arial" w:cs="Arial"/>
          </w:rPr>
          <w:fldChar w:fldCharType="begin"/>
        </w:r>
        <w:r w:rsidRPr="00267D24">
          <w:rPr>
            <w:rFonts w:ascii="Arial" w:hAnsi="Arial" w:cs="Arial"/>
          </w:rPr>
          <w:instrText xml:space="preserve"> PAGEREF _Toc216178771 \h </w:instrText>
        </w:r>
        <w:r w:rsidRPr="00267D24">
          <w:rPr>
            <w:rFonts w:ascii="Arial" w:hAnsi="Arial" w:cs="Arial"/>
          </w:rPr>
        </w:r>
        <w:r w:rsidRPr="00267D24">
          <w:rPr>
            <w:rFonts w:ascii="Arial" w:hAnsi="Arial" w:cs="Arial"/>
          </w:rPr>
          <w:fldChar w:fldCharType="separate"/>
        </w:r>
        <w:r w:rsidR="00777E89" w:rsidRPr="00267D24">
          <w:rPr>
            <w:rFonts w:ascii="Arial" w:hAnsi="Arial" w:cs="Arial"/>
          </w:rPr>
          <w:t>21</w:t>
        </w:r>
        <w:r w:rsidRPr="00267D24">
          <w:rPr>
            <w:rFonts w:ascii="Arial" w:hAnsi="Arial" w:cs="Arial"/>
          </w:rPr>
          <w:fldChar w:fldCharType="end"/>
        </w:r>
      </w:hyperlink>
    </w:p>
    <w:p w14:paraId="23363FB1" w14:textId="738F30A4" w:rsidR="00CC52C0" w:rsidRPr="00974EC2" w:rsidRDefault="00A01C2C">
      <w:pPr>
        <w:pStyle w:val="HeadingLevel2"/>
      </w:pPr>
      <w:r w:rsidRPr="00974EC2">
        <w:fldChar w:fldCharType="end"/>
      </w:r>
    </w:p>
    <w:p w14:paraId="549BF0F2" w14:textId="77777777" w:rsidR="00CC52C0" w:rsidRPr="00974EC2" w:rsidRDefault="00CC52C0">
      <w:pPr>
        <w:pStyle w:val="DescriptiveHeading"/>
        <w:sectPr w:rsidR="00CC52C0" w:rsidRPr="00974EC2">
          <w:footerReference w:type="default" r:id="rId15"/>
          <w:pgSz w:w="12240" w:h="15840"/>
          <w:pgMar w:top="1440" w:right="1440" w:bottom="1440" w:left="1440" w:header="720" w:footer="720" w:gutter="0"/>
          <w:pgNumType w:start="1"/>
          <w:cols w:space="720"/>
        </w:sectPr>
      </w:pPr>
    </w:p>
    <w:p w14:paraId="2BF1890C" w14:textId="5F9CDD03" w:rsidR="00CC52C0" w:rsidRPr="00974EC2" w:rsidRDefault="00A01C2C">
      <w:pPr>
        <w:pStyle w:val="TitleClause"/>
      </w:pPr>
      <w:bookmarkStart w:id="0" w:name="a1033551"/>
      <w:bookmarkStart w:id="1" w:name="_Toc216178764"/>
      <w:r w:rsidRPr="00974EC2">
        <w:lastRenderedPageBreak/>
        <w:t>Introduction and background</w:t>
      </w:r>
      <w:bookmarkEnd w:id="0"/>
      <w:bookmarkEnd w:id="1"/>
    </w:p>
    <w:p w14:paraId="6C2349DA" w14:textId="77777777" w:rsidR="00CC52C0" w:rsidRPr="00974EC2" w:rsidRDefault="00A01C2C">
      <w:pPr>
        <w:pStyle w:val="Untitledsubclause1"/>
        <w:rPr>
          <w:b/>
        </w:rPr>
      </w:pPr>
      <w:bookmarkStart w:id="2" w:name="a770563"/>
      <w:r w:rsidRPr="00974EC2">
        <w:rPr>
          <w:b/>
        </w:rPr>
        <w:t>Contents of the ITT</w:t>
      </w:r>
      <w:bookmarkEnd w:id="2"/>
    </w:p>
    <w:p w14:paraId="20D52EC0" w14:textId="77777777" w:rsidR="00CC52C0" w:rsidRPr="00974EC2" w:rsidRDefault="00A01C2C">
      <w:pPr>
        <w:pStyle w:val="Parasubclause1"/>
      </w:pPr>
      <w:r w:rsidRPr="00974EC2">
        <w:t>This invitation to tender (</w:t>
      </w:r>
      <w:r w:rsidRPr="00974EC2">
        <w:rPr>
          <w:rStyle w:val="DefTerm"/>
        </w:rPr>
        <w:t>ITT</w:t>
      </w:r>
      <w:r w:rsidRPr="00974EC2">
        <w:t>) comprises:</w:t>
      </w:r>
    </w:p>
    <w:p w14:paraId="2D6F4DA6" w14:textId="379CAC10" w:rsidR="00CC52C0" w:rsidRPr="00974EC2" w:rsidRDefault="00A01C2C">
      <w:pPr>
        <w:pStyle w:val="subclause1Bullet1"/>
      </w:pPr>
      <w:r w:rsidRPr="00974EC2">
        <w:t xml:space="preserve">Tender completion requirements, </w:t>
      </w:r>
      <w:r w:rsidR="00F751F1">
        <w:t>assessment</w:t>
      </w:r>
      <w:r w:rsidRPr="00974EC2">
        <w:t xml:space="preserve"> model and schedules.</w:t>
      </w:r>
    </w:p>
    <w:p w14:paraId="5527CA52" w14:textId="30403D3C" w:rsidR="00874790" w:rsidRPr="00974EC2" w:rsidRDefault="0013459C" w:rsidP="00133394">
      <w:pPr>
        <w:pStyle w:val="subclause1Bullet1"/>
      </w:pPr>
      <w:r>
        <w:t xml:space="preserve">Draft </w:t>
      </w:r>
      <w:r w:rsidR="0063521E">
        <w:t xml:space="preserve">Framework </w:t>
      </w:r>
      <w:r w:rsidR="00516A4A">
        <w:t>a</w:t>
      </w:r>
      <w:r w:rsidR="0063521E">
        <w:t xml:space="preserve">greement </w:t>
      </w:r>
      <w:r w:rsidR="00A01C2C" w:rsidRPr="00974EC2">
        <w:t>and schedules</w:t>
      </w:r>
      <w:r w:rsidR="00231054">
        <w:t xml:space="preserve"> (together referred to as the </w:t>
      </w:r>
      <w:r w:rsidR="00231054">
        <w:rPr>
          <w:b/>
          <w:bCs/>
        </w:rPr>
        <w:t>Framework</w:t>
      </w:r>
      <w:r w:rsidR="00231054">
        <w:t>)</w:t>
      </w:r>
      <w:r w:rsidR="00A01C2C" w:rsidRPr="00974EC2">
        <w:t>.</w:t>
      </w:r>
    </w:p>
    <w:p w14:paraId="59F06305" w14:textId="44184D16" w:rsidR="00CC52C0" w:rsidRPr="00563292" w:rsidRDefault="00A01C2C">
      <w:pPr>
        <w:pStyle w:val="subclause1Bullet1"/>
      </w:pPr>
      <w:r w:rsidRPr="00563292">
        <w:t>Technical and commercial questions</w:t>
      </w:r>
      <w:r w:rsidR="00B850FD">
        <w:t>.</w:t>
      </w:r>
    </w:p>
    <w:p w14:paraId="7613AA0E" w14:textId="77777777" w:rsidR="00CC52C0" w:rsidRPr="00974EC2" w:rsidRDefault="00A01C2C">
      <w:pPr>
        <w:pStyle w:val="Untitledsubclause1"/>
        <w:rPr>
          <w:b/>
        </w:rPr>
      </w:pPr>
      <w:bookmarkStart w:id="3" w:name="a293949"/>
      <w:r w:rsidRPr="00974EC2">
        <w:rPr>
          <w:b/>
        </w:rPr>
        <w:t xml:space="preserve">Introduction </w:t>
      </w:r>
      <w:bookmarkEnd w:id="3"/>
    </w:p>
    <w:p w14:paraId="1E85E499" w14:textId="1273BC27" w:rsidR="003B1C82" w:rsidRDefault="00A01C2C" w:rsidP="00325DB7">
      <w:pPr>
        <w:pStyle w:val="Parasubclause1"/>
      </w:pPr>
      <w:r w:rsidRPr="00974EC2">
        <w:t xml:space="preserve">The </w:t>
      </w:r>
      <w:r w:rsidR="00C516B0" w:rsidRPr="00974EC2">
        <w:t>College</w:t>
      </w:r>
      <w:r w:rsidRPr="00974EC2">
        <w:t xml:space="preserve"> is conducting the procurement using </w:t>
      </w:r>
      <w:r w:rsidR="00C412BD" w:rsidRPr="00974EC2">
        <w:t>a competitive tendering procedure</w:t>
      </w:r>
      <w:r w:rsidR="00516A4A">
        <w:t xml:space="preserve"> to allow the </w:t>
      </w:r>
      <w:r w:rsidR="00BA3963">
        <w:t xml:space="preserve">creation </w:t>
      </w:r>
      <w:r w:rsidR="00516A4A">
        <w:t xml:space="preserve">of a </w:t>
      </w:r>
      <w:r w:rsidR="003B1C82">
        <w:t>f</w:t>
      </w:r>
      <w:r w:rsidR="00516A4A">
        <w:t>ramework for the provision of small construction works projects (“</w:t>
      </w:r>
      <w:r w:rsidR="00516A4A">
        <w:rPr>
          <w:b/>
          <w:bCs/>
        </w:rPr>
        <w:t>Works</w:t>
      </w:r>
      <w:r w:rsidR="00516A4A">
        <w:t>”)</w:t>
      </w:r>
      <w:r w:rsidR="00C412BD" w:rsidRPr="00974EC2">
        <w:t xml:space="preserve">. </w:t>
      </w:r>
    </w:p>
    <w:p w14:paraId="4B37301D" w14:textId="37E6EC33" w:rsidR="00AF2DD7" w:rsidRPr="00974EC2" w:rsidRDefault="003B1C82" w:rsidP="00325DB7">
      <w:pPr>
        <w:pStyle w:val="Parasubclause1"/>
      </w:pPr>
      <w:r>
        <w:t xml:space="preserve">The value of the call-offs under the framework, and the framework itself are below threshold. </w:t>
      </w:r>
      <w:r w:rsidR="00AF2DD7" w:rsidRPr="00974EC2">
        <w:t>The College is exempt from Part 6 of the Procurement Act 2023 (</w:t>
      </w:r>
      <w:r w:rsidR="00AF2DD7" w:rsidRPr="00974EC2">
        <w:rPr>
          <w:b/>
          <w:bCs/>
        </w:rPr>
        <w:t>PA 2023</w:t>
      </w:r>
      <w:r w:rsidR="00AF2DD7" w:rsidRPr="00974EC2">
        <w:t>)</w:t>
      </w:r>
      <w:r w:rsidR="00402F40" w:rsidRPr="00974EC2">
        <w:t xml:space="preserve"> and therefore is not subject to the </w:t>
      </w:r>
      <w:r w:rsidR="00646D9B" w:rsidRPr="00974EC2">
        <w:t>PA 2023 below-threshold requirements</w:t>
      </w:r>
      <w:r w:rsidR="00E443CC" w:rsidRPr="00974EC2">
        <w:t xml:space="preserve">. </w:t>
      </w:r>
      <w:r w:rsidR="00646D9B" w:rsidRPr="00974EC2">
        <w:t>However, for the sake of transparency, t</w:t>
      </w:r>
      <w:r w:rsidR="00AF2DD7" w:rsidRPr="00974EC2">
        <w:t>he College is adopting similar processes to those set out in the PA 2023</w:t>
      </w:r>
      <w:r w:rsidR="00A4069B" w:rsidRPr="00974EC2">
        <w:t xml:space="preserve">, including but not limited to, </w:t>
      </w:r>
      <w:r>
        <w:t xml:space="preserve">considering, where proportionate to do so, the framework requirements under the PA 23, and </w:t>
      </w:r>
      <w:r w:rsidR="00A4069B" w:rsidRPr="00974EC2">
        <w:t xml:space="preserve">issuing a </w:t>
      </w:r>
      <w:r w:rsidR="00AB63AC">
        <w:t>t</w:t>
      </w:r>
      <w:r w:rsidR="00A4069B" w:rsidRPr="00974EC2">
        <w:t xml:space="preserve">ender notice on </w:t>
      </w:r>
      <w:r w:rsidR="00A4069B" w:rsidRPr="00A04D3D">
        <w:t>Sell2Wales</w:t>
      </w:r>
      <w:r w:rsidR="00A04D3D">
        <w:t>.</w:t>
      </w:r>
      <w:r w:rsidR="00AF2DD7" w:rsidRPr="00A04D3D">
        <w:t xml:space="preserve"> </w:t>
      </w:r>
    </w:p>
    <w:p w14:paraId="661B6390" w14:textId="77777777" w:rsidR="00CC52C0" w:rsidRPr="00974EC2" w:rsidRDefault="00A01C2C">
      <w:pPr>
        <w:pStyle w:val="Parasubclause1"/>
        <w:rPr>
          <w:b/>
          <w:bCs/>
        </w:rPr>
      </w:pPr>
      <w:r w:rsidRPr="00974EC2">
        <w:t>This ITT contains further information about the procurement process, including the timetable, how to submit a response (</w:t>
      </w:r>
      <w:r w:rsidRPr="00974EC2">
        <w:rPr>
          <w:b/>
          <w:bCs/>
        </w:rPr>
        <w:t>Tender</w:t>
      </w:r>
      <w:r w:rsidRPr="00974EC2">
        <w:t>), and criteria by which Tenders will be judged (</w:t>
      </w:r>
      <w:r w:rsidRPr="00974EC2">
        <w:rPr>
          <w:b/>
          <w:bCs/>
        </w:rPr>
        <w:t>Award Criteria</w:t>
      </w:r>
      <w:r w:rsidRPr="00974EC2">
        <w:t xml:space="preserve">). </w:t>
      </w:r>
    </w:p>
    <w:p w14:paraId="43C77BB4" w14:textId="77777777" w:rsidR="00CC52C0" w:rsidRPr="00974EC2" w:rsidRDefault="00A01C2C">
      <w:pPr>
        <w:pStyle w:val="Parasubclause1"/>
      </w:pPr>
      <w:r w:rsidRPr="00974EC2">
        <w:rPr>
          <w:b/>
          <w:bCs/>
        </w:rPr>
        <w:t>Please read this document carefully, as failure to comply may result in exclusion from the procurement or rejection of a Tender.</w:t>
      </w:r>
    </w:p>
    <w:p w14:paraId="56E193E9" w14:textId="1FD7B45A" w:rsidR="00CC52C0" w:rsidRPr="00974EC2" w:rsidRDefault="00A01C2C">
      <w:pPr>
        <w:pStyle w:val="Titlesubclause1"/>
      </w:pPr>
      <w:bookmarkStart w:id="4" w:name="a926689"/>
      <w:r w:rsidRPr="00974EC2">
        <w:t xml:space="preserve">Introduction to the </w:t>
      </w:r>
      <w:r w:rsidR="00C516B0" w:rsidRPr="00974EC2">
        <w:t>College</w:t>
      </w:r>
      <w:bookmarkEnd w:id="4"/>
    </w:p>
    <w:p w14:paraId="26F44496" w14:textId="43F18F48" w:rsidR="00CC52C0" w:rsidRPr="00974EC2" w:rsidRDefault="00E16A5A">
      <w:pPr>
        <w:pStyle w:val="Parasubclause1"/>
      </w:pPr>
      <w:r w:rsidRPr="00974EC2">
        <w:t xml:space="preserve">Coleg y </w:t>
      </w:r>
      <w:proofErr w:type="spellStart"/>
      <w:r w:rsidRPr="00974EC2">
        <w:t>Cymoedd</w:t>
      </w:r>
      <w:proofErr w:type="spellEnd"/>
      <w:r w:rsidRPr="00974EC2">
        <w:t xml:space="preserve"> (meaning College of the valleys) was formed in 2013, following the merger of The College of </w:t>
      </w:r>
      <w:proofErr w:type="spellStart"/>
      <w:r w:rsidRPr="00974EC2">
        <w:t>Ystrad</w:t>
      </w:r>
      <w:proofErr w:type="spellEnd"/>
      <w:r w:rsidRPr="00974EC2">
        <w:t xml:space="preserve"> </w:t>
      </w:r>
      <w:proofErr w:type="spellStart"/>
      <w:r w:rsidRPr="00974EC2">
        <w:t>Mynach</w:t>
      </w:r>
      <w:proofErr w:type="spellEnd"/>
      <w:r w:rsidRPr="00974EC2">
        <w:t xml:space="preserve"> and Coleg Morgannwg to form one of the largest providers of further education and training in South Wales. It is committed to providing high quality, wide ranging and relevant education, and training courses for the local community.</w:t>
      </w:r>
    </w:p>
    <w:p w14:paraId="0FCDB812" w14:textId="494A1DD5" w:rsidR="00325DB7" w:rsidRDefault="00EE4A0A">
      <w:pPr>
        <w:pStyle w:val="Parasubclause1"/>
      </w:pPr>
      <w:r w:rsidRPr="00974EC2">
        <w:t xml:space="preserve">The College is based in </w:t>
      </w:r>
      <w:r w:rsidR="00D54652" w:rsidRPr="00974EC2">
        <w:t>Southeast</w:t>
      </w:r>
      <w:r w:rsidRPr="00974EC2">
        <w:t xml:space="preserve"> Wales and boasts 4 main campuses across the Rhondda Cynon Taff County Borough Council and Caerphilly County Borough Council. </w:t>
      </w:r>
      <w:r w:rsidR="00487BCE" w:rsidRPr="00974EC2">
        <w:t>The Estate is 59,622m</w:t>
      </w:r>
      <w:r w:rsidR="00487BCE" w:rsidRPr="00974EC2">
        <w:rPr>
          <w:vertAlign w:val="superscript"/>
        </w:rPr>
        <w:t>2</w:t>
      </w:r>
      <w:r w:rsidR="00487BCE" w:rsidRPr="00974EC2">
        <w:t xml:space="preserve"> spread over the 4 campuses: Rhondda </w:t>
      </w:r>
      <w:r w:rsidR="00487BCE" w:rsidRPr="00974EC2">
        <w:lastRenderedPageBreak/>
        <w:t>(10,237m</w:t>
      </w:r>
      <w:r w:rsidR="00487BCE" w:rsidRPr="00974EC2">
        <w:rPr>
          <w:vertAlign w:val="superscript"/>
        </w:rPr>
        <w:t>2</w:t>
      </w:r>
      <w:r w:rsidR="00487BCE" w:rsidRPr="00974EC2">
        <w:t>), Nantgarw (25,891m</w:t>
      </w:r>
      <w:r w:rsidR="00487BCE" w:rsidRPr="00974EC2">
        <w:rPr>
          <w:vertAlign w:val="superscript"/>
        </w:rPr>
        <w:t>2</w:t>
      </w:r>
      <w:r w:rsidR="00487BCE" w:rsidRPr="00974EC2">
        <w:t xml:space="preserve">), </w:t>
      </w:r>
      <w:proofErr w:type="spellStart"/>
      <w:r w:rsidR="00487BCE" w:rsidRPr="00974EC2">
        <w:t>Ystrad</w:t>
      </w:r>
      <w:proofErr w:type="spellEnd"/>
      <w:r w:rsidR="00487BCE" w:rsidRPr="00974EC2">
        <w:t xml:space="preserve"> </w:t>
      </w:r>
      <w:proofErr w:type="spellStart"/>
      <w:r w:rsidR="00487BCE" w:rsidRPr="00974EC2">
        <w:t>Mynach</w:t>
      </w:r>
      <w:proofErr w:type="spellEnd"/>
      <w:r w:rsidR="00487BCE" w:rsidRPr="00974EC2">
        <w:t xml:space="preserve"> (17,323m</w:t>
      </w:r>
      <w:r w:rsidR="00487BCE" w:rsidRPr="00974EC2">
        <w:rPr>
          <w:vertAlign w:val="superscript"/>
        </w:rPr>
        <w:t>2</w:t>
      </w:r>
      <w:r w:rsidR="00487BCE" w:rsidRPr="00974EC2">
        <w:t xml:space="preserve">) and </w:t>
      </w:r>
      <w:r w:rsidR="00F450D4" w:rsidRPr="00974EC2">
        <w:t>Aberdare (6,171m</w:t>
      </w:r>
      <w:r w:rsidR="00F450D4" w:rsidRPr="00974EC2">
        <w:rPr>
          <w:vertAlign w:val="superscript"/>
        </w:rPr>
        <w:t>2</w:t>
      </w:r>
      <w:r w:rsidR="00F450D4" w:rsidRPr="00974EC2">
        <w:t xml:space="preserve">). </w:t>
      </w:r>
      <w:r w:rsidR="00EB3201">
        <w:t xml:space="preserve">Tenderers should note that Works procured under the </w:t>
      </w:r>
      <w:r w:rsidR="00516A4A">
        <w:t>Framework</w:t>
      </w:r>
      <w:r w:rsidR="00EB3201">
        <w:t xml:space="preserve"> may be required at any one of the College’s four campuses. </w:t>
      </w:r>
    </w:p>
    <w:p w14:paraId="612F8CFF" w14:textId="25B44527" w:rsidR="00EE4A0A" w:rsidRPr="00974EC2" w:rsidRDefault="00F450D4">
      <w:pPr>
        <w:pStyle w:val="Parasubclause1"/>
      </w:pPr>
      <w:r w:rsidRPr="00974EC2">
        <w:t>It offers learning provision at outreach centres within local communities. The College holds the investors in people award, many of the campuses also hold awards</w:t>
      </w:r>
      <w:r w:rsidR="004741DC" w:rsidRPr="00974EC2">
        <w:t xml:space="preserve"> for good and outstanding practice. The College has over 12,000 enrolments with an annual turnover of £40 million. The College employs 800 staff. </w:t>
      </w:r>
    </w:p>
    <w:p w14:paraId="602E096A" w14:textId="1D54EA71" w:rsidR="00D03BB7" w:rsidRPr="00974EC2" w:rsidRDefault="00D03BB7" w:rsidP="00D03BB7">
      <w:pPr>
        <w:pStyle w:val="Parasubclause1"/>
        <w:rPr>
          <w:b/>
          <w:bCs/>
        </w:rPr>
      </w:pPr>
      <w:r w:rsidRPr="007602CC">
        <w:rPr>
          <w:b/>
          <w:bCs/>
        </w:rPr>
        <w:t>Appendix I – Campus Arial Photo</w:t>
      </w:r>
      <w:r w:rsidR="00B60580" w:rsidRPr="007602CC">
        <w:rPr>
          <w:b/>
          <w:bCs/>
        </w:rPr>
        <w:t>s</w:t>
      </w:r>
      <w:r w:rsidRPr="00974EC2">
        <w:rPr>
          <w:b/>
          <w:bCs/>
        </w:rPr>
        <w:t xml:space="preserve"> </w:t>
      </w:r>
    </w:p>
    <w:p w14:paraId="763D59A8" w14:textId="70AB8F34" w:rsidR="00D03BB7" w:rsidRPr="00974EC2" w:rsidRDefault="00D03BB7" w:rsidP="00D03BB7">
      <w:pPr>
        <w:pStyle w:val="Parasubclause1"/>
      </w:pPr>
      <w:r w:rsidRPr="00974EC2">
        <w:t>The College offer a wide range of Full and Part Time courses from Entry to Degree Leve</w:t>
      </w:r>
      <w:r w:rsidR="00594F8F" w:rsidRPr="00974EC2">
        <w:t>l</w:t>
      </w:r>
      <w:r w:rsidRPr="00974EC2">
        <w:t xml:space="preserve"> in over 15 Curriculum areas.  </w:t>
      </w:r>
    </w:p>
    <w:p w14:paraId="2AA579EB" w14:textId="77777777" w:rsidR="00D03BB7" w:rsidRPr="00974EC2" w:rsidRDefault="00D03BB7" w:rsidP="00D03BB7">
      <w:pPr>
        <w:pStyle w:val="Parasubclause1"/>
      </w:pPr>
      <w:r w:rsidRPr="00974EC2">
        <w:t xml:space="preserve">Working in partnership with more than 800 employers, the College’s Business Services Team offer a wide range of Apprenticeship and Bespoke Commercial Training Packages.  </w:t>
      </w:r>
    </w:p>
    <w:p w14:paraId="2942F7D3" w14:textId="3E7606D0" w:rsidR="00D03BB7" w:rsidRPr="00974EC2" w:rsidRDefault="00D03BB7" w:rsidP="00D03BB7">
      <w:pPr>
        <w:pStyle w:val="Parasubclause1"/>
      </w:pPr>
      <w:r w:rsidRPr="00974EC2">
        <w:t>The College has invested significantly in its facilities in recent years with standout projects including the Nantga</w:t>
      </w:r>
      <w:r w:rsidR="00266B59" w:rsidRPr="00974EC2">
        <w:t>r</w:t>
      </w:r>
      <w:r w:rsidRPr="00974EC2">
        <w:t>w Campus building (a £40 million award winning campus), Aberdare Campus (a £22 million campus opened in 2017), state of the art Railway Training and Motor Vehicle Facilities.</w:t>
      </w:r>
    </w:p>
    <w:p w14:paraId="2E9C63BA" w14:textId="2134B901" w:rsidR="00D03BB7" w:rsidRPr="00974EC2" w:rsidRDefault="00D03BB7" w:rsidP="00D03BB7">
      <w:pPr>
        <w:pStyle w:val="Parasubclause1"/>
      </w:pPr>
      <w:r w:rsidRPr="00974EC2">
        <w:rPr>
          <w:b/>
          <w:bCs/>
        </w:rPr>
        <w:t>Mission</w:t>
      </w:r>
      <w:r w:rsidR="000C26CC" w:rsidRPr="00974EC2">
        <w:rPr>
          <w:b/>
          <w:bCs/>
        </w:rPr>
        <w:br/>
      </w:r>
      <w:r w:rsidRPr="00974EC2">
        <w:t xml:space="preserve">Our mission is your future success.  </w:t>
      </w:r>
    </w:p>
    <w:p w14:paraId="1AE865DE" w14:textId="1A1E1595" w:rsidR="00D03BB7" w:rsidRPr="00974EC2" w:rsidRDefault="00D03BB7" w:rsidP="00D03BB7">
      <w:pPr>
        <w:pStyle w:val="Parasubclause1"/>
      </w:pPr>
      <w:r w:rsidRPr="00974EC2">
        <w:rPr>
          <w:b/>
          <w:bCs/>
        </w:rPr>
        <w:t>Vision</w:t>
      </w:r>
      <w:r w:rsidR="000C26CC" w:rsidRPr="00974EC2">
        <w:rPr>
          <w:b/>
          <w:bCs/>
        </w:rPr>
        <w:br/>
      </w:r>
      <w:r w:rsidRPr="00974EC2">
        <w:t xml:space="preserve">To be recognised as an excellent College by learners, staff, business and communities.  </w:t>
      </w:r>
    </w:p>
    <w:p w14:paraId="1BC77BA8" w14:textId="31D5C66B" w:rsidR="00D03BB7" w:rsidRPr="00974EC2" w:rsidRDefault="00D03BB7" w:rsidP="004B7409">
      <w:pPr>
        <w:pStyle w:val="Parasubclause1"/>
        <w:jc w:val="left"/>
      </w:pPr>
      <w:r w:rsidRPr="00974EC2">
        <w:rPr>
          <w:b/>
          <w:bCs/>
        </w:rPr>
        <w:t>Core Values</w:t>
      </w:r>
      <w:r w:rsidR="00040FFD" w:rsidRPr="00974EC2">
        <w:rPr>
          <w:b/>
          <w:bCs/>
        </w:rPr>
        <w:br/>
      </w:r>
      <w:r w:rsidRPr="00974EC2">
        <w:t>Our Core Values are that:</w:t>
      </w:r>
    </w:p>
    <w:p w14:paraId="4EDFA802" w14:textId="77777777" w:rsidR="00D03BB7" w:rsidRPr="00974EC2" w:rsidRDefault="00D03BB7" w:rsidP="004B7409">
      <w:pPr>
        <w:pStyle w:val="Parasubclause1"/>
        <w:numPr>
          <w:ilvl w:val="0"/>
          <w:numId w:val="49"/>
        </w:numPr>
        <w:spacing w:before="0" w:after="0"/>
      </w:pPr>
      <w:r w:rsidRPr="00974EC2">
        <w:t xml:space="preserve">We focus on learners.  </w:t>
      </w:r>
    </w:p>
    <w:p w14:paraId="753D359B" w14:textId="77777777" w:rsidR="00D03BB7" w:rsidRPr="00974EC2" w:rsidRDefault="00D03BB7" w:rsidP="004B7409">
      <w:pPr>
        <w:pStyle w:val="Parasubclause1"/>
        <w:numPr>
          <w:ilvl w:val="0"/>
          <w:numId w:val="49"/>
        </w:numPr>
        <w:spacing w:before="0" w:after="0"/>
      </w:pPr>
      <w:r w:rsidRPr="00974EC2">
        <w:t xml:space="preserve">We strive for high performance.  </w:t>
      </w:r>
    </w:p>
    <w:p w14:paraId="483E7631" w14:textId="77777777" w:rsidR="00D03BB7" w:rsidRPr="00974EC2" w:rsidRDefault="00D03BB7" w:rsidP="004B7409">
      <w:pPr>
        <w:pStyle w:val="Parasubclause1"/>
        <w:numPr>
          <w:ilvl w:val="0"/>
          <w:numId w:val="49"/>
        </w:numPr>
        <w:spacing w:before="0" w:after="0"/>
      </w:pPr>
      <w:r w:rsidRPr="00974EC2">
        <w:t xml:space="preserve">We value and invest in all people.  </w:t>
      </w:r>
    </w:p>
    <w:p w14:paraId="1F490B72" w14:textId="77777777" w:rsidR="00D03BB7" w:rsidRPr="00974EC2" w:rsidRDefault="00D03BB7" w:rsidP="004B7409">
      <w:pPr>
        <w:pStyle w:val="Parasubclause1"/>
        <w:numPr>
          <w:ilvl w:val="0"/>
          <w:numId w:val="49"/>
        </w:numPr>
        <w:spacing w:before="0" w:after="0"/>
      </w:pPr>
      <w:r w:rsidRPr="00974EC2">
        <w:t xml:space="preserve">We seek continuous improvement.  </w:t>
      </w:r>
    </w:p>
    <w:p w14:paraId="3232F425" w14:textId="5347956F" w:rsidR="00C3346A" w:rsidRDefault="00D03BB7" w:rsidP="002F66B7">
      <w:pPr>
        <w:pStyle w:val="Parasubclause1"/>
        <w:numPr>
          <w:ilvl w:val="0"/>
          <w:numId w:val="49"/>
        </w:numPr>
        <w:spacing w:before="0"/>
      </w:pPr>
      <w:r w:rsidRPr="00974EC2">
        <w:t>We are aspirational, we listen and collaborate.</w:t>
      </w:r>
    </w:p>
    <w:p w14:paraId="6A62CA03" w14:textId="00847C7D" w:rsidR="00D54652" w:rsidRDefault="00C3346A" w:rsidP="00C3346A">
      <w:pPr>
        <w:pStyle w:val="Untitledsubclause1"/>
        <w:rPr>
          <w:b/>
        </w:rPr>
      </w:pPr>
      <w:r>
        <w:rPr>
          <w:b/>
        </w:rPr>
        <w:t>Operational Hours</w:t>
      </w:r>
    </w:p>
    <w:p w14:paraId="7AB914B8" w14:textId="3B6753B0" w:rsidR="00776A52" w:rsidRDefault="00776A52" w:rsidP="00776A52">
      <w:pPr>
        <w:pStyle w:val="Parasubclause1"/>
      </w:pPr>
      <w:r w:rsidRPr="0093597D">
        <w:t>The hours of operations for the sake of this</w:t>
      </w:r>
      <w:r w:rsidR="00946EE6">
        <w:t xml:space="preserve"> </w:t>
      </w:r>
      <w:r w:rsidR="00516A4A">
        <w:t>Framework</w:t>
      </w:r>
      <w:r w:rsidRPr="0093597D">
        <w:t xml:space="preserve"> are in accordance with the definitions of ‘College Operating Hours’ and ‘Out of College Operating Hours’.  These being:</w:t>
      </w:r>
    </w:p>
    <w:p w14:paraId="056E3CD8" w14:textId="6E78A01D" w:rsidR="00776A52" w:rsidRPr="002F66B7" w:rsidRDefault="00C7208F" w:rsidP="00776A52">
      <w:pPr>
        <w:pStyle w:val="Parasubclause1"/>
        <w:rPr>
          <w:b/>
          <w:bCs/>
        </w:rPr>
      </w:pPr>
      <w:r w:rsidRPr="002F66B7">
        <w:rPr>
          <w:b/>
          <w:bCs/>
        </w:rPr>
        <w:lastRenderedPageBreak/>
        <w:t>College Operating Hours:</w:t>
      </w:r>
    </w:p>
    <w:p w14:paraId="137A761C" w14:textId="0CABBE75" w:rsidR="00C7208F" w:rsidRDefault="00EC1111" w:rsidP="00776A52">
      <w:pPr>
        <w:pStyle w:val="Parasubclause1"/>
      </w:pPr>
      <w:r>
        <w:t>08:00-21:00 hours Monday to Thursday</w:t>
      </w:r>
    </w:p>
    <w:p w14:paraId="5FA44BF1" w14:textId="6324572B" w:rsidR="00EC1111" w:rsidRDefault="00C15E54" w:rsidP="00776A52">
      <w:pPr>
        <w:pStyle w:val="Parasubclause1"/>
      </w:pPr>
      <w:r>
        <w:t>08:00-17:00 hours Friday</w:t>
      </w:r>
    </w:p>
    <w:p w14:paraId="7ACE8759" w14:textId="5C53FBAF" w:rsidR="00C15E54" w:rsidRDefault="00C15E54" w:rsidP="00776A52">
      <w:pPr>
        <w:pStyle w:val="Parasubclause1"/>
      </w:pPr>
      <w:r>
        <w:t>08:00-13:00 hours Saturday</w:t>
      </w:r>
      <w:r w:rsidR="00F6619F">
        <w:t>s</w:t>
      </w:r>
      <w:r>
        <w:t xml:space="preserve"> (At Nantgarw only)</w:t>
      </w:r>
    </w:p>
    <w:p w14:paraId="45D0B61D" w14:textId="59E662F7" w:rsidR="00C15E54" w:rsidRDefault="009F472B" w:rsidP="00776A52">
      <w:pPr>
        <w:pStyle w:val="Parasubclause1"/>
      </w:pPr>
      <w:r>
        <w:t>CLOSED Sundays</w:t>
      </w:r>
    </w:p>
    <w:p w14:paraId="73150399" w14:textId="4D9F310F" w:rsidR="009F472B" w:rsidRPr="002F66B7" w:rsidRDefault="009F472B" w:rsidP="00776A52">
      <w:pPr>
        <w:pStyle w:val="Parasubclause1"/>
        <w:rPr>
          <w:b/>
          <w:bCs/>
        </w:rPr>
      </w:pPr>
      <w:r w:rsidRPr="002F66B7">
        <w:rPr>
          <w:b/>
          <w:bCs/>
        </w:rPr>
        <w:t>Out of College Operating Hours:</w:t>
      </w:r>
    </w:p>
    <w:p w14:paraId="481D56C8" w14:textId="76A16B18" w:rsidR="009F472B" w:rsidRDefault="009F472B" w:rsidP="00776A52">
      <w:pPr>
        <w:pStyle w:val="Parasubclause1"/>
      </w:pPr>
      <w:r>
        <w:t>21:00-08:00</w:t>
      </w:r>
      <w:r w:rsidR="006D6064">
        <w:t xml:space="preserve"> hours </w:t>
      </w:r>
      <w:r w:rsidR="003B6086">
        <w:t>Tuesday</w:t>
      </w:r>
      <w:r w:rsidR="006D6064">
        <w:t xml:space="preserve"> to Friday</w:t>
      </w:r>
    </w:p>
    <w:p w14:paraId="48658B61" w14:textId="4D153038" w:rsidR="006D6064" w:rsidRDefault="006D6064" w:rsidP="00776A52">
      <w:pPr>
        <w:pStyle w:val="Parasubclause1"/>
      </w:pPr>
      <w:r>
        <w:t>17:00-08:00 hours Friday to Saturday</w:t>
      </w:r>
    </w:p>
    <w:p w14:paraId="482B2717" w14:textId="4B5E6FE0" w:rsidR="006D6064" w:rsidRPr="006D6064" w:rsidRDefault="006D6064" w:rsidP="002F66B7">
      <w:pPr>
        <w:pStyle w:val="Parasubclause1"/>
      </w:pPr>
      <w:r>
        <w:t>13:00 hours Saturday to 08:00 hours Monday</w:t>
      </w:r>
    </w:p>
    <w:p w14:paraId="03F7FA66" w14:textId="251290DA" w:rsidR="00CC52C0" w:rsidRDefault="00A01C2C">
      <w:pPr>
        <w:pStyle w:val="Untitledsubclause1"/>
        <w:rPr>
          <w:b/>
        </w:rPr>
      </w:pPr>
      <w:bookmarkStart w:id="5" w:name="a240542"/>
      <w:r w:rsidRPr="00974EC2">
        <w:rPr>
          <w:b/>
        </w:rPr>
        <w:t xml:space="preserve">Overview of the </w:t>
      </w:r>
      <w:r w:rsidR="00A35445" w:rsidRPr="00974EC2">
        <w:rPr>
          <w:b/>
        </w:rPr>
        <w:t>Works</w:t>
      </w:r>
      <w:r w:rsidRPr="00974EC2">
        <w:rPr>
          <w:b/>
        </w:rPr>
        <w:t xml:space="preserve"> requirements</w:t>
      </w:r>
      <w:bookmarkEnd w:id="5"/>
    </w:p>
    <w:p w14:paraId="62C489E7" w14:textId="06BEBD8D" w:rsidR="005F7C30" w:rsidRDefault="00EB3201" w:rsidP="005F7C30">
      <w:pPr>
        <w:pStyle w:val="Untitledsubclause1"/>
        <w:numPr>
          <w:ilvl w:val="0"/>
          <w:numId w:val="0"/>
        </w:numPr>
        <w:ind w:left="720"/>
        <w:rPr>
          <w:bCs/>
        </w:rPr>
      </w:pPr>
      <w:r>
        <w:rPr>
          <w:bCs/>
        </w:rPr>
        <w:t xml:space="preserve">The College invites Tenderers to </w:t>
      </w:r>
      <w:r w:rsidR="00516A4A">
        <w:rPr>
          <w:bCs/>
        </w:rPr>
        <w:t xml:space="preserve">submit a Tender to </w:t>
      </w:r>
      <w:r>
        <w:rPr>
          <w:bCs/>
        </w:rPr>
        <w:t xml:space="preserve">be appointed to </w:t>
      </w:r>
      <w:r w:rsidR="00516A4A">
        <w:rPr>
          <w:bCs/>
        </w:rPr>
        <w:t>the</w:t>
      </w:r>
      <w:r>
        <w:rPr>
          <w:bCs/>
        </w:rPr>
        <w:t xml:space="preserve"> </w:t>
      </w:r>
      <w:r w:rsidR="00516A4A">
        <w:rPr>
          <w:bCs/>
        </w:rPr>
        <w:t>Framework</w:t>
      </w:r>
      <w:r>
        <w:rPr>
          <w:bCs/>
        </w:rPr>
        <w:t xml:space="preserve"> </w:t>
      </w:r>
      <w:r w:rsidR="00156D8B">
        <w:rPr>
          <w:bCs/>
        </w:rPr>
        <w:t xml:space="preserve">for a period of </w:t>
      </w:r>
      <w:r w:rsidR="009E04E5">
        <w:rPr>
          <w:bCs/>
        </w:rPr>
        <w:t>6 months (with potential extensions as referred to below)</w:t>
      </w:r>
      <w:r w:rsidR="00156D8B">
        <w:rPr>
          <w:bCs/>
        </w:rPr>
        <w:t xml:space="preserve"> </w:t>
      </w:r>
      <w:r>
        <w:rPr>
          <w:bCs/>
        </w:rPr>
        <w:t>for the provision of Works with a value not exceeding £35,000.00</w:t>
      </w:r>
      <w:r w:rsidR="00516A4A">
        <w:rPr>
          <w:bCs/>
        </w:rPr>
        <w:t xml:space="preserve"> per call-off</w:t>
      </w:r>
      <w:r w:rsidR="00B858CC">
        <w:rPr>
          <w:bCs/>
        </w:rPr>
        <w:t xml:space="preserve"> </w:t>
      </w:r>
      <w:r w:rsidR="00B858CC" w:rsidRPr="00CB3606">
        <w:rPr>
          <w:bCs/>
        </w:rPr>
        <w:t xml:space="preserve">with the exception of two specific work services </w:t>
      </w:r>
      <w:proofErr w:type="spellStart"/>
      <w:r w:rsidR="00B858CC" w:rsidRPr="00CB3606">
        <w:rPr>
          <w:bCs/>
        </w:rPr>
        <w:t>Ystrad</w:t>
      </w:r>
      <w:proofErr w:type="spellEnd"/>
      <w:r w:rsidR="00B858CC" w:rsidRPr="00CB3606">
        <w:rPr>
          <w:bCs/>
        </w:rPr>
        <w:t xml:space="preserve"> Campus G Block roof works at £60,000 inclusive VAT and Nantgarw Campus D Block roof at £80,000 inclusive of</w:t>
      </w:r>
      <w:r w:rsidR="00235EED" w:rsidRPr="00CB3606">
        <w:rPr>
          <w:bCs/>
        </w:rPr>
        <w:t xml:space="preserve"> </w:t>
      </w:r>
      <w:r w:rsidR="00B858CC" w:rsidRPr="00CB3606">
        <w:rPr>
          <w:bCs/>
        </w:rPr>
        <w:t xml:space="preserve">VAT </w:t>
      </w:r>
      <w:r w:rsidRPr="00CB3606">
        <w:rPr>
          <w:bCs/>
        </w:rPr>
        <w:t>.</w:t>
      </w:r>
    </w:p>
    <w:p w14:paraId="16ECA2C4" w14:textId="0B6BCF43" w:rsidR="005A6400" w:rsidRDefault="00BA3963" w:rsidP="00BA3963">
      <w:pPr>
        <w:pStyle w:val="Untitledsubclause1"/>
        <w:numPr>
          <w:ilvl w:val="0"/>
          <w:numId w:val="0"/>
        </w:numPr>
        <w:ind w:left="720"/>
        <w:rPr>
          <w:bCs/>
        </w:rPr>
      </w:pPr>
      <w:r>
        <w:rPr>
          <w:bCs/>
        </w:rPr>
        <w:t>The College will award the Framework to two contractors. When Works are required, t</w:t>
      </w:r>
      <w:r w:rsidR="00AD5853">
        <w:rPr>
          <w:bCs/>
        </w:rPr>
        <w:t xml:space="preserve">he College may, in its absolute discretion, directly award </w:t>
      </w:r>
      <w:r w:rsidR="00493242">
        <w:rPr>
          <w:bCs/>
        </w:rPr>
        <w:t>a c</w:t>
      </w:r>
      <w:r w:rsidR="00AD5853">
        <w:rPr>
          <w:bCs/>
        </w:rPr>
        <w:t>all-</w:t>
      </w:r>
      <w:r w:rsidR="00493242">
        <w:rPr>
          <w:bCs/>
        </w:rPr>
        <w:t>o</w:t>
      </w:r>
      <w:r w:rsidR="00AD5853">
        <w:rPr>
          <w:bCs/>
        </w:rPr>
        <w:t xml:space="preserve">ff </w:t>
      </w:r>
      <w:r w:rsidR="00493242">
        <w:rPr>
          <w:bCs/>
        </w:rPr>
        <w:t>c</w:t>
      </w:r>
      <w:r w:rsidR="00AD5853">
        <w:rPr>
          <w:bCs/>
        </w:rPr>
        <w:t xml:space="preserve">ontract under </w:t>
      </w:r>
      <w:r w:rsidR="009A331C">
        <w:rPr>
          <w:bCs/>
        </w:rPr>
        <w:t xml:space="preserve">the </w:t>
      </w:r>
      <w:r w:rsidR="00516A4A">
        <w:rPr>
          <w:bCs/>
        </w:rPr>
        <w:t>Framework</w:t>
      </w:r>
      <w:r w:rsidR="00493242">
        <w:rPr>
          <w:bCs/>
        </w:rPr>
        <w:t xml:space="preserve"> to the most advantageous Contractor</w:t>
      </w:r>
      <w:r w:rsidR="00AD5853">
        <w:rPr>
          <w:bCs/>
        </w:rPr>
        <w:t xml:space="preserve">, or may request a quotation from both Contractors for the provision of the Works. </w:t>
      </w:r>
      <w:r w:rsidR="005F7C30">
        <w:rPr>
          <w:bCs/>
        </w:rPr>
        <w:t xml:space="preserve">Where a </w:t>
      </w:r>
      <w:r w:rsidR="00493242">
        <w:rPr>
          <w:bCs/>
        </w:rPr>
        <w:t xml:space="preserve">direct award or </w:t>
      </w:r>
      <w:r w:rsidR="005F7C30">
        <w:rPr>
          <w:bCs/>
        </w:rPr>
        <w:t xml:space="preserve">quotation is accepted by </w:t>
      </w:r>
      <w:r w:rsidR="00493242">
        <w:rPr>
          <w:bCs/>
        </w:rPr>
        <w:t>the College and Contractor</w:t>
      </w:r>
      <w:r w:rsidR="005F7C30">
        <w:rPr>
          <w:bCs/>
        </w:rPr>
        <w:t>, a separate call-off contract (</w:t>
      </w:r>
      <w:r w:rsidR="00493242">
        <w:rPr>
          <w:bCs/>
        </w:rPr>
        <w:t xml:space="preserve">the </w:t>
      </w:r>
      <w:r w:rsidR="005F7C30">
        <w:rPr>
          <w:bCs/>
        </w:rPr>
        <w:t>“Call-Off Contract"</w:t>
      </w:r>
      <w:r w:rsidR="00493242">
        <w:rPr>
          <w:bCs/>
        </w:rPr>
        <w:t>)</w:t>
      </w:r>
      <w:r>
        <w:rPr>
          <w:bCs/>
        </w:rPr>
        <w:t xml:space="preserve"> will be entered into for the provision of the Works.</w:t>
      </w:r>
    </w:p>
    <w:p w14:paraId="22AFC29F" w14:textId="0663712E" w:rsidR="005F7C30" w:rsidRDefault="005F7C30" w:rsidP="005F7C30">
      <w:pPr>
        <w:pStyle w:val="Untitledsubclause1"/>
        <w:numPr>
          <w:ilvl w:val="0"/>
          <w:numId w:val="0"/>
        </w:numPr>
        <w:ind w:left="720"/>
        <w:rPr>
          <w:bCs/>
        </w:rPr>
      </w:pPr>
      <w:r>
        <w:rPr>
          <w:bCs/>
        </w:rPr>
        <w:t xml:space="preserve">The College is not under any obligations to instruct Works from </w:t>
      </w:r>
      <w:r w:rsidR="00493242">
        <w:rPr>
          <w:bCs/>
        </w:rPr>
        <w:t>a</w:t>
      </w:r>
      <w:r>
        <w:rPr>
          <w:bCs/>
        </w:rPr>
        <w:t xml:space="preserve"> Contractor under the </w:t>
      </w:r>
      <w:r w:rsidR="00516A4A">
        <w:rPr>
          <w:bCs/>
        </w:rPr>
        <w:t>Framework</w:t>
      </w:r>
      <w:r>
        <w:rPr>
          <w:bCs/>
        </w:rPr>
        <w:t xml:space="preserve">, and gives no undertaking, representation, or guarantee that the Contractor will be offered any Call-Off Contracts under the </w:t>
      </w:r>
      <w:r w:rsidR="00516A4A">
        <w:rPr>
          <w:bCs/>
        </w:rPr>
        <w:t>Framework</w:t>
      </w:r>
      <w:r>
        <w:rPr>
          <w:bCs/>
        </w:rPr>
        <w:t>.</w:t>
      </w:r>
    </w:p>
    <w:p w14:paraId="5134BFCC" w14:textId="098A7317" w:rsidR="00AD5853" w:rsidRDefault="00193C09" w:rsidP="00EB3201">
      <w:pPr>
        <w:pStyle w:val="Untitledsubclause1"/>
        <w:numPr>
          <w:ilvl w:val="0"/>
          <w:numId w:val="0"/>
        </w:numPr>
        <w:ind w:left="720"/>
        <w:rPr>
          <w:bCs/>
        </w:rPr>
      </w:pPr>
      <w:r>
        <w:rPr>
          <w:bCs/>
        </w:rPr>
        <w:t xml:space="preserve">The </w:t>
      </w:r>
      <w:r w:rsidR="00667E6A">
        <w:rPr>
          <w:bCs/>
        </w:rPr>
        <w:t xml:space="preserve">Contractor will have no entitlement to recover, claim or receive any payment in respect of losses incurred as a result of the College </w:t>
      </w:r>
      <w:r w:rsidR="009A331C">
        <w:rPr>
          <w:bCs/>
        </w:rPr>
        <w:t xml:space="preserve">awarding a Call-Off Contract to the </w:t>
      </w:r>
      <w:r w:rsidR="00493242">
        <w:rPr>
          <w:bCs/>
        </w:rPr>
        <w:t>a</w:t>
      </w:r>
      <w:r w:rsidR="009A331C">
        <w:rPr>
          <w:bCs/>
        </w:rPr>
        <w:t xml:space="preserve">lternative Contractor under the </w:t>
      </w:r>
      <w:r w:rsidR="00516A4A">
        <w:rPr>
          <w:bCs/>
        </w:rPr>
        <w:t>Framework</w:t>
      </w:r>
      <w:r w:rsidR="009A331C">
        <w:rPr>
          <w:bCs/>
        </w:rPr>
        <w:t>.</w:t>
      </w:r>
    </w:p>
    <w:p w14:paraId="295A74D5" w14:textId="0E7BA6A2" w:rsidR="00824A88" w:rsidRDefault="003F5847" w:rsidP="003F5847">
      <w:pPr>
        <w:pStyle w:val="Untitledsubclause1"/>
        <w:rPr>
          <w:b/>
        </w:rPr>
      </w:pPr>
      <w:r w:rsidRPr="0077369A">
        <w:rPr>
          <w:b/>
        </w:rPr>
        <w:t>Procurement Outline</w:t>
      </w:r>
    </w:p>
    <w:p w14:paraId="2CE649F6" w14:textId="7A895021" w:rsidR="003F5847" w:rsidRPr="0077369A" w:rsidRDefault="00AE5FCE" w:rsidP="00AE5FCE">
      <w:pPr>
        <w:pStyle w:val="Parasubclause1"/>
        <w:rPr>
          <w:b/>
        </w:rPr>
      </w:pPr>
      <w:r w:rsidRPr="0077369A">
        <w:lastRenderedPageBreak/>
        <w:t xml:space="preserve">The </w:t>
      </w:r>
      <w:r w:rsidR="00193C09">
        <w:t>Framework i</w:t>
      </w:r>
      <w:r w:rsidRPr="0077369A">
        <w:t xml:space="preserve">s to be procured as a single stage competitive </w:t>
      </w:r>
      <w:r w:rsidR="00193C09">
        <w:t>t</w:t>
      </w:r>
      <w:r w:rsidRPr="0077369A">
        <w:t>ender</w:t>
      </w:r>
      <w:r>
        <w:rPr>
          <w:b/>
        </w:rPr>
        <w:t>.</w:t>
      </w:r>
    </w:p>
    <w:p w14:paraId="2524878C" w14:textId="111A074B" w:rsidR="00CC52C0" w:rsidRPr="00974EC2" w:rsidRDefault="00A01C2C">
      <w:pPr>
        <w:pStyle w:val="Untitledsubclause1"/>
        <w:rPr>
          <w:b/>
        </w:rPr>
      </w:pPr>
      <w:bookmarkStart w:id="6" w:name="a948100"/>
      <w:r w:rsidRPr="00974EC2">
        <w:rPr>
          <w:b/>
        </w:rPr>
        <w:t xml:space="preserve">Value </w:t>
      </w:r>
      <w:bookmarkEnd w:id="6"/>
      <w:r w:rsidR="00CC78DE">
        <w:rPr>
          <w:b/>
        </w:rPr>
        <w:t xml:space="preserve">of the Call-Off Contract </w:t>
      </w:r>
    </w:p>
    <w:p w14:paraId="54937B19" w14:textId="73BA9554" w:rsidR="00CC52C0" w:rsidRDefault="00CC78DE">
      <w:pPr>
        <w:pStyle w:val="Parasubclause1"/>
      </w:pPr>
      <w:r>
        <w:t>Individual Call-Off Contracts will have a value not exceed</w:t>
      </w:r>
      <w:r w:rsidR="00B1739A">
        <w:t>ing</w:t>
      </w:r>
      <w:r>
        <w:t xml:space="preserve"> £35,000.00. </w:t>
      </w:r>
      <w:r w:rsidR="00ED31F2">
        <w:t xml:space="preserve">The cumulative total of the value of Call-Off Contracts </w:t>
      </w:r>
      <w:r w:rsidR="00C67D41">
        <w:t>is estimated to be not more than</w:t>
      </w:r>
      <w:r w:rsidR="00B858CC">
        <w:t xml:space="preserve"> </w:t>
      </w:r>
      <w:r w:rsidR="00B858CC" w:rsidRPr="00187C8B">
        <w:t>£400,000 over a 12 month period</w:t>
      </w:r>
      <w:r w:rsidR="005F3277" w:rsidRPr="00187C8B">
        <w:t>,</w:t>
      </w:r>
      <w:r w:rsidR="005F3277">
        <w:t xml:space="preserve"> so will not exceed £600,000 is the option to extend is undertaken.</w:t>
      </w:r>
    </w:p>
    <w:p w14:paraId="73414BC2" w14:textId="6053A452" w:rsidR="00CC78DE" w:rsidRPr="00974EC2" w:rsidRDefault="00115387">
      <w:pPr>
        <w:pStyle w:val="Parasubclause1"/>
      </w:pPr>
      <w:r>
        <w:t>Both the Call-Off Contract value and the cumulative total of the value of Call-Off Contracts</w:t>
      </w:r>
      <w:r w:rsidR="00CC78DE">
        <w:t xml:space="preserve"> is provided in good faith as a guide to assist you in submitting your Tender. It should not be interpreted as an undertaking </w:t>
      </w:r>
      <w:r w:rsidR="00193C09">
        <w:t>by the College to procure for Works at any stage,</w:t>
      </w:r>
      <w:r w:rsidR="00CC78DE">
        <w:t xml:space="preserve"> and does not form part of the </w:t>
      </w:r>
      <w:r w:rsidR="00193C09">
        <w:t xml:space="preserve">College’s obligations under the </w:t>
      </w:r>
      <w:r w:rsidR="00516A4A">
        <w:t>Framework</w:t>
      </w:r>
      <w:r w:rsidR="00D1256C">
        <w:t xml:space="preserve"> and/or </w:t>
      </w:r>
      <w:r w:rsidR="00CC78DE">
        <w:t xml:space="preserve">Call-Off Contract. </w:t>
      </w:r>
    </w:p>
    <w:p w14:paraId="311DC37D" w14:textId="03D3D6E1" w:rsidR="00CC52C0" w:rsidRPr="00974EC2" w:rsidRDefault="00516A4A">
      <w:pPr>
        <w:pStyle w:val="Untitledsubclause1"/>
        <w:rPr>
          <w:b/>
        </w:rPr>
      </w:pPr>
      <w:r>
        <w:rPr>
          <w:b/>
        </w:rPr>
        <w:t>Framework</w:t>
      </w:r>
      <w:r w:rsidR="00CC78DE">
        <w:rPr>
          <w:b/>
        </w:rPr>
        <w:t xml:space="preserve"> Duration</w:t>
      </w:r>
    </w:p>
    <w:p w14:paraId="5E6AB66C" w14:textId="59F85463" w:rsidR="00D35D52" w:rsidRDefault="00CC78DE" w:rsidP="00D35D52">
      <w:pPr>
        <w:pStyle w:val="Parasubclause1"/>
      </w:pPr>
      <w:r>
        <w:t xml:space="preserve">The </w:t>
      </w:r>
      <w:r w:rsidR="00516A4A">
        <w:t>Framework</w:t>
      </w:r>
      <w:r>
        <w:t xml:space="preserve"> will come into force on </w:t>
      </w:r>
      <w:r w:rsidR="00D71997" w:rsidRPr="00CB3606">
        <w:t>1</w:t>
      </w:r>
      <w:r w:rsidR="00D71997" w:rsidRPr="00CB3606">
        <w:rPr>
          <w:vertAlign w:val="superscript"/>
        </w:rPr>
        <w:t>st</w:t>
      </w:r>
      <w:r w:rsidR="00D71997" w:rsidRPr="00CB3606">
        <w:t xml:space="preserve"> July 2026</w:t>
      </w:r>
      <w:r>
        <w:t xml:space="preserve"> and unless terminated in accordance with its terms, shall continue for an initial period of 6 months. The College may, at its discretion, extend the </w:t>
      </w:r>
      <w:r w:rsidR="00516A4A">
        <w:t>Framework</w:t>
      </w:r>
      <w:r>
        <w:t xml:space="preserve"> for a further </w:t>
      </w:r>
      <w:r w:rsidR="00E61BCE">
        <w:t xml:space="preserve">two </w:t>
      </w:r>
      <w:r>
        <w:t>period</w:t>
      </w:r>
      <w:r w:rsidR="00E61BCE">
        <w:t>s</w:t>
      </w:r>
      <w:r>
        <w:t xml:space="preserve"> of 6 months, up to a maximum total duration of 18 months. </w:t>
      </w:r>
    </w:p>
    <w:p w14:paraId="6E97F165" w14:textId="488BE3E7" w:rsidR="001F497D" w:rsidRDefault="001F497D" w:rsidP="001F497D">
      <w:pPr>
        <w:pStyle w:val="Parasubclause1"/>
      </w:pPr>
      <w:r>
        <w:t xml:space="preserve">The termination or expiry of the Framework shall not affect any existing Call-Off Contract(s) which shall continue in full force and affect and may only be terminated in accordance with their provisions. </w:t>
      </w:r>
      <w:r w:rsidR="006A32C6">
        <w:t xml:space="preserve">No further Call-Off Contract may be awarded following the expiry of the Framework period. </w:t>
      </w:r>
    </w:p>
    <w:p w14:paraId="6B1166C1" w14:textId="77777777" w:rsidR="00CC52C0" w:rsidRPr="00974EC2" w:rsidRDefault="00A01C2C">
      <w:pPr>
        <w:pStyle w:val="Untitledsubclause1"/>
        <w:rPr>
          <w:b/>
        </w:rPr>
      </w:pPr>
      <w:bookmarkStart w:id="7" w:name="a862650"/>
      <w:r w:rsidRPr="00974EC2">
        <w:rPr>
          <w:b/>
        </w:rPr>
        <w:t>Purpose and scope of this ITT</w:t>
      </w:r>
      <w:bookmarkEnd w:id="7"/>
    </w:p>
    <w:p w14:paraId="159FE6FD" w14:textId="77777777" w:rsidR="00CC52C0" w:rsidRPr="00974EC2" w:rsidRDefault="00A01C2C">
      <w:pPr>
        <w:pStyle w:val="Parasubclause1"/>
      </w:pPr>
      <w:r w:rsidRPr="00974EC2">
        <w:t>This ITT:</w:t>
      </w:r>
    </w:p>
    <w:p w14:paraId="326D288A" w14:textId="77777777" w:rsidR="00CC52C0" w:rsidRPr="00974EC2" w:rsidRDefault="00A01C2C">
      <w:pPr>
        <w:pStyle w:val="subclause1Bullet1"/>
      </w:pPr>
      <w:r w:rsidRPr="00974EC2">
        <w:t>Asks Tenderers to submit their Tenders in accordance with the instructions set out in the remainder of this ITT.</w:t>
      </w:r>
    </w:p>
    <w:p w14:paraId="20B90B8E" w14:textId="77777777" w:rsidR="00CC52C0" w:rsidRPr="00974EC2" w:rsidRDefault="00A01C2C">
      <w:pPr>
        <w:pStyle w:val="subclause1Bullet1"/>
      </w:pPr>
      <w:r w:rsidRPr="00974EC2">
        <w:t>Sets out the overall timetable and process for the procurement of Tenders.</w:t>
      </w:r>
    </w:p>
    <w:p w14:paraId="75FCFCC2" w14:textId="77777777" w:rsidR="00CC52C0" w:rsidRPr="00974EC2" w:rsidRDefault="00A01C2C">
      <w:pPr>
        <w:pStyle w:val="subclause1Bullet1"/>
      </w:pPr>
      <w:r w:rsidRPr="00974EC2">
        <w:t>Provides Tenderers with sufficient information to enable them to submit a compliant Tender (including providing templates where relevant).</w:t>
      </w:r>
    </w:p>
    <w:p w14:paraId="057984D5" w14:textId="4592F963" w:rsidR="00CC52C0" w:rsidRPr="00974EC2" w:rsidRDefault="00A01C2C">
      <w:pPr>
        <w:pStyle w:val="subclause1Bullet1"/>
      </w:pPr>
      <w:r w:rsidRPr="00974EC2">
        <w:t xml:space="preserve">Sets out the Award Criteria and the model that will be used to </w:t>
      </w:r>
      <w:r w:rsidR="00F751F1">
        <w:t>assess</w:t>
      </w:r>
      <w:r w:rsidRPr="00974EC2">
        <w:t xml:space="preserve"> the Tenders (</w:t>
      </w:r>
      <w:r w:rsidRPr="00974EC2">
        <w:rPr>
          <w:b/>
          <w:bCs/>
        </w:rPr>
        <w:t xml:space="preserve">Tender </w:t>
      </w:r>
      <w:r w:rsidR="00F751F1">
        <w:rPr>
          <w:b/>
          <w:bCs/>
        </w:rPr>
        <w:t>Assessment</w:t>
      </w:r>
      <w:r w:rsidRPr="00974EC2">
        <w:rPr>
          <w:b/>
          <w:bCs/>
        </w:rPr>
        <w:t xml:space="preserve"> Model</w:t>
      </w:r>
      <w:r w:rsidRPr="00974EC2">
        <w:t>).</w:t>
      </w:r>
    </w:p>
    <w:p w14:paraId="21E997A7" w14:textId="77777777" w:rsidR="00CC52C0" w:rsidRPr="00974EC2" w:rsidRDefault="00A01C2C">
      <w:pPr>
        <w:pStyle w:val="subclause1Bullet1"/>
      </w:pPr>
      <w:r w:rsidRPr="00974EC2">
        <w:t>Explains the administrative arrangements for the receipt of Tenders.</w:t>
      </w:r>
    </w:p>
    <w:p w14:paraId="196BA4F5" w14:textId="77777777" w:rsidR="00CC52C0" w:rsidRPr="00974EC2" w:rsidRDefault="00A01C2C">
      <w:pPr>
        <w:pStyle w:val="Untitledsubclause1"/>
        <w:rPr>
          <w:b/>
        </w:rPr>
      </w:pPr>
      <w:bookmarkStart w:id="8" w:name="a817202"/>
      <w:r w:rsidRPr="00974EC2">
        <w:rPr>
          <w:b/>
        </w:rPr>
        <w:t xml:space="preserve">Requests for clarification </w:t>
      </w:r>
      <w:bookmarkEnd w:id="8"/>
    </w:p>
    <w:p w14:paraId="51A402D3" w14:textId="3C43656F" w:rsidR="00CC52C0" w:rsidRPr="00974EC2" w:rsidRDefault="00A01C2C">
      <w:pPr>
        <w:pStyle w:val="Parasubclause1"/>
      </w:pPr>
      <w:r w:rsidRPr="00974EC2">
        <w:lastRenderedPageBreak/>
        <w:t>Any clarifications relating to this ITT must be submitted</w:t>
      </w:r>
      <w:r w:rsidR="006335BA" w:rsidRPr="00974EC2">
        <w:t xml:space="preserve"> through </w:t>
      </w:r>
      <w:r w:rsidR="006335BA" w:rsidRPr="00303CB6">
        <w:t>Sell2Wales</w:t>
      </w:r>
      <w:r w:rsidRPr="00303CB6">
        <w:t>.</w:t>
      </w:r>
    </w:p>
    <w:p w14:paraId="1C0D3EDB" w14:textId="5ADA3EE6" w:rsidR="00CC52C0" w:rsidRPr="00974EC2" w:rsidRDefault="00A01C2C">
      <w:pPr>
        <w:pStyle w:val="Parasubclause1"/>
      </w:pPr>
      <w:r w:rsidRPr="00974EC2">
        <w:t xml:space="preserve">The </w:t>
      </w:r>
      <w:r w:rsidR="00C516B0" w:rsidRPr="00974EC2">
        <w:t>College</w:t>
      </w:r>
      <w:r w:rsidRPr="00974EC2">
        <w:t xml:space="preserve"> will respond to all reasonable clarifications as soon as possible through publishing the Tenderers' questions and the </w:t>
      </w:r>
      <w:r w:rsidR="00C516B0" w:rsidRPr="00974EC2">
        <w:t>College</w:t>
      </w:r>
      <w:r w:rsidRPr="00974EC2">
        <w:t xml:space="preserve">'s response to them on </w:t>
      </w:r>
      <w:r w:rsidR="008E1341" w:rsidRPr="00303CB6">
        <w:t>Sell2Wales</w:t>
      </w:r>
      <w:r w:rsidRPr="00974EC2">
        <w:t xml:space="preserve"> (</w:t>
      </w:r>
      <w:r w:rsidRPr="00974EC2">
        <w:rPr>
          <w:rStyle w:val="DefTerm"/>
        </w:rPr>
        <w:t>Clarifications Log</w:t>
      </w:r>
      <w:r w:rsidRPr="00974EC2">
        <w:t xml:space="preserve">). </w:t>
      </w:r>
    </w:p>
    <w:p w14:paraId="4331281B" w14:textId="1066BAFA" w:rsidR="00CC52C0" w:rsidRPr="00974EC2" w:rsidRDefault="00A01C2C">
      <w:pPr>
        <w:pStyle w:val="Parasubclause1"/>
      </w:pPr>
      <w:r w:rsidRPr="00974EC2">
        <w:t xml:space="preserve">If a Tenderer wishes the </w:t>
      </w:r>
      <w:r w:rsidR="00C516B0" w:rsidRPr="00974EC2">
        <w:t>College</w:t>
      </w:r>
      <w:r w:rsidRPr="00974EC2">
        <w:t xml:space="preserve"> to treat a clarification as confidential and not issue the response to all Tenderers, it must state this when submitting the clarification. If, in the opinion of the </w:t>
      </w:r>
      <w:r w:rsidR="00C516B0" w:rsidRPr="00974EC2">
        <w:t>College</w:t>
      </w:r>
      <w:r w:rsidRPr="00974EC2">
        <w:t xml:space="preserve">, the clarification is not confidential, the </w:t>
      </w:r>
      <w:r w:rsidR="00C516B0" w:rsidRPr="00974EC2">
        <w:t>College</w:t>
      </w:r>
      <w:r w:rsidRPr="00974EC2">
        <w:t xml:space="preserve"> will inform the Tenderer and it will have an opportunity to withdraw it. If the clarification is not withdrawn, the response will be issued to all Tenderers. If the original clarification is withdrawn, the Tenderer may either submit an amended request for the clarification to be treated as confidential, which would be considered by the </w:t>
      </w:r>
      <w:r w:rsidR="00C516B0" w:rsidRPr="00974EC2">
        <w:t>College</w:t>
      </w:r>
      <w:r w:rsidRPr="00974EC2">
        <w:t xml:space="preserve"> in the same manner as the original request, or raise a new request to be treated as a non-confidential request.</w:t>
      </w:r>
    </w:p>
    <w:p w14:paraId="4FDC77C3" w14:textId="104C9FFC" w:rsidR="00CC52C0" w:rsidRPr="00B2058D" w:rsidRDefault="00A01C2C" w:rsidP="00B2058D">
      <w:pPr>
        <w:pStyle w:val="Parasubclause1"/>
      </w:pPr>
      <w:r w:rsidRPr="00B2058D">
        <w:t xml:space="preserve">The deadline for receipt of clarifications relating to the </w:t>
      </w:r>
      <w:r w:rsidR="00516A4A">
        <w:t>Framework</w:t>
      </w:r>
      <w:r w:rsidRPr="00B2058D">
        <w:t xml:space="preserve"> or this ITT is set out in </w:t>
      </w:r>
      <w:r w:rsidRPr="00B2058D">
        <w:fldChar w:fldCharType="begin"/>
      </w:r>
      <w:r w:rsidRPr="00B2058D">
        <w:instrText>PAGEREF a257729\# "'paragraph '"  \h</w:instrText>
      </w:r>
      <w:r w:rsidRPr="00B2058D">
        <w:fldChar w:fldCharType="separate"/>
      </w:r>
      <w:r w:rsidRPr="00B2058D">
        <w:t xml:space="preserve">paragraph </w:t>
      </w:r>
      <w:r w:rsidRPr="00B2058D">
        <w:fldChar w:fldCharType="end"/>
      </w:r>
      <w:r w:rsidRPr="00B2058D">
        <w:fldChar w:fldCharType="begin"/>
      </w:r>
      <w:r w:rsidRPr="00B2058D">
        <w:instrText>REF a257729 \h \w</w:instrText>
      </w:r>
      <w:r w:rsidR="00C516B0" w:rsidRPr="00B2058D">
        <w:instrText xml:space="preserve"> \* MERGEFORMAT </w:instrText>
      </w:r>
      <w:r w:rsidRPr="00B2058D">
        <w:fldChar w:fldCharType="separate"/>
      </w:r>
      <w:r w:rsidRPr="00B2058D">
        <w:t>2</w:t>
      </w:r>
      <w:r w:rsidRPr="00B2058D">
        <w:fldChar w:fldCharType="end"/>
      </w:r>
      <w:r w:rsidRPr="00B2058D">
        <w:t xml:space="preserve">. The </w:t>
      </w:r>
      <w:r w:rsidR="00C516B0" w:rsidRPr="00B2058D">
        <w:t>College</w:t>
      </w:r>
      <w:r w:rsidRPr="00B2058D">
        <w:t xml:space="preserve"> reserves the right not to answer any requests for clarification submitted after this </w:t>
      </w:r>
      <w:r w:rsidR="00322409" w:rsidRPr="00B2058D">
        <w:t>date or</w:t>
      </w:r>
      <w:r w:rsidRPr="00B2058D">
        <w:t xml:space="preserve"> submitted via any means other than </w:t>
      </w:r>
      <w:r w:rsidR="008E1341" w:rsidRPr="00B2058D">
        <w:t>Sell2Wales</w:t>
      </w:r>
      <w:r w:rsidRPr="00B2058D">
        <w:t>.</w:t>
      </w:r>
    </w:p>
    <w:p w14:paraId="1ABBE8C8" w14:textId="66A22E55" w:rsidR="008508A0" w:rsidRPr="00974EC2" w:rsidRDefault="008508A0" w:rsidP="008508A0">
      <w:pPr>
        <w:pStyle w:val="Parasubclause1"/>
      </w:pPr>
      <w:r>
        <w:t xml:space="preserve">Neither the College, nor any staff member of the College, has the authority to </w:t>
      </w:r>
      <w:r w:rsidR="0098586C">
        <w:t>make any verbal representations or ex</w:t>
      </w:r>
      <w:r w:rsidR="00187463">
        <w:t xml:space="preserve">planation to the Tenderers </w:t>
      </w:r>
      <w:r w:rsidR="007C1F07">
        <w:t>or others as to the meaning of any</w:t>
      </w:r>
      <w:r w:rsidR="003B524E">
        <w:t xml:space="preserve">thing </w:t>
      </w:r>
      <w:r w:rsidR="00177157">
        <w:t xml:space="preserve">contained </w:t>
      </w:r>
      <w:r w:rsidR="003B524E">
        <w:t>within this ITT</w:t>
      </w:r>
      <w:r w:rsidR="00492D77">
        <w:t>,</w:t>
      </w:r>
      <w:r w:rsidR="007C1F07">
        <w:t xml:space="preserve"> </w:t>
      </w:r>
      <w:r w:rsidR="00BF47E1">
        <w:t xml:space="preserve">which includes </w:t>
      </w:r>
      <w:r w:rsidR="00177157">
        <w:t>without limitation</w:t>
      </w:r>
      <w:r w:rsidR="00BF47E1">
        <w:t>:</w:t>
      </w:r>
      <w:r w:rsidR="00177157">
        <w:t xml:space="preserve"> </w:t>
      </w:r>
      <w:r w:rsidR="009617E8">
        <w:t xml:space="preserve">the </w:t>
      </w:r>
      <w:r w:rsidR="007E613F">
        <w:t xml:space="preserve">draft </w:t>
      </w:r>
      <w:r w:rsidR="00516A4A">
        <w:t>Framework</w:t>
      </w:r>
      <w:r w:rsidR="00F1342F">
        <w:t xml:space="preserve">, </w:t>
      </w:r>
      <w:r w:rsidR="007E613F">
        <w:t xml:space="preserve">draft </w:t>
      </w:r>
      <w:r w:rsidR="00F1342F">
        <w:t>Cal</w:t>
      </w:r>
      <w:r w:rsidR="007E613F">
        <w:t xml:space="preserve">l-Off Contract </w:t>
      </w:r>
      <w:r w:rsidR="007C1F07">
        <w:t xml:space="preserve"> or other documents, or as to anything</w:t>
      </w:r>
      <w:r w:rsidR="00BF47E1">
        <w:t xml:space="preserve"> which is</w:t>
      </w:r>
      <w:r w:rsidR="007C1F07">
        <w:t xml:space="preserve"> to be done</w:t>
      </w:r>
      <w:r w:rsidR="0058357F">
        <w:t xml:space="preserve"> or not to be done by the Contractor following acceptance of </w:t>
      </w:r>
      <w:r w:rsidR="00BF47E1">
        <w:t>their</w:t>
      </w:r>
      <w:r w:rsidR="0058357F">
        <w:t xml:space="preserve"> Tender, or as to any </w:t>
      </w:r>
      <w:r w:rsidR="0041692C">
        <w:t>other matter or thing.</w:t>
      </w:r>
    </w:p>
    <w:p w14:paraId="57EB5984" w14:textId="76D85E06" w:rsidR="00CC52C0" w:rsidRDefault="00A01C2C">
      <w:pPr>
        <w:pStyle w:val="Parasubclause1"/>
      </w:pPr>
      <w:r w:rsidRPr="00974EC2">
        <w:t xml:space="preserve">Tenderers are advised not to rely on communications from the </w:t>
      </w:r>
      <w:r w:rsidR="00C516B0" w:rsidRPr="00974EC2">
        <w:t>College</w:t>
      </w:r>
      <w:r w:rsidRPr="00974EC2">
        <w:t xml:space="preserve"> in respect of the </w:t>
      </w:r>
      <w:r w:rsidR="00516A4A">
        <w:t>Framework</w:t>
      </w:r>
      <w:r w:rsidR="00322409">
        <w:t>, Call-Off Contracts</w:t>
      </w:r>
      <w:r w:rsidRPr="00974EC2">
        <w:t xml:space="preserve"> or ITT unless they are made in accordance with these instructions.</w:t>
      </w:r>
    </w:p>
    <w:p w14:paraId="7AD60972" w14:textId="77777777" w:rsidR="00CC52C0" w:rsidRPr="00974EC2" w:rsidRDefault="00A01C2C">
      <w:pPr>
        <w:pStyle w:val="Untitledsubclause1"/>
        <w:rPr>
          <w:b/>
        </w:rPr>
      </w:pPr>
      <w:bookmarkStart w:id="9" w:name="a229730"/>
      <w:r w:rsidRPr="00974EC2">
        <w:rPr>
          <w:b/>
        </w:rPr>
        <w:t>Clarifications about the contents of the Tender</w:t>
      </w:r>
      <w:bookmarkEnd w:id="9"/>
    </w:p>
    <w:p w14:paraId="78312BB1" w14:textId="4C200AEE" w:rsidR="008E51E6" w:rsidRPr="00FB1465" w:rsidRDefault="00A01C2C" w:rsidP="006A6743">
      <w:pPr>
        <w:pStyle w:val="Parasubclause1"/>
      </w:pPr>
      <w:r w:rsidRPr="006A6743">
        <w:t xml:space="preserve">The </w:t>
      </w:r>
      <w:r w:rsidR="00C516B0" w:rsidRPr="006A6743">
        <w:t>College</w:t>
      </w:r>
      <w:r w:rsidRPr="006A6743">
        <w:t xml:space="preserve"> reserves the right (but is not obliged) to seek clarification of any aspect of a Tenderer's Tender during the </w:t>
      </w:r>
      <w:r w:rsidR="00F751F1">
        <w:t>assessment</w:t>
      </w:r>
      <w:r w:rsidRPr="006A6743">
        <w:t xml:space="preserve"> phase where necessary for the purposes of carrying out a fair </w:t>
      </w:r>
      <w:r w:rsidR="00F751F1">
        <w:t>assessment</w:t>
      </w:r>
      <w:r w:rsidRPr="006A6743">
        <w:t>. Tenderers are asked to respond to such requests promptly. Vague or ambiguous answers are likely to score poorly or render the Tender non-compliant.</w:t>
      </w:r>
    </w:p>
    <w:p w14:paraId="19F9301D" w14:textId="17EBED68" w:rsidR="00CC52C0" w:rsidRPr="00974EC2" w:rsidRDefault="00A01C2C">
      <w:pPr>
        <w:pStyle w:val="TitleClause"/>
      </w:pPr>
      <w:bookmarkStart w:id="10" w:name="a257729"/>
      <w:bookmarkStart w:id="11" w:name="_Toc216178765"/>
      <w:r w:rsidRPr="00974EC2">
        <w:t>Tender Timetable</w:t>
      </w:r>
      <w:bookmarkEnd w:id="10"/>
      <w:bookmarkEnd w:id="11"/>
    </w:p>
    <w:p w14:paraId="07B787EE" w14:textId="77777777" w:rsidR="00CC52C0" w:rsidRPr="00974EC2" w:rsidRDefault="00A01C2C">
      <w:pPr>
        <w:pStyle w:val="Untitledsubclause1"/>
        <w:rPr>
          <w:b/>
        </w:rPr>
      </w:pPr>
      <w:bookmarkStart w:id="12" w:name="a977995"/>
      <w:r w:rsidRPr="00974EC2">
        <w:rPr>
          <w:b/>
        </w:rPr>
        <w:t>Key dates</w:t>
      </w:r>
      <w:bookmarkEnd w:id="12"/>
    </w:p>
    <w:p w14:paraId="26E66A91" w14:textId="77777777" w:rsidR="00CC52C0" w:rsidRDefault="00A01C2C">
      <w:pPr>
        <w:pStyle w:val="Parasubclause1"/>
      </w:pPr>
      <w:r w:rsidRPr="00974EC2">
        <w:lastRenderedPageBreak/>
        <w:t>This procurement will follow a clear, structured and transparent process to ensure a fair and level playing field is maintained at all times, and that all Tenderers are treated equally.</w:t>
      </w:r>
    </w:p>
    <w:p w14:paraId="7093160B" w14:textId="77777777" w:rsidR="00CC52C0" w:rsidRDefault="00A01C2C">
      <w:pPr>
        <w:pStyle w:val="Parasubclause1"/>
      </w:pPr>
      <w:r w:rsidRPr="00974EC2">
        <w:t>The key dates for this procurement (</w:t>
      </w:r>
      <w:r w:rsidRPr="00974EC2">
        <w:rPr>
          <w:rStyle w:val="DefTerm"/>
        </w:rPr>
        <w:t>Timetable</w:t>
      </w:r>
      <w:r w:rsidRPr="00974EC2">
        <w:t>) are currently anticipated to be as follows: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6369"/>
        <w:gridCol w:w="2971"/>
      </w:tblGrid>
      <w:tr w:rsidR="00492069" w:rsidRPr="00974EC2" w14:paraId="18675142" w14:textId="77777777" w:rsidTr="00302EEC">
        <w:tc>
          <w:tcPr>
            <w:tcW w:w="6369" w:type="dxa"/>
            <w:tcBorders>
              <w:top w:val="single" w:sz="8" w:space="0" w:color="000000"/>
              <w:left w:val="single" w:sz="8" w:space="0" w:color="000000"/>
              <w:bottom w:val="single" w:sz="8" w:space="0" w:color="000000"/>
              <w:right w:val="single" w:sz="8" w:space="0" w:color="000000"/>
            </w:tcBorders>
          </w:tcPr>
          <w:p w14:paraId="55C1A073" w14:textId="77777777" w:rsidR="00CC52C0" w:rsidRPr="00974EC2" w:rsidRDefault="00A01C2C">
            <w:pPr>
              <w:pStyle w:val="Paragraph"/>
              <w:jc w:val="left"/>
              <w:rPr>
                <w:b/>
              </w:rPr>
            </w:pPr>
            <w:r w:rsidRPr="00974EC2">
              <w:rPr>
                <w:b/>
              </w:rPr>
              <w:t>Event</w:t>
            </w:r>
          </w:p>
        </w:tc>
        <w:tc>
          <w:tcPr>
            <w:tcW w:w="2971" w:type="dxa"/>
            <w:tcBorders>
              <w:top w:val="single" w:sz="8" w:space="0" w:color="000000"/>
              <w:left w:val="single" w:sz="8" w:space="0" w:color="000000"/>
              <w:bottom w:val="single" w:sz="8" w:space="0" w:color="000000"/>
              <w:right w:val="single" w:sz="8" w:space="0" w:color="000000"/>
            </w:tcBorders>
          </w:tcPr>
          <w:p w14:paraId="003550BF" w14:textId="77777777" w:rsidR="00CC52C0" w:rsidRPr="00974EC2" w:rsidRDefault="00A01C2C">
            <w:pPr>
              <w:pStyle w:val="Paragraph"/>
              <w:jc w:val="left"/>
              <w:rPr>
                <w:b/>
              </w:rPr>
            </w:pPr>
            <w:r w:rsidRPr="00974EC2">
              <w:rPr>
                <w:b/>
              </w:rPr>
              <w:t>Date</w:t>
            </w:r>
          </w:p>
        </w:tc>
      </w:tr>
      <w:tr w:rsidR="00492069" w:rsidRPr="00974EC2" w14:paraId="68AF617C" w14:textId="77777777" w:rsidTr="00302EEC">
        <w:tc>
          <w:tcPr>
            <w:tcW w:w="6369" w:type="dxa"/>
            <w:tcBorders>
              <w:top w:val="single" w:sz="8" w:space="0" w:color="000000"/>
              <w:left w:val="single" w:sz="8" w:space="0" w:color="000000"/>
              <w:bottom w:val="single" w:sz="8" w:space="0" w:color="000000"/>
              <w:right w:val="single" w:sz="8" w:space="0" w:color="000000"/>
            </w:tcBorders>
          </w:tcPr>
          <w:p w14:paraId="4EA50859" w14:textId="1D27EF4A" w:rsidR="00CC52C0" w:rsidRPr="00974EC2" w:rsidRDefault="00FB7E80">
            <w:pPr>
              <w:pStyle w:val="Paragraph"/>
              <w:jc w:val="left"/>
            </w:pPr>
            <w:r w:rsidRPr="00974EC2">
              <w:t>Publication of the Tender Notice and ITT (including associated documents)</w:t>
            </w:r>
          </w:p>
        </w:tc>
        <w:tc>
          <w:tcPr>
            <w:tcW w:w="2971" w:type="dxa"/>
            <w:tcBorders>
              <w:top w:val="single" w:sz="8" w:space="0" w:color="000000"/>
              <w:left w:val="single" w:sz="8" w:space="0" w:color="000000"/>
              <w:bottom w:val="single" w:sz="8" w:space="0" w:color="000000"/>
              <w:right w:val="single" w:sz="8" w:space="0" w:color="000000"/>
            </w:tcBorders>
          </w:tcPr>
          <w:p w14:paraId="2C3E2F75" w14:textId="31B84860" w:rsidR="00CC52C0" w:rsidRPr="008F153F" w:rsidRDefault="008F153F">
            <w:pPr>
              <w:pStyle w:val="Paragraph"/>
              <w:jc w:val="left"/>
            </w:pPr>
            <w:r w:rsidRPr="008F153F">
              <w:t>19</w:t>
            </w:r>
            <w:r w:rsidRPr="008F153F">
              <w:rPr>
                <w:vertAlign w:val="superscript"/>
              </w:rPr>
              <w:t>th</w:t>
            </w:r>
            <w:r w:rsidRPr="008F153F">
              <w:t xml:space="preserve"> May 2026</w:t>
            </w:r>
          </w:p>
        </w:tc>
      </w:tr>
      <w:tr w:rsidR="003218F7" w:rsidRPr="00974EC2" w14:paraId="167C3821" w14:textId="77777777" w:rsidTr="00302EEC">
        <w:tc>
          <w:tcPr>
            <w:tcW w:w="6369" w:type="dxa"/>
            <w:tcBorders>
              <w:top w:val="single" w:sz="8" w:space="0" w:color="000000"/>
              <w:left w:val="single" w:sz="8" w:space="0" w:color="000000"/>
              <w:bottom w:val="single" w:sz="8" w:space="0" w:color="000000"/>
              <w:right w:val="single" w:sz="8" w:space="0" w:color="000000"/>
            </w:tcBorders>
          </w:tcPr>
          <w:p w14:paraId="223411CE" w14:textId="77777777" w:rsidR="003218F7" w:rsidRDefault="003218F7">
            <w:pPr>
              <w:pStyle w:val="Paragraph"/>
              <w:jc w:val="left"/>
            </w:pPr>
            <w:r>
              <w:t>Site visits</w:t>
            </w:r>
          </w:p>
          <w:p w14:paraId="3A821810" w14:textId="641F26EE" w:rsidR="00B44176" w:rsidRPr="00974EC2" w:rsidRDefault="00B44176">
            <w:pPr>
              <w:pStyle w:val="Paragraph"/>
              <w:jc w:val="left"/>
            </w:pPr>
            <w:r>
              <w:t>Commencing from the Nantgarw campus</w:t>
            </w:r>
          </w:p>
        </w:tc>
        <w:tc>
          <w:tcPr>
            <w:tcW w:w="2971" w:type="dxa"/>
            <w:tcBorders>
              <w:top w:val="single" w:sz="8" w:space="0" w:color="000000"/>
              <w:left w:val="single" w:sz="8" w:space="0" w:color="000000"/>
              <w:bottom w:val="single" w:sz="8" w:space="0" w:color="000000"/>
              <w:right w:val="single" w:sz="8" w:space="0" w:color="000000"/>
            </w:tcBorders>
          </w:tcPr>
          <w:p w14:paraId="2BE1F4E1" w14:textId="1A2574D8" w:rsidR="003218F7" w:rsidRPr="008F153F" w:rsidRDefault="00B44176">
            <w:pPr>
              <w:pStyle w:val="Paragraph"/>
              <w:jc w:val="left"/>
            </w:pPr>
            <w:r>
              <w:t>28</w:t>
            </w:r>
            <w:r w:rsidRPr="00B44176">
              <w:rPr>
                <w:vertAlign w:val="superscript"/>
              </w:rPr>
              <w:t>th</w:t>
            </w:r>
            <w:r>
              <w:t xml:space="preserve"> May 2026 at 09:00</w:t>
            </w:r>
          </w:p>
        </w:tc>
      </w:tr>
      <w:tr w:rsidR="00492069" w:rsidRPr="00974EC2" w14:paraId="7FB836A8" w14:textId="77777777" w:rsidTr="00302EEC">
        <w:tc>
          <w:tcPr>
            <w:tcW w:w="6369" w:type="dxa"/>
            <w:tcBorders>
              <w:top w:val="single" w:sz="8" w:space="0" w:color="000000"/>
              <w:left w:val="single" w:sz="8" w:space="0" w:color="000000"/>
              <w:bottom w:val="single" w:sz="8" w:space="0" w:color="000000"/>
              <w:right w:val="single" w:sz="8" w:space="0" w:color="000000"/>
            </w:tcBorders>
          </w:tcPr>
          <w:p w14:paraId="2650F501" w14:textId="77777777" w:rsidR="00CC52C0" w:rsidRPr="00974EC2" w:rsidRDefault="00A01C2C">
            <w:pPr>
              <w:pStyle w:val="Paragraph"/>
              <w:jc w:val="left"/>
            </w:pPr>
            <w:r w:rsidRPr="00974EC2">
              <w:t>Deadline for receipt of requests for clarification</w:t>
            </w:r>
          </w:p>
        </w:tc>
        <w:tc>
          <w:tcPr>
            <w:tcW w:w="2971" w:type="dxa"/>
            <w:tcBorders>
              <w:top w:val="single" w:sz="8" w:space="0" w:color="000000"/>
              <w:left w:val="single" w:sz="8" w:space="0" w:color="000000"/>
              <w:bottom w:val="single" w:sz="8" w:space="0" w:color="000000"/>
              <w:right w:val="single" w:sz="8" w:space="0" w:color="000000"/>
            </w:tcBorders>
          </w:tcPr>
          <w:p w14:paraId="0AD3F059" w14:textId="2D35165A" w:rsidR="00CC52C0" w:rsidRPr="008F153F" w:rsidRDefault="00302EEC">
            <w:pPr>
              <w:pStyle w:val="Paragraph"/>
              <w:jc w:val="left"/>
            </w:pPr>
            <w:r>
              <w:t>4</w:t>
            </w:r>
            <w:r w:rsidRPr="00302EEC">
              <w:rPr>
                <w:vertAlign w:val="superscript"/>
              </w:rPr>
              <w:t>th</w:t>
            </w:r>
            <w:r>
              <w:t xml:space="preserve"> June 2026</w:t>
            </w:r>
          </w:p>
        </w:tc>
      </w:tr>
      <w:tr w:rsidR="00492069" w:rsidRPr="00974EC2" w14:paraId="1107EC21" w14:textId="77777777" w:rsidTr="00302EEC">
        <w:tc>
          <w:tcPr>
            <w:tcW w:w="6369" w:type="dxa"/>
            <w:tcBorders>
              <w:top w:val="single" w:sz="8" w:space="0" w:color="000000"/>
              <w:left w:val="single" w:sz="8" w:space="0" w:color="000000"/>
              <w:bottom w:val="single" w:sz="8" w:space="0" w:color="000000"/>
              <w:right w:val="single" w:sz="8" w:space="0" w:color="000000"/>
            </w:tcBorders>
          </w:tcPr>
          <w:p w14:paraId="5915D14D" w14:textId="77777777" w:rsidR="00CC52C0" w:rsidRPr="00974EC2" w:rsidRDefault="00A01C2C">
            <w:pPr>
              <w:pStyle w:val="Paragraph"/>
              <w:jc w:val="left"/>
            </w:pPr>
            <w:r w:rsidRPr="00974EC2">
              <w:t>Target date for responses to clarification requests</w:t>
            </w:r>
          </w:p>
        </w:tc>
        <w:tc>
          <w:tcPr>
            <w:tcW w:w="2971" w:type="dxa"/>
            <w:tcBorders>
              <w:top w:val="single" w:sz="8" w:space="0" w:color="000000"/>
              <w:left w:val="single" w:sz="8" w:space="0" w:color="000000"/>
              <w:bottom w:val="single" w:sz="8" w:space="0" w:color="000000"/>
              <w:right w:val="single" w:sz="8" w:space="0" w:color="000000"/>
            </w:tcBorders>
          </w:tcPr>
          <w:p w14:paraId="350B63FF" w14:textId="6ABBBDA6" w:rsidR="00CC52C0" w:rsidRPr="008F153F" w:rsidRDefault="00302EEC">
            <w:pPr>
              <w:pStyle w:val="Paragraph"/>
              <w:jc w:val="left"/>
            </w:pPr>
            <w:r>
              <w:t>11</w:t>
            </w:r>
            <w:r w:rsidRPr="00302EEC">
              <w:rPr>
                <w:vertAlign w:val="superscript"/>
              </w:rPr>
              <w:t>th</w:t>
            </w:r>
            <w:r>
              <w:t xml:space="preserve"> June 2026</w:t>
            </w:r>
          </w:p>
        </w:tc>
      </w:tr>
      <w:tr w:rsidR="00492069" w:rsidRPr="00974EC2" w14:paraId="797AEADB" w14:textId="77777777" w:rsidTr="00302EEC">
        <w:tc>
          <w:tcPr>
            <w:tcW w:w="6369" w:type="dxa"/>
            <w:tcBorders>
              <w:top w:val="single" w:sz="8" w:space="0" w:color="000000"/>
              <w:left w:val="single" w:sz="8" w:space="0" w:color="000000"/>
              <w:bottom w:val="single" w:sz="8" w:space="0" w:color="000000"/>
              <w:right w:val="single" w:sz="8" w:space="0" w:color="000000"/>
            </w:tcBorders>
          </w:tcPr>
          <w:p w14:paraId="6BD16D9D" w14:textId="77777777" w:rsidR="00CC52C0" w:rsidRPr="00974EC2" w:rsidRDefault="00A01C2C">
            <w:pPr>
              <w:pStyle w:val="Paragraph"/>
              <w:jc w:val="left"/>
            </w:pPr>
            <w:r w:rsidRPr="00974EC2">
              <w:t>Deadline for receipt of Tenders</w:t>
            </w:r>
          </w:p>
        </w:tc>
        <w:tc>
          <w:tcPr>
            <w:tcW w:w="2971" w:type="dxa"/>
            <w:tcBorders>
              <w:top w:val="single" w:sz="8" w:space="0" w:color="000000"/>
              <w:left w:val="single" w:sz="8" w:space="0" w:color="000000"/>
              <w:bottom w:val="single" w:sz="8" w:space="0" w:color="000000"/>
              <w:right w:val="single" w:sz="8" w:space="0" w:color="000000"/>
            </w:tcBorders>
          </w:tcPr>
          <w:p w14:paraId="5C671419" w14:textId="5D56126C" w:rsidR="00302EEC" w:rsidRPr="008F153F" w:rsidRDefault="00302EEC">
            <w:pPr>
              <w:pStyle w:val="Paragraph"/>
              <w:jc w:val="left"/>
            </w:pPr>
            <w:r>
              <w:t>16</w:t>
            </w:r>
            <w:r w:rsidRPr="00302EEC">
              <w:rPr>
                <w:vertAlign w:val="superscript"/>
              </w:rPr>
              <w:t>th</w:t>
            </w:r>
            <w:r>
              <w:t xml:space="preserve"> June 2026 at 17:00</w:t>
            </w:r>
          </w:p>
        </w:tc>
      </w:tr>
      <w:tr w:rsidR="00CB01D4" w:rsidRPr="00974EC2" w14:paraId="7E99E765" w14:textId="77777777" w:rsidTr="00302EEC">
        <w:tc>
          <w:tcPr>
            <w:tcW w:w="6369" w:type="dxa"/>
            <w:tcBorders>
              <w:top w:val="single" w:sz="8" w:space="0" w:color="000000"/>
              <w:left w:val="single" w:sz="8" w:space="0" w:color="000000"/>
              <w:bottom w:val="single" w:sz="8" w:space="0" w:color="000000"/>
              <w:right w:val="single" w:sz="8" w:space="0" w:color="000000"/>
            </w:tcBorders>
          </w:tcPr>
          <w:p w14:paraId="1081EC0A" w14:textId="11A5DFCA" w:rsidR="00CB01D4" w:rsidRPr="00974EC2" w:rsidRDefault="004E4658" w:rsidP="00CB01D4">
            <w:pPr>
              <w:pStyle w:val="Paragraph"/>
              <w:jc w:val="left"/>
            </w:pPr>
            <w:r>
              <w:t>A</w:t>
            </w:r>
            <w:r w:rsidR="00F751F1">
              <w:t>ssessment</w:t>
            </w:r>
            <w:r w:rsidR="00CB01D4" w:rsidRPr="00974EC2">
              <w:t xml:space="preserve"> of Tenders</w:t>
            </w:r>
          </w:p>
        </w:tc>
        <w:tc>
          <w:tcPr>
            <w:tcW w:w="2971" w:type="dxa"/>
            <w:tcBorders>
              <w:top w:val="single" w:sz="8" w:space="0" w:color="000000"/>
              <w:left w:val="single" w:sz="8" w:space="0" w:color="000000"/>
              <w:bottom w:val="single" w:sz="8" w:space="0" w:color="000000"/>
              <w:right w:val="single" w:sz="8" w:space="0" w:color="000000"/>
            </w:tcBorders>
          </w:tcPr>
          <w:p w14:paraId="6348E584" w14:textId="7C58F6BE" w:rsidR="00CB01D4" w:rsidRPr="008F153F" w:rsidRDefault="003218F7" w:rsidP="00CB01D4">
            <w:pPr>
              <w:pStyle w:val="Paragraph"/>
              <w:jc w:val="left"/>
            </w:pPr>
            <w:r>
              <w:t>16</w:t>
            </w:r>
            <w:r w:rsidRPr="003218F7">
              <w:rPr>
                <w:vertAlign w:val="superscript"/>
              </w:rPr>
              <w:t>th</w:t>
            </w:r>
            <w:r>
              <w:t xml:space="preserve"> – 19</w:t>
            </w:r>
            <w:r w:rsidRPr="003218F7">
              <w:rPr>
                <w:vertAlign w:val="superscript"/>
              </w:rPr>
              <w:t>th</w:t>
            </w:r>
            <w:r>
              <w:t xml:space="preserve"> June 2026</w:t>
            </w:r>
          </w:p>
        </w:tc>
      </w:tr>
      <w:tr w:rsidR="006722C9" w:rsidRPr="00974EC2" w14:paraId="1D7D8E8B" w14:textId="77777777" w:rsidTr="00302EEC">
        <w:tc>
          <w:tcPr>
            <w:tcW w:w="6369" w:type="dxa"/>
            <w:tcBorders>
              <w:top w:val="single" w:sz="8" w:space="0" w:color="000000"/>
              <w:left w:val="single" w:sz="8" w:space="0" w:color="000000"/>
              <w:bottom w:val="single" w:sz="8" w:space="0" w:color="000000"/>
              <w:right w:val="single" w:sz="8" w:space="0" w:color="000000"/>
            </w:tcBorders>
          </w:tcPr>
          <w:p w14:paraId="02E7B88D" w14:textId="149F9E3C" w:rsidR="006722C9" w:rsidRPr="00974EC2" w:rsidRDefault="006722C9" w:rsidP="006722C9">
            <w:pPr>
              <w:pStyle w:val="Paragraph"/>
              <w:jc w:val="left"/>
            </w:pPr>
            <w:r w:rsidRPr="00974EC2">
              <w:t xml:space="preserve">Notification of </w:t>
            </w:r>
            <w:r w:rsidR="00E16284">
              <w:t>Framework</w:t>
            </w:r>
            <w:r w:rsidRPr="00974EC2">
              <w:t xml:space="preserve"> award decision to Tenderers</w:t>
            </w:r>
          </w:p>
        </w:tc>
        <w:tc>
          <w:tcPr>
            <w:tcW w:w="2971" w:type="dxa"/>
            <w:tcBorders>
              <w:top w:val="single" w:sz="8" w:space="0" w:color="000000"/>
              <w:left w:val="single" w:sz="8" w:space="0" w:color="000000"/>
              <w:bottom w:val="single" w:sz="8" w:space="0" w:color="000000"/>
              <w:right w:val="single" w:sz="8" w:space="0" w:color="000000"/>
            </w:tcBorders>
          </w:tcPr>
          <w:p w14:paraId="0E9FA4AF" w14:textId="48A8242A" w:rsidR="006722C9" w:rsidRPr="008F153F" w:rsidRDefault="003218F7" w:rsidP="006722C9">
            <w:pPr>
              <w:pStyle w:val="Paragraph"/>
              <w:jc w:val="left"/>
            </w:pPr>
            <w:r>
              <w:t>19</w:t>
            </w:r>
            <w:r w:rsidRPr="003218F7">
              <w:rPr>
                <w:vertAlign w:val="superscript"/>
              </w:rPr>
              <w:t>th</w:t>
            </w:r>
            <w:r>
              <w:t xml:space="preserve"> June 2026</w:t>
            </w:r>
          </w:p>
        </w:tc>
      </w:tr>
      <w:tr w:rsidR="006722C9" w:rsidRPr="00974EC2" w14:paraId="482AF945" w14:textId="77777777" w:rsidTr="00302EEC">
        <w:tc>
          <w:tcPr>
            <w:tcW w:w="6369" w:type="dxa"/>
            <w:tcBorders>
              <w:top w:val="single" w:sz="8" w:space="0" w:color="000000"/>
              <w:left w:val="single" w:sz="8" w:space="0" w:color="000000"/>
              <w:bottom w:val="single" w:sz="8" w:space="0" w:color="000000"/>
              <w:right w:val="single" w:sz="8" w:space="0" w:color="000000"/>
            </w:tcBorders>
          </w:tcPr>
          <w:p w14:paraId="714F03DA" w14:textId="599F8370" w:rsidR="006722C9" w:rsidRPr="00974EC2" w:rsidRDefault="006722C9" w:rsidP="006722C9">
            <w:pPr>
              <w:pStyle w:val="Paragraph"/>
              <w:jc w:val="left"/>
            </w:pPr>
            <w:r w:rsidRPr="00974EC2">
              <w:t xml:space="preserve">Publication of </w:t>
            </w:r>
            <w:r w:rsidR="00D25F6A" w:rsidRPr="00974EC2">
              <w:t>C</w:t>
            </w:r>
            <w:r w:rsidRPr="00974EC2">
              <w:t xml:space="preserve">ontract </w:t>
            </w:r>
            <w:r w:rsidR="00D25F6A" w:rsidRPr="00974EC2">
              <w:t>D</w:t>
            </w:r>
            <w:r w:rsidRPr="00974EC2">
              <w:t xml:space="preserve">etails </w:t>
            </w:r>
            <w:r w:rsidR="00D25F6A" w:rsidRPr="00974EC2">
              <w:t>N</w:t>
            </w:r>
            <w:r w:rsidRPr="00974EC2">
              <w:t>otice</w:t>
            </w:r>
            <w:r w:rsidR="00F968F8">
              <w:t xml:space="preserve"> (relating to Framework)</w:t>
            </w:r>
          </w:p>
        </w:tc>
        <w:tc>
          <w:tcPr>
            <w:tcW w:w="2971" w:type="dxa"/>
            <w:tcBorders>
              <w:top w:val="single" w:sz="8" w:space="0" w:color="000000"/>
              <w:left w:val="single" w:sz="8" w:space="0" w:color="000000"/>
              <w:bottom w:val="single" w:sz="8" w:space="0" w:color="000000"/>
              <w:right w:val="single" w:sz="8" w:space="0" w:color="000000"/>
            </w:tcBorders>
          </w:tcPr>
          <w:p w14:paraId="7F53AD44" w14:textId="5368214A" w:rsidR="006722C9" w:rsidRPr="008F153F" w:rsidRDefault="003218F7" w:rsidP="006722C9">
            <w:pPr>
              <w:pStyle w:val="Paragraph"/>
              <w:jc w:val="left"/>
            </w:pPr>
            <w:r>
              <w:t>19</w:t>
            </w:r>
            <w:r w:rsidRPr="003218F7">
              <w:rPr>
                <w:vertAlign w:val="superscript"/>
              </w:rPr>
              <w:t>th</w:t>
            </w:r>
            <w:r>
              <w:t xml:space="preserve"> June 2026</w:t>
            </w:r>
          </w:p>
        </w:tc>
      </w:tr>
      <w:tr w:rsidR="006722C9" w:rsidRPr="00974EC2" w14:paraId="4208E043" w14:textId="77777777" w:rsidTr="00302EEC">
        <w:tc>
          <w:tcPr>
            <w:tcW w:w="6369" w:type="dxa"/>
            <w:tcBorders>
              <w:top w:val="single" w:sz="8" w:space="0" w:color="000000"/>
              <w:left w:val="single" w:sz="8" w:space="0" w:color="000000"/>
              <w:bottom w:val="single" w:sz="8" w:space="0" w:color="000000"/>
              <w:right w:val="single" w:sz="8" w:space="0" w:color="000000"/>
            </w:tcBorders>
          </w:tcPr>
          <w:p w14:paraId="11454965" w14:textId="6228C863" w:rsidR="006722C9" w:rsidRPr="00974EC2" w:rsidRDefault="006722C9" w:rsidP="006722C9">
            <w:pPr>
              <w:pStyle w:val="Paragraph"/>
              <w:jc w:val="left"/>
            </w:pPr>
            <w:r w:rsidRPr="00974EC2">
              <w:t>Confirm contract award</w:t>
            </w:r>
            <w:r w:rsidR="00F968F8">
              <w:t xml:space="preserve"> (to enter into a Framework)</w:t>
            </w:r>
          </w:p>
        </w:tc>
        <w:tc>
          <w:tcPr>
            <w:tcW w:w="2971" w:type="dxa"/>
            <w:tcBorders>
              <w:top w:val="single" w:sz="8" w:space="0" w:color="000000"/>
              <w:left w:val="single" w:sz="8" w:space="0" w:color="000000"/>
              <w:bottom w:val="single" w:sz="8" w:space="0" w:color="000000"/>
              <w:right w:val="single" w:sz="8" w:space="0" w:color="000000"/>
            </w:tcBorders>
          </w:tcPr>
          <w:p w14:paraId="2A1D5314" w14:textId="7DB0372A" w:rsidR="006722C9" w:rsidRPr="008F153F" w:rsidRDefault="003218F7" w:rsidP="006722C9">
            <w:pPr>
              <w:pStyle w:val="Paragraph"/>
              <w:jc w:val="left"/>
            </w:pPr>
            <w:r>
              <w:t>1</w:t>
            </w:r>
            <w:r w:rsidRPr="003218F7">
              <w:rPr>
                <w:vertAlign w:val="superscript"/>
              </w:rPr>
              <w:t>st</w:t>
            </w:r>
            <w:r>
              <w:t xml:space="preserve"> July 2026</w:t>
            </w:r>
          </w:p>
        </w:tc>
      </w:tr>
      <w:tr w:rsidR="006722C9" w:rsidRPr="00974EC2" w14:paraId="08FF2DF5" w14:textId="77777777" w:rsidTr="00302EEC">
        <w:tc>
          <w:tcPr>
            <w:tcW w:w="6369" w:type="dxa"/>
            <w:tcBorders>
              <w:top w:val="single" w:sz="8" w:space="0" w:color="000000"/>
              <w:left w:val="single" w:sz="8" w:space="0" w:color="000000"/>
              <w:bottom w:val="single" w:sz="8" w:space="0" w:color="000000"/>
              <w:right w:val="single" w:sz="8" w:space="0" w:color="000000"/>
            </w:tcBorders>
          </w:tcPr>
          <w:p w14:paraId="69903471" w14:textId="2D1E2E2A" w:rsidR="006722C9" w:rsidRPr="00974EC2" w:rsidRDefault="00516A4A" w:rsidP="006722C9">
            <w:pPr>
              <w:pStyle w:val="Paragraph"/>
              <w:jc w:val="left"/>
            </w:pPr>
            <w:r>
              <w:t>Framework</w:t>
            </w:r>
            <w:r w:rsidR="00404247">
              <w:t xml:space="preserve"> commencement date</w:t>
            </w:r>
          </w:p>
        </w:tc>
        <w:tc>
          <w:tcPr>
            <w:tcW w:w="2971" w:type="dxa"/>
            <w:tcBorders>
              <w:top w:val="single" w:sz="8" w:space="0" w:color="000000"/>
              <w:left w:val="single" w:sz="8" w:space="0" w:color="000000"/>
              <w:bottom w:val="single" w:sz="8" w:space="0" w:color="000000"/>
              <w:right w:val="single" w:sz="8" w:space="0" w:color="000000"/>
            </w:tcBorders>
          </w:tcPr>
          <w:p w14:paraId="5C38C58A" w14:textId="49632D1C" w:rsidR="006722C9" w:rsidRPr="008F153F" w:rsidRDefault="003218F7" w:rsidP="006722C9">
            <w:pPr>
              <w:pStyle w:val="Paragraph"/>
              <w:jc w:val="left"/>
            </w:pPr>
            <w:r>
              <w:t>1</w:t>
            </w:r>
            <w:r w:rsidRPr="003218F7">
              <w:rPr>
                <w:vertAlign w:val="superscript"/>
              </w:rPr>
              <w:t>st</w:t>
            </w:r>
            <w:r>
              <w:t xml:space="preserve"> July 2026</w:t>
            </w:r>
          </w:p>
        </w:tc>
      </w:tr>
    </w:tbl>
    <w:p w14:paraId="4F2F704D" w14:textId="77777777" w:rsidR="00CC52C0" w:rsidRDefault="00A01C2C">
      <w:pPr>
        <w:pStyle w:val="Parasubclause1"/>
      </w:pPr>
      <w:r w:rsidRPr="00974EC2">
        <w:t>Any changes to the procurement Timetable shall be notified to all Tenderers as soon as practicable.</w:t>
      </w:r>
    </w:p>
    <w:p w14:paraId="13F930DB" w14:textId="3B4BB4FE" w:rsidR="004E4658" w:rsidRDefault="00DE5877" w:rsidP="004E4658">
      <w:pPr>
        <w:pStyle w:val="Parasubclause1"/>
      </w:pPr>
      <w:r>
        <w:t>Tenders are to be submitted by the return date to</w:t>
      </w:r>
      <w:r w:rsidR="004E4658">
        <w:t xml:space="preserve"> Sell2Wales.</w:t>
      </w:r>
    </w:p>
    <w:p w14:paraId="35960966" w14:textId="4E5452CC" w:rsidR="004A4078" w:rsidRPr="00974EC2" w:rsidRDefault="004A4078" w:rsidP="004E4658">
      <w:pPr>
        <w:pStyle w:val="Parasubclause1"/>
      </w:pPr>
      <w:r w:rsidRPr="00974EC2">
        <w:rPr>
          <w:b/>
          <w:bCs/>
        </w:rPr>
        <w:t>Tender Process</w:t>
      </w:r>
    </w:p>
    <w:p w14:paraId="342CA059" w14:textId="3735D9F6" w:rsidR="00CD08E7" w:rsidRPr="00974EC2" w:rsidRDefault="004A4078" w:rsidP="004B7409">
      <w:pPr>
        <w:pStyle w:val="Untitledsubclause1"/>
        <w:numPr>
          <w:ilvl w:val="0"/>
          <w:numId w:val="0"/>
        </w:numPr>
        <w:ind w:left="720"/>
      </w:pPr>
      <w:r w:rsidRPr="00974EC2">
        <w:t>The procurement will follow a staged process, consisting o</w:t>
      </w:r>
      <w:r w:rsidR="00CD08E7" w:rsidRPr="00974EC2">
        <w:t xml:space="preserve">f: </w:t>
      </w:r>
    </w:p>
    <w:p w14:paraId="33DFE33D" w14:textId="0861452B" w:rsidR="004A4078" w:rsidRPr="00974EC2" w:rsidRDefault="00CD08E7" w:rsidP="00CD08E7">
      <w:pPr>
        <w:pStyle w:val="Parasubclause1"/>
        <w:numPr>
          <w:ilvl w:val="0"/>
          <w:numId w:val="50"/>
        </w:numPr>
      </w:pPr>
      <w:r w:rsidRPr="00974EC2">
        <w:t xml:space="preserve">Stage 1 – An initial down selection stage, immediately followed by a full written </w:t>
      </w:r>
      <w:r w:rsidR="00247301">
        <w:t>T</w:t>
      </w:r>
      <w:r w:rsidRPr="00974EC2">
        <w:t xml:space="preserve">ender </w:t>
      </w:r>
      <w:r w:rsidR="00F751F1">
        <w:t>assessment</w:t>
      </w:r>
      <w:r w:rsidRPr="00974EC2">
        <w:t xml:space="preserve"> – Tenderers will need to submit </w:t>
      </w:r>
      <w:r w:rsidR="00123C7A" w:rsidRPr="00974EC2">
        <w:t xml:space="preserve">documentation to satisfy both elements of this Stage, but only those who pass the down selection stage will have their full written </w:t>
      </w:r>
      <w:r w:rsidR="00247301">
        <w:t>T</w:t>
      </w:r>
      <w:r w:rsidR="00123C7A" w:rsidRPr="00974EC2">
        <w:t xml:space="preserve">ender </w:t>
      </w:r>
      <w:r w:rsidR="00F751F1">
        <w:t>assess</w:t>
      </w:r>
      <w:r w:rsidR="004E4658">
        <w:t>.</w:t>
      </w:r>
    </w:p>
    <w:p w14:paraId="005C0361" w14:textId="77777777" w:rsidR="00CC52C0" w:rsidRPr="00974EC2" w:rsidRDefault="00A01C2C">
      <w:pPr>
        <w:pStyle w:val="Untitledsubclause1"/>
        <w:rPr>
          <w:b/>
        </w:rPr>
      </w:pPr>
      <w:bookmarkStart w:id="13" w:name="a894315"/>
      <w:r w:rsidRPr="00974EC2">
        <w:rPr>
          <w:b/>
        </w:rPr>
        <w:t>Deadline for receipt of Tenders</w:t>
      </w:r>
      <w:bookmarkEnd w:id="13"/>
    </w:p>
    <w:p w14:paraId="64FA3DAF" w14:textId="367B94E8" w:rsidR="00CC52C0" w:rsidRPr="00974EC2" w:rsidRDefault="00A01C2C">
      <w:pPr>
        <w:pStyle w:val="Parasubclause1"/>
      </w:pPr>
      <w:r w:rsidRPr="00974EC2">
        <w:lastRenderedPageBreak/>
        <w:t xml:space="preserve">Responses to this ITT must arrive in the manner prescribed under </w:t>
      </w:r>
      <w:r w:rsidRPr="00974EC2">
        <w:fldChar w:fldCharType="begin"/>
      </w:r>
      <w:r w:rsidRPr="00974EC2">
        <w:instrText>PAGEREF a103584\# "'paragraph '"  \h</w:instrText>
      </w:r>
      <w:r w:rsidRPr="00974EC2">
        <w:fldChar w:fldCharType="separate"/>
      </w:r>
      <w:r w:rsidRPr="00974EC2">
        <w:t xml:space="preserve">paragraph </w:t>
      </w:r>
      <w:r w:rsidRPr="00974EC2">
        <w:fldChar w:fldCharType="end"/>
      </w:r>
      <w:r w:rsidRPr="00974EC2">
        <w:fldChar w:fldCharType="begin"/>
      </w:r>
      <w:r w:rsidRPr="00974EC2">
        <w:instrText>REF a103584 \h \w</w:instrText>
      </w:r>
      <w:r w:rsidR="00C516B0" w:rsidRPr="00974EC2">
        <w:instrText xml:space="preserve"> \* MERGEFORMAT </w:instrText>
      </w:r>
      <w:r w:rsidRPr="00974EC2">
        <w:fldChar w:fldCharType="separate"/>
      </w:r>
      <w:r w:rsidRPr="00974EC2">
        <w:t>3.1</w:t>
      </w:r>
      <w:r w:rsidRPr="00974EC2">
        <w:fldChar w:fldCharType="end"/>
      </w:r>
      <w:r w:rsidR="00765A7D">
        <w:t xml:space="preserve"> prior to the deadline.</w:t>
      </w:r>
      <w:r w:rsidRPr="00974EC2">
        <w:t xml:space="preserve"> </w:t>
      </w:r>
    </w:p>
    <w:p w14:paraId="118D34DC" w14:textId="302C1A1A" w:rsidR="00977D8C" w:rsidRDefault="00977D8C">
      <w:pPr>
        <w:pStyle w:val="Parasubclause1"/>
      </w:pPr>
      <w:r>
        <w:t>Do not leave your response until the last minute or hours before the deadline</w:t>
      </w:r>
      <w:r w:rsidR="00817981">
        <w:t xml:space="preserve">. </w:t>
      </w:r>
      <w:r w:rsidR="003B2EF8" w:rsidRPr="003B2EF8">
        <w:t>If you experience connection problems, you will miss the deadline and your response may be deemed non-compliant and rejected. Always upload generic information early to avoid last minute time pressure.</w:t>
      </w:r>
    </w:p>
    <w:p w14:paraId="672733E1" w14:textId="774359F4" w:rsidR="003B2EF8" w:rsidRDefault="00F104CD">
      <w:pPr>
        <w:pStyle w:val="Parasubclause1"/>
      </w:pPr>
      <w:r w:rsidRPr="00F104CD">
        <w:t>The speed at which your submission is received will also depend on the size of the file and the internet bandwidth available to you. Allow sufficient time when tendering electronically. As a general guide, a simple two-page text file should take less than 30 seconds to transmit. A large file (i.e. one approaching 4MB file size) may take several minutes to transmit.</w:t>
      </w:r>
    </w:p>
    <w:p w14:paraId="5FAB4849" w14:textId="02CC0E4A" w:rsidR="005A3825" w:rsidRDefault="005A3825">
      <w:pPr>
        <w:pStyle w:val="Parasubclause1"/>
      </w:pPr>
      <w:r w:rsidRPr="005A3825">
        <w:t>A</w:t>
      </w:r>
      <w:r>
        <w:t>ll</w:t>
      </w:r>
      <w:r w:rsidRPr="005A3825">
        <w:t xml:space="preserve"> of the submission </w:t>
      </w:r>
      <w:r>
        <w:t>must</w:t>
      </w:r>
      <w:r w:rsidRPr="005A3825">
        <w:t xml:space="preserve"> be received prior to the submission deadline. If your transmission is part received when the deadline is reached, the submission will fail. As a general rule, if the transmission process has not completed within 10 minutes, it has been unsuccessful.</w:t>
      </w:r>
    </w:p>
    <w:p w14:paraId="6F1D4B2C" w14:textId="757FE097" w:rsidR="00CC52C0" w:rsidRPr="00974EC2" w:rsidRDefault="00A01C2C">
      <w:pPr>
        <w:pStyle w:val="Parasubclause1"/>
      </w:pPr>
      <w:r w:rsidRPr="00974EC2">
        <w:t xml:space="preserve">Any Tender received after the Deadline shall not be opened or considered, unless there are exceptional mitigating circumstances such as a technical failure in connection with </w:t>
      </w:r>
      <w:r w:rsidR="008E1341" w:rsidRPr="00303CB6">
        <w:t>Sell2Wales</w:t>
      </w:r>
      <w:r w:rsidRPr="00974EC2">
        <w:t xml:space="preserve">, which shall be considered by the </w:t>
      </w:r>
      <w:r w:rsidR="00C516B0" w:rsidRPr="00974EC2">
        <w:t>College</w:t>
      </w:r>
      <w:r w:rsidRPr="00974EC2">
        <w:t xml:space="preserve"> in its absolute discretion.</w:t>
      </w:r>
    </w:p>
    <w:p w14:paraId="51D9D517" w14:textId="3E0C5515" w:rsidR="00CC52C0" w:rsidRDefault="00A01C2C">
      <w:pPr>
        <w:pStyle w:val="Parasubclause1"/>
      </w:pPr>
      <w:r w:rsidRPr="00974EC2">
        <w:t xml:space="preserve">The </w:t>
      </w:r>
      <w:r w:rsidR="00C516B0" w:rsidRPr="00974EC2">
        <w:t>College</w:t>
      </w:r>
      <w:r w:rsidRPr="00974EC2">
        <w:t xml:space="preserve"> may, however, in its own absolute discretion extend the </w:t>
      </w:r>
      <w:r w:rsidR="00BF47E1">
        <w:t>d</w:t>
      </w:r>
      <w:r w:rsidRPr="00974EC2">
        <w:t xml:space="preserve">eadline and in such circumstances the </w:t>
      </w:r>
      <w:r w:rsidR="00C516B0" w:rsidRPr="00974EC2">
        <w:t>College</w:t>
      </w:r>
      <w:r w:rsidRPr="00974EC2">
        <w:t xml:space="preserve"> will notify all Tenderers of any change.</w:t>
      </w:r>
    </w:p>
    <w:p w14:paraId="30357A46" w14:textId="4DBE2485" w:rsidR="00003A38" w:rsidRPr="00A6516A" w:rsidRDefault="00003A38" w:rsidP="00A6516A">
      <w:pPr>
        <w:pStyle w:val="Untitledsubclause1"/>
        <w:rPr>
          <w:b/>
          <w:bCs/>
        </w:rPr>
      </w:pPr>
      <w:r w:rsidRPr="00A6516A">
        <w:rPr>
          <w:b/>
          <w:bCs/>
        </w:rPr>
        <w:t>Acceptance of Tender</w:t>
      </w:r>
    </w:p>
    <w:p w14:paraId="79275713" w14:textId="21AF00D4" w:rsidR="00FB1465" w:rsidRPr="005719B4" w:rsidRDefault="00A6516A" w:rsidP="00154B1C">
      <w:pPr>
        <w:pStyle w:val="Parasubclause1"/>
      </w:pPr>
      <w:r>
        <w:t>Your</w:t>
      </w:r>
      <w:r w:rsidR="00003A38" w:rsidRPr="00BF5B5E">
        <w:t xml:space="preserve"> </w:t>
      </w:r>
      <w:r>
        <w:t>T</w:t>
      </w:r>
      <w:r w:rsidR="00003A38" w:rsidRPr="00BF5B5E">
        <w:t>ender shall remain o</w:t>
      </w:r>
      <w:r w:rsidR="00003A38">
        <w:t xml:space="preserve">pen for acceptance by the College for a period </w:t>
      </w:r>
      <w:r w:rsidR="003C144E">
        <w:rPr>
          <w:b/>
        </w:rPr>
        <w:t xml:space="preserve">of </w:t>
      </w:r>
      <w:r w:rsidR="00AF1CD0">
        <w:rPr>
          <w:bCs/>
        </w:rPr>
        <w:t>12 weeks</w:t>
      </w:r>
      <w:r w:rsidR="00003A38">
        <w:t xml:space="preserve"> from submission</w:t>
      </w:r>
      <w:r w:rsidR="00BF47E1">
        <w:t>.</w:t>
      </w:r>
    </w:p>
    <w:p w14:paraId="2CD0A1CF" w14:textId="77777777" w:rsidR="00CC52C0" w:rsidRPr="00974EC2" w:rsidRDefault="00A01C2C">
      <w:pPr>
        <w:pStyle w:val="Untitledsubclause1"/>
        <w:rPr>
          <w:b/>
        </w:rPr>
      </w:pPr>
      <w:bookmarkStart w:id="14" w:name="a369628"/>
      <w:r w:rsidRPr="00974EC2">
        <w:rPr>
          <w:b/>
        </w:rPr>
        <w:t>References</w:t>
      </w:r>
      <w:bookmarkEnd w:id="14"/>
    </w:p>
    <w:p w14:paraId="5ADC3C7E" w14:textId="3F272AEB" w:rsidR="00CC52C0" w:rsidRPr="00974EC2" w:rsidRDefault="00A01C2C">
      <w:pPr>
        <w:pStyle w:val="Parasubclause1"/>
      </w:pPr>
      <w:r w:rsidRPr="00974EC2">
        <w:t>Tenderers are requested to supply</w:t>
      </w:r>
      <w:r w:rsidR="00404247">
        <w:t xml:space="preserve"> two r</w:t>
      </w:r>
      <w:r w:rsidRPr="00974EC2">
        <w:t>eferences. References will be used to verify the technical proposals put forward in the Tender and will not be scored.</w:t>
      </w:r>
    </w:p>
    <w:p w14:paraId="4E0993C0" w14:textId="751DA16A" w:rsidR="00CC52C0" w:rsidRPr="00974EC2" w:rsidRDefault="00A01C2C">
      <w:pPr>
        <w:pStyle w:val="Parasubclause1"/>
      </w:pPr>
      <w:r w:rsidRPr="00404247">
        <w:t xml:space="preserve">The </w:t>
      </w:r>
      <w:r w:rsidR="00C516B0" w:rsidRPr="00404247">
        <w:t>College</w:t>
      </w:r>
      <w:r w:rsidRPr="00404247">
        <w:t xml:space="preserve"> reserves the right to seek references from any of the Tenderer's customers, including the </w:t>
      </w:r>
      <w:r w:rsidR="00C516B0" w:rsidRPr="00404247">
        <w:t>College</w:t>
      </w:r>
      <w:r w:rsidRPr="00404247">
        <w:t>, whether or not the Tenderer has listed such customers as referees.</w:t>
      </w:r>
    </w:p>
    <w:p w14:paraId="36DB0C94" w14:textId="79DDB9E7" w:rsidR="00CC52C0" w:rsidRPr="00974EC2" w:rsidRDefault="00516A4A">
      <w:pPr>
        <w:pStyle w:val="Untitledsubclause1"/>
        <w:rPr>
          <w:b/>
        </w:rPr>
      </w:pPr>
      <w:r>
        <w:rPr>
          <w:b/>
        </w:rPr>
        <w:t>Framework</w:t>
      </w:r>
      <w:r w:rsidR="00724137">
        <w:rPr>
          <w:b/>
        </w:rPr>
        <w:t xml:space="preserve"> award</w:t>
      </w:r>
    </w:p>
    <w:p w14:paraId="28FA43D3" w14:textId="4CF30B0F" w:rsidR="00CC52C0" w:rsidRDefault="00A01C2C" w:rsidP="00724137">
      <w:pPr>
        <w:pStyle w:val="Parasubclause1"/>
      </w:pPr>
      <w:r w:rsidRPr="00974EC2">
        <w:lastRenderedPageBreak/>
        <w:t xml:space="preserve">The </w:t>
      </w:r>
      <w:r w:rsidR="00C516B0" w:rsidRPr="00974EC2">
        <w:t>College</w:t>
      </w:r>
      <w:r w:rsidRPr="00974EC2">
        <w:t xml:space="preserve"> may award </w:t>
      </w:r>
      <w:r w:rsidR="00724137">
        <w:t xml:space="preserve">a place on the </w:t>
      </w:r>
      <w:r w:rsidR="00516A4A">
        <w:t>Framework</w:t>
      </w:r>
      <w:r w:rsidR="00724137">
        <w:t xml:space="preserve"> following completion of the </w:t>
      </w:r>
      <w:r w:rsidR="00F751F1">
        <w:t>assessment</w:t>
      </w:r>
      <w:r w:rsidR="00724137">
        <w:t xml:space="preserve"> process as described in paragraph 2.2. Bidders should note that the procurement consists of</w:t>
      </w:r>
      <w:r w:rsidR="007F2B09">
        <w:t xml:space="preserve"> </w:t>
      </w:r>
      <w:r w:rsidR="00724137">
        <w:t xml:space="preserve">a full written Tender </w:t>
      </w:r>
      <w:r w:rsidR="00F751F1">
        <w:t>assessment</w:t>
      </w:r>
      <w:r w:rsidR="007F2B09">
        <w:t>.</w:t>
      </w:r>
    </w:p>
    <w:p w14:paraId="35AC4F0E" w14:textId="173D2123" w:rsidR="00724137" w:rsidRDefault="00724137" w:rsidP="00724137">
      <w:pPr>
        <w:pStyle w:val="Parasubclause1"/>
      </w:pPr>
      <w:r>
        <w:t xml:space="preserve">Appointment to the </w:t>
      </w:r>
      <w:r w:rsidR="00516A4A">
        <w:t>Framework</w:t>
      </w:r>
      <w:r>
        <w:t xml:space="preserve"> is subject to the College’s formal approval process. Until all necessary approvals are obtained, no </w:t>
      </w:r>
      <w:r w:rsidR="00516A4A">
        <w:t>Framework</w:t>
      </w:r>
      <w:r>
        <w:t xml:space="preserve"> will be entered into. </w:t>
      </w:r>
    </w:p>
    <w:p w14:paraId="659C0D74" w14:textId="1F2CF6B0" w:rsidR="00724137" w:rsidRPr="00974EC2" w:rsidRDefault="00724137" w:rsidP="00724137">
      <w:pPr>
        <w:pStyle w:val="Parasubclause1"/>
      </w:pPr>
      <w:r>
        <w:t xml:space="preserve">Once the College has reached a decision in respect of the </w:t>
      </w:r>
      <w:r w:rsidR="00516A4A">
        <w:t>Framework</w:t>
      </w:r>
      <w:r>
        <w:t xml:space="preserve"> award, all bidders will be notified of the outcome of the procurement prior to the award. No formal standstill period will be held. </w:t>
      </w:r>
    </w:p>
    <w:p w14:paraId="0084DD63" w14:textId="257DE39A" w:rsidR="00CC52C0" w:rsidRPr="00974EC2" w:rsidRDefault="00A01C2C">
      <w:pPr>
        <w:pStyle w:val="TitleClause"/>
      </w:pPr>
      <w:bookmarkStart w:id="15" w:name="a803841"/>
      <w:bookmarkStart w:id="16" w:name="_Toc216178766"/>
      <w:r w:rsidRPr="00974EC2">
        <w:t>Tender completion information</w:t>
      </w:r>
      <w:bookmarkEnd w:id="15"/>
      <w:bookmarkEnd w:id="16"/>
    </w:p>
    <w:p w14:paraId="042DCBB4" w14:textId="77777777" w:rsidR="00CC52C0" w:rsidRPr="00974EC2" w:rsidRDefault="00A01C2C">
      <w:pPr>
        <w:pStyle w:val="Untitledsubclause1"/>
        <w:rPr>
          <w:b/>
        </w:rPr>
      </w:pPr>
      <w:bookmarkStart w:id="17" w:name="a103584"/>
      <w:r w:rsidRPr="00974EC2">
        <w:rPr>
          <w:b/>
        </w:rPr>
        <w:t>Formalities</w:t>
      </w:r>
      <w:bookmarkEnd w:id="17"/>
    </w:p>
    <w:p w14:paraId="6BEC61DC" w14:textId="008B25F7" w:rsidR="00CC52C0" w:rsidRPr="00974EC2" w:rsidRDefault="00A01C2C">
      <w:pPr>
        <w:pStyle w:val="Parasubclause1"/>
      </w:pPr>
      <w:r w:rsidRPr="00974EC2">
        <w:t xml:space="preserve">All documents comprising the Tender must be completed and uploaded to </w:t>
      </w:r>
      <w:r w:rsidR="008E1341" w:rsidRPr="00A04D3D">
        <w:t>Sell2Wales</w:t>
      </w:r>
      <w:r w:rsidRPr="00974EC2">
        <w:t xml:space="preserve"> by </w:t>
      </w:r>
      <w:r w:rsidR="00431E17" w:rsidRPr="00974EC2">
        <w:t xml:space="preserve">the </w:t>
      </w:r>
      <w:r w:rsidRPr="00974EC2">
        <w:t>Deadline.</w:t>
      </w:r>
    </w:p>
    <w:p w14:paraId="698FCF86" w14:textId="028B0483" w:rsidR="00CC52C0" w:rsidRPr="00974EC2" w:rsidRDefault="00A01C2C">
      <w:pPr>
        <w:pStyle w:val="Parasubclause1"/>
      </w:pPr>
      <w:r w:rsidRPr="00974EC2">
        <w:t>The following requirements must be adhered to when submitting Tenders:</w:t>
      </w:r>
    </w:p>
    <w:p w14:paraId="4D19488E" w14:textId="0B39FA8E" w:rsidR="00CC52C0" w:rsidRPr="00974EC2" w:rsidRDefault="00A01C2C">
      <w:pPr>
        <w:pStyle w:val="subclause1Bullet1"/>
      </w:pPr>
      <w:r w:rsidRPr="00974EC2">
        <w:t xml:space="preserve">The pages of the Tender documents must be numbered sequentially as "Page </w:t>
      </w:r>
      <w:r w:rsidRPr="003320CC">
        <w:t>[x</w:t>
      </w:r>
      <w:r w:rsidR="003320CC" w:rsidRPr="003320CC">
        <w:t>]</w:t>
      </w:r>
      <w:r w:rsidRPr="003320CC">
        <w:t xml:space="preserve"> of [xx]"</w:t>
      </w:r>
      <w:r w:rsidRPr="00974EC2">
        <w:t xml:space="preserve"> and include the date and title of the document on each page of the main body. </w:t>
      </w:r>
    </w:p>
    <w:p w14:paraId="5E01599C" w14:textId="77777777" w:rsidR="00CC52C0" w:rsidRPr="00974EC2" w:rsidRDefault="00A01C2C">
      <w:pPr>
        <w:pStyle w:val="subclause1Bullet1"/>
      </w:pPr>
      <w:r w:rsidRPr="00974EC2">
        <w:t>Any additional pre-existing material that is necessary to support the Tender should be included as schedules with cross-references to this material in the main body of the Tender. Cross-references to this ITT should also be included in the Tender whenever this is relevant.</w:t>
      </w:r>
    </w:p>
    <w:p w14:paraId="74D79055" w14:textId="77777777" w:rsidR="00CC52C0" w:rsidRPr="00974EC2" w:rsidRDefault="00A01C2C">
      <w:pPr>
        <w:pStyle w:val="subclause1Bullet1"/>
      </w:pPr>
      <w:r w:rsidRPr="00974EC2">
        <w:t>Where documents are embedded within other documents, Tenderers must upload separate copies of the embedded documents.</w:t>
      </w:r>
    </w:p>
    <w:p w14:paraId="0CC904D8" w14:textId="7F4E4BB1" w:rsidR="00CC52C0" w:rsidRPr="00974EC2" w:rsidRDefault="00A01C2C">
      <w:pPr>
        <w:pStyle w:val="subclause1Bullet1"/>
      </w:pPr>
      <w:r w:rsidRPr="00974EC2">
        <w:t>The Tender must be</w:t>
      </w:r>
      <w:r w:rsidR="00724E66">
        <w:t xml:space="preserve"> submitted</w:t>
      </w:r>
      <w:r w:rsidRPr="00974EC2">
        <w:t xml:space="preserve"> in English </w:t>
      </w:r>
      <w:r w:rsidR="00724E66">
        <w:t xml:space="preserve">or Welsh </w:t>
      </w:r>
      <w:r w:rsidRPr="00974EC2">
        <w:t>and drafted in accordance with the drafting guidance set out in this ITT.</w:t>
      </w:r>
    </w:p>
    <w:p w14:paraId="16CB7E9B" w14:textId="77777777" w:rsidR="00CC52C0" w:rsidRPr="00974EC2" w:rsidRDefault="00A01C2C">
      <w:pPr>
        <w:pStyle w:val="subclause1Bullet1"/>
      </w:pPr>
      <w:r w:rsidRPr="00974EC2">
        <w:t>A table of contents must be provided.</w:t>
      </w:r>
    </w:p>
    <w:p w14:paraId="17C4B343" w14:textId="77777777" w:rsidR="00CC52C0" w:rsidRPr="00974EC2" w:rsidRDefault="00A01C2C">
      <w:pPr>
        <w:pStyle w:val="subclause1Bullet1"/>
      </w:pPr>
      <w:r w:rsidRPr="00974EC2">
        <w:t>The Tender must be fully cross-referenced.</w:t>
      </w:r>
    </w:p>
    <w:p w14:paraId="701DD898" w14:textId="77777777" w:rsidR="00CC52C0" w:rsidRPr="00974EC2" w:rsidRDefault="00A01C2C">
      <w:pPr>
        <w:pStyle w:val="subclause1Bullet1"/>
      </w:pPr>
      <w:r w:rsidRPr="00974EC2">
        <w:t>A list of supporting material must be supplied.</w:t>
      </w:r>
    </w:p>
    <w:p w14:paraId="440B3575" w14:textId="0D04D36A" w:rsidR="00CC52C0" w:rsidRPr="00974EC2" w:rsidRDefault="00A01C2C">
      <w:pPr>
        <w:pStyle w:val="subclause1Bullet1"/>
      </w:pPr>
      <w:r w:rsidRPr="00974EC2">
        <w:t>Tenderers should use</w:t>
      </w:r>
      <w:r w:rsidR="00CC5438">
        <w:t xml:space="preserve"> Arial </w:t>
      </w:r>
      <w:r w:rsidR="00724137">
        <w:t>size 11 font.</w:t>
      </w:r>
    </w:p>
    <w:p w14:paraId="7D0E9541" w14:textId="5795C927" w:rsidR="00CC52C0" w:rsidRPr="00974EC2" w:rsidRDefault="00A01C2C">
      <w:pPr>
        <w:pStyle w:val="subclause1Bullet1"/>
      </w:pPr>
      <w:r w:rsidRPr="00974EC2">
        <w:t xml:space="preserve">Line spacing must be </w:t>
      </w:r>
      <w:r w:rsidR="001A2729" w:rsidRPr="00724137">
        <w:t>1.0</w:t>
      </w:r>
      <w:r w:rsidRPr="00724137">
        <w:t xml:space="preserve"> or more</w:t>
      </w:r>
      <w:r w:rsidR="00724137" w:rsidRPr="00724137">
        <w:t>.</w:t>
      </w:r>
    </w:p>
    <w:p w14:paraId="3380D0F4" w14:textId="1B006F8B" w:rsidR="00CC52C0" w:rsidRPr="00974EC2" w:rsidRDefault="00A01C2C">
      <w:pPr>
        <w:pStyle w:val="Parasubclause1"/>
      </w:pPr>
      <w:r w:rsidRPr="00974EC2">
        <w:lastRenderedPageBreak/>
        <w:t xml:space="preserve">The Tender must be clear, concise and complete. The </w:t>
      </w:r>
      <w:r w:rsidR="00C516B0" w:rsidRPr="00974EC2">
        <w:t>College</w:t>
      </w:r>
      <w:r w:rsidRPr="00974EC2">
        <w:t xml:space="preserve"> reserves the right to mark a Tenderer down or exclude it from the procurement if its Tender contains any ambiguities or caveats or lacks clarity. </w:t>
      </w:r>
      <w:r w:rsidR="00C50C55">
        <w:t>No unauthorised alterations or additions are to be made to the Form of Tender</w:t>
      </w:r>
      <w:r w:rsidR="00464796">
        <w:t xml:space="preserve">, draft </w:t>
      </w:r>
      <w:r w:rsidR="00516A4A">
        <w:t>Framework</w:t>
      </w:r>
      <w:r w:rsidR="00464796">
        <w:t>, draft Call-Off Contract</w:t>
      </w:r>
      <w:r w:rsidR="00C50C55">
        <w:t xml:space="preserve"> or any other component of the Tender document. </w:t>
      </w:r>
      <w:r w:rsidRPr="00974EC2">
        <w:t xml:space="preserve">Tenderers should submit only such information as is necessary to respond effectively to this ITT. Tenders will be </w:t>
      </w:r>
      <w:r w:rsidR="00F751F1">
        <w:t>assessed</w:t>
      </w:r>
      <w:r w:rsidRPr="00974EC2">
        <w:t xml:space="preserve"> on the basis of information submitted by the Deadline.</w:t>
      </w:r>
      <w:r w:rsidR="002A0A24" w:rsidRPr="002A0A24">
        <w:t xml:space="preserve"> </w:t>
      </w:r>
    </w:p>
    <w:p w14:paraId="6FDD01AC" w14:textId="7AC3E469" w:rsidR="00CC52C0" w:rsidRPr="00974EC2" w:rsidRDefault="00A01C2C">
      <w:pPr>
        <w:pStyle w:val="Parasubclause1"/>
      </w:pPr>
      <w:r w:rsidRPr="00974EC2">
        <w:t>The Tenderer must upload a duly executed Form of Tender (</w:t>
      </w:r>
      <w:r w:rsidRPr="00974EC2">
        <w:fldChar w:fldCharType="begin"/>
      </w:r>
      <w:r w:rsidRPr="00974EC2">
        <w:instrText>REF a737736 \h \w</w:instrText>
      </w:r>
      <w:r w:rsidR="00C516B0" w:rsidRPr="00974EC2">
        <w:instrText xml:space="preserve"> \* MERGEFORMAT </w:instrText>
      </w:r>
      <w:r w:rsidRPr="00974EC2">
        <w:fldChar w:fldCharType="separate"/>
      </w:r>
      <w:r w:rsidRPr="00974EC2">
        <w:t xml:space="preserve">Schedule </w:t>
      </w:r>
      <w:r w:rsidRPr="00974EC2">
        <w:fldChar w:fldCharType="end"/>
      </w:r>
      <w:r w:rsidR="00724E66">
        <w:t>6</w:t>
      </w:r>
      <w:r w:rsidRPr="00974EC2">
        <w:t xml:space="preserve">). Where the Tenderer is a company, the Tender must be signed by a duly authorised representative of that company. Where the Tenderer is a consortium, the Tender must be signed by the lead authorised representative of the consortium, which organisation shall be responsible for the performance of the </w:t>
      </w:r>
      <w:r w:rsidR="00516A4A">
        <w:t>Framework</w:t>
      </w:r>
      <w:r w:rsidRPr="00974EC2">
        <w:t>. In the case of a partnership, all the partners should sign or, alternatively, one only may sign, in which case they must have and should state that they have authority to sign on behalf of the other partner(s). The names of all the partners should be given in full together with the trading name of the partnership. In the case of a sole trader, they should sign and give their name in full together with the name under which they are trading.</w:t>
      </w:r>
    </w:p>
    <w:p w14:paraId="4D25851C" w14:textId="77777777" w:rsidR="00CC52C0" w:rsidRPr="00974EC2" w:rsidRDefault="00A01C2C">
      <w:pPr>
        <w:pStyle w:val="Untitledsubclause1"/>
        <w:rPr>
          <w:b/>
        </w:rPr>
      </w:pPr>
      <w:bookmarkStart w:id="18" w:name="a348295"/>
      <w:r w:rsidRPr="00974EC2">
        <w:rPr>
          <w:b/>
        </w:rPr>
        <w:t>Submission of Tenders</w:t>
      </w:r>
      <w:bookmarkEnd w:id="18"/>
    </w:p>
    <w:p w14:paraId="77E9968E" w14:textId="58D1053C" w:rsidR="00CC52C0" w:rsidRPr="00974EC2" w:rsidRDefault="00A01C2C" w:rsidP="004B7409">
      <w:pPr>
        <w:pStyle w:val="Parasubclause1"/>
      </w:pPr>
      <w:r w:rsidRPr="00974EC2">
        <w:t>Each Tenderer</w:t>
      </w:r>
      <w:r w:rsidR="00A70BED" w:rsidRPr="00974EC2">
        <w:t xml:space="preserve"> m</w:t>
      </w:r>
      <w:r w:rsidRPr="00974EC2">
        <w:t>ust submit one Tender</w:t>
      </w:r>
      <w:r w:rsidR="00A70BED" w:rsidRPr="00974EC2">
        <w:t>.</w:t>
      </w:r>
    </w:p>
    <w:p w14:paraId="0D3D16F3" w14:textId="437699CD" w:rsidR="00CC52C0" w:rsidRDefault="00A01C2C">
      <w:pPr>
        <w:pStyle w:val="Parasubclause1"/>
      </w:pPr>
      <w:r w:rsidRPr="00974EC2">
        <w:t xml:space="preserve">The Tender must meet the </w:t>
      </w:r>
      <w:r w:rsidR="00C516B0" w:rsidRPr="00974EC2">
        <w:t>College</w:t>
      </w:r>
      <w:r w:rsidRPr="00974EC2">
        <w:t xml:space="preserve">'s minimum requirements, operate as a standalone bid and not be dependent on any other bid or any other factors external to the Tender itself. That is, the Tender must be capable of being accepted by the </w:t>
      </w:r>
      <w:r w:rsidR="00C516B0" w:rsidRPr="00974EC2">
        <w:t>College</w:t>
      </w:r>
      <w:r w:rsidRPr="00974EC2">
        <w:t xml:space="preserve"> in its own right.</w:t>
      </w:r>
    </w:p>
    <w:p w14:paraId="2A8D1F9E" w14:textId="2A1A542E" w:rsidR="001B7056" w:rsidRDefault="001B7056" w:rsidP="001B7056">
      <w:pPr>
        <w:pStyle w:val="Parasubclause1"/>
      </w:pPr>
      <w:r w:rsidRPr="00E02E0C">
        <w:t>Failure to submit any of the Tender do</w:t>
      </w:r>
      <w:r>
        <w:t>cumentation</w:t>
      </w:r>
      <w:r w:rsidRPr="00E02E0C">
        <w:t xml:space="preserve"> specified below will result in the exclusion of the Tenderer from any further consideration by the </w:t>
      </w:r>
      <w:r>
        <w:t>College</w:t>
      </w:r>
    </w:p>
    <w:p w14:paraId="48BF5CFA" w14:textId="04C0A9F6" w:rsidR="00562D94" w:rsidRDefault="006C60A5" w:rsidP="00E75B0C">
      <w:pPr>
        <w:pStyle w:val="Parasubclause1"/>
      </w:pPr>
      <w:r>
        <w:t>The following documentation must be submitted with the Tender</w:t>
      </w:r>
      <w:r w:rsidR="00D06231">
        <w:t>:</w:t>
      </w:r>
    </w:p>
    <w:tbl>
      <w:tblPr>
        <w:tblStyle w:val="TableGrid"/>
        <w:tblW w:w="0" w:type="auto"/>
        <w:tblInd w:w="704" w:type="dxa"/>
        <w:tblLook w:val="04A0" w:firstRow="1" w:lastRow="0" w:firstColumn="1" w:lastColumn="0" w:noHBand="0" w:noVBand="1"/>
      </w:tblPr>
      <w:tblGrid>
        <w:gridCol w:w="4520"/>
        <w:gridCol w:w="4126"/>
      </w:tblGrid>
      <w:tr w:rsidR="00A66C9B" w14:paraId="58ABB385" w14:textId="77777777" w:rsidTr="007D24B3">
        <w:tc>
          <w:tcPr>
            <w:tcW w:w="4520" w:type="dxa"/>
          </w:tcPr>
          <w:p w14:paraId="324AC5D8" w14:textId="19EF2211" w:rsidR="00A66C9B" w:rsidRDefault="00622AC1" w:rsidP="0023150E">
            <w:pPr>
              <w:pStyle w:val="subclause1Bullet1"/>
              <w:numPr>
                <w:ilvl w:val="0"/>
                <w:numId w:val="0"/>
              </w:numPr>
            </w:pPr>
            <w:r w:rsidRPr="00622AC1">
              <w:t>Public Liability Insurance Cover Note evidencing required level of cover as per the Call-Off Contract</w:t>
            </w:r>
          </w:p>
        </w:tc>
        <w:tc>
          <w:tcPr>
            <w:tcW w:w="4126" w:type="dxa"/>
          </w:tcPr>
          <w:p w14:paraId="7994B333" w14:textId="71BAFE77" w:rsidR="00A66C9B" w:rsidRDefault="00CB1393" w:rsidP="0023150E">
            <w:pPr>
              <w:pStyle w:val="subclause1Bullet1"/>
              <w:numPr>
                <w:ilvl w:val="0"/>
                <w:numId w:val="0"/>
              </w:numPr>
            </w:pPr>
            <w:r>
              <w:t>£</w:t>
            </w:r>
            <w:r w:rsidR="00622AC1">
              <w:t>5,000</w:t>
            </w:r>
            <w:r w:rsidR="00B0277A">
              <w:t>,</w:t>
            </w:r>
            <w:r w:rsidR="00622AC1">
              <w:t>00</w:t>
            </w:r>
            <w:r w:rsidR="00B0277A">
              <w:t>0</w:t>
            </w:r>
            <w:r w:rsidR="00622AC1">
              <w:t xml:space="preserve"> (£5 million) in </w:t>
            </w:r>
            <w:r>
              <w:t>respect of each and every claim</w:t>
            </w:r>
          </w:p>
        </w:tc>
      </w:tr>
      <w:tr w:rsidR="00EE5C55" w14:paraId="33FF99E9" w14:textId="77777777" w:rsidTr="007D24B3">
        <w:tc>
          <w:tcPr>
            <w:tcW w:w="4520" w:type="dxa"/>
          </w:tcPr>
          <w:p w14:paraId="5200EA09" w14:textId="418E66FC" w:rsidR="00EE5C55" w:rsidRDefault="00622AC1" w:rsidP="0023150E">
            <w:pPr>
              <w:pStyle w:val="subclause1Bullet1"/>
              <w:numPr>
                <w:ilvl w:val="0"/>
                <w:numId w:val="0"/>
              </w:numPr>
            </w:pPr>
            <w:r w:rsidRPr="00622AC1">
              <w:t>Employers Liability Insurance Cover evidencing required level of cover as per the Call-Off Contract</w:t>
            </w:r>
          </w:p>
        </w:tc>
        <w:tc>
          <w:tcPr>
            <w:tcW w:w="4126" w:type="dxa"/>
          </w:tcPr>
          <w:p w14:paraId="081F4DFD" w14:textId="2DC10209" w:rsidR="00EE5C55" w:rsidRDefault="007C4B0E" w:rsidP="0023150E">
            <w:pPr>
              <w:pStyle w:val="subclause1Bullet1"/>
              <w:numPr>
                <w:ilvl w:val="0"/>
                <w:numId w:val="0"/>
              </w:numPr>
            </w:pPr>
            <w:r>
              <w:t>£</w:t>
            </w:r>
            <w:r w:rsidR="00622AC1">
              <w:t>5,000</w:t>
            </w:r>
            <w:r w:rsidR="00B0277A">
              <w:t>,</w:t>
            </w:r>
            <w:r w:rsidR="00622AC1">
              <w:t>000 (£5 million)</w:t>
            </w:r>
            <w:r w:rsidR="00CB1393">
              <w:t xml:space="preserve"> in respect of each and every claim</w:t>
            </w:r>
          </w:p>
        </w:tc>
      </w:tr>
      <w:tr w:rsidR="00A370E5" w14:paraId="6C4B8497" w14:textId="77777777" w:rsidTr="007D24B3">
        <w:tc>
          <w:tcPr>
            <w:tcW w:w="4520" w:type="dxa"/>
          </w:tcPr>
          <w:p w14:paraId="640F6366" w14:textId="1F252EC8" w:rsidR="00A370E5" w:rsidRDefault="00622AC1" w:rsidP="0023150E">
            <w:pPr>
              <w:pStyle w:val="subclause1Bullet1"/>
              <w:numPr>
                <w:ilvl w:val="0"/>
                <w:numId w:val="0"/>
              </w:numPr>
            </w:pPr>
            <w:r w:rsidRPr="00622AC1">
              <w:lastRenderedPageBreak/>
              <w:t>Professional Indemnity Insurance Cover evidencing required level of cover as per the Call-Off Contract</w:t>
            </w:r>
          </w:p>
        </w:tc>
        <w:tc>
          <w:tcPr>
            <w:tcW w:w="4126" w:type="dxa"/>
          </w:tcPr>
          <w:p w14:paraId="3D65250F" w14:textId="6077CED6" w:rsidR="00A370E5" w:rsidRDefault="00622AC1" w:rsidP="0023150E">
            <w:pPr>
              <w:pStyle w:val="subclause1Bullet1"/>
              <w:numPr>
                <w:ilvl w:val="0"/>
                <w:numId w:val="0"/>
              </w:numPr>
            </w:pPr>
            <w:r>
              <w:t>£1,000</w:t>
            </w:r>
            <w:r w:rsidR="007239BE">
              <w:t>,</w:t>
            </w:r>
            <w:r>
              <w:t>000 (£1 million)</w:t>
            </w:r>
            <w:r w:rsidR="00CB1393">
              <w:t xml:space="preserve"> in respect of each and every claim</w:t>
            </w:r>
          </w:p>
        </w:tc>
      </w:tr>
      <w:tr w:rsidR="006F1659" w14:paraId="3BE009FE" w14:textId="77777777" w:rsidTr="007D24B3">
        <w:tc>
          <w:tcPr>
            <w:tcW w:w="4520" w:type="dxa"/>
          </w:tcPr>
          <w:p w14:paraId="55ED6993" w14:textId="06BC05C3" w:rsidR="006F1659" w:rsidRDefault="006F1659" w:rsidP="006F1659">
            <w:pPr>
              <w:pStyle w:val="subclause1Bullet1"/>
              <w:numPr>
                <w:ilvl w:val="0"/>
                <w:numId w:val="0"/>
              </w:numPr>
            </w:pPr>
            <w:r>
              <w:t>All Risks Insurance in respect of damage to all Works, Plants and Materials</w:t>
            </w:r>
          </w:p>
        </w:tc>
        <w:tc>
          <w:tcPr>
            <w:tcW w:w="4126" w:type="dxa"/>
          </w:tcPr>
          <w:p w14:paraId="0FF818E7" w14:textId="73682B4D" w:rsidR="006F1659" w:rsidRDefault="006F1659" w:rsidP="006F1659">
            <w:pPr>
              <w:pStyle w:val="subclause1Bullet1"/>
              <w:numPr>
                <w:ilvl w:val="0"/>
                <w:numId w:val="0"/>
              </w:numPr>
            </w:pPr>
            <w:r w:rsidRPr="002D59DA">
              <w:t>£1,000,000 (£1 million) in respect of each and every claim</w:t>
            </w:r>
          </w:p>
        </w:tc>
      </w:tr>
      <w:tr w:rsidR="006F1659" w14:paraId="2FECA067" w14:textId="77777777" w:rsidTr="007D24B3">
        <w:tc>
          <w:tcPr>
            <w:tcW w:w="4520" w:type="dxa"/>
          </w:tcPr>
          <w:p w14:paraId="65B3CF3A" w14:textId="4BDB2A09" w:rsidR="006F1659" w:rsidRDefault="006F1659" w:rsidP="006F1659">
            <w:pPr>
              <w:pStyle w:val="subclause1Bullet1"/>
              <w:numPr>
                <w:ilvl w:val="0"/>
                <w:numId w:val="0"/>
              </w:numPr>
            </w:pPr>
            <w:r>
              <w:t>All Risks Insurance in respect of loss of or damage to Equipment</w:t>
            </w:r>
          </w:p>
        </w:tc>
        <w:tc>
          <w:tcPr>
            <w:tcW w:w="4126" w:type="dxa"/>
          </w:tcPr>
          <w:p w14:paraId="3E21C0C2" w14:textId="4E4901DB" w:rsidR="006F1659" w:rsidRDefault="006F1659" w:rsidP="006F1659">
            <w:pPr>
              <w:pStyle w:val="subclause1Bullet1"/>
              <w:numPr>
                <w:ilvl w:val="0"/>
                <w:numId w:val="0"/>
              </w:numPr>
            </w:pPr>
            <w:r w:rsidRPr="002D59DA">
              <w:t>£1,000,000 (£1 million) in respect of each and every claim</w:t>
            </w:r>
          </w:p>
        </w:tc>
      </w:tr>
      <w:tr w:rsidR="00622AC1" w14:paraId="1F829C18" w14:textId="77777777" w:rsidTr="007D24B3">
        <w:tc>
          <w:tcPr>
            <w:tcW w:w="4520" w:type="dxa"/>
          </w:tcPr>
          <w:p w14:paraId="2652148E" w14:textId="3D65729C" w:rsidR="00622AC1" w:rsidRDefault="00622AC1" w:rsidP="0023150E">
            <w:pPr>
              <w:pStyle w:val="subclause1Bullet1"/>
              <w:numPr>
                <w:ilvl w:val="0"/>
                <w:numId w:val="0"/>
              </w:numPr>
            </w:pPr>
            <w:r>
              <w:t>Address for Communications</w:t>
            </w:r>
          </w:p>
        </w:tc>
        <w:tc>
          <w:tcPr>
            <w:tcW w:w="4126" w:type="dxa"/>
          </w:tcPr>
          <w:p w14:paraId="35EB50AC" w14:textId="77777777" w:rsidR="00622AC1" w:rsidRPr="00BD505C" w:rsidRDefault="00622AC1" w:rsidP="0023150E">
            <w:pPr>
              <w:pStyle w:val="subclause1Bullet1"/>
              <w:numPr>
                <w:ilvl w:val="0"/>
                <w:numId w:val="0"/>
              </w:numPr>
            </w:pPr>
          </w:p>
        </w:tc>
      </w:tr>
      <w:tr w:rsidR="00622AC1" w14:paraId="00AEDEDF" w14:textId="77777777" w:rsidTr="007D24B3">
        <w:tc>
          <w:tcPr>
            <w:tcW w:w="4520" w:type="dxa"/>
          </w:tcPr>
          <w:p w14:paraId="4B67EE8D" w14:textId="079BE48C" w:rsidR="00622AC1" w:rsidRDefault="00622AC1" w:rsidP="0023150E">
            <w:pPr>
              <w:pStyle w:val="subclause1Bullet1"/>
              <w:numPr>
                <w:ilvl w:val="0"/>
                <w:numId w:val="0"/>
              </w:numPr>
            </w:pPr>
            <w:r>
              <w:t>Address for Electronic Communications</w:t>
            </w:r>
          </w:p>
        </w:tc>
        <w:tc>
          <w:tcPr>
            <w:tcW w:w="4126" w:type="dxa"/>
          </w:tcPr>
          <w:p w14:paraId="6D3761C6" w14:textId="77777777" w:rsidR="00622AC1" w:rsidRPr="00BD505C" w:rsidRDefault="00622AC1" w:rsidP="0023150E">
            <w:pPr>
              <w:pStyle w:val="subclause1Bullet1"/>
              <w:numPr>
                <w:ilvl w:val="0"/>
                <w:numId w:val="0"/>
              </w:numPr>
            </w:pPr>
          </w:p>
        </w:tc>
      </w:tr>
      <w:tr w:rsidR="00622AC1" w14:paraId="4037EB4F" w14:textId="77777777" w:rsidTr="007D24B3">
        <w:tc>
          <w:tcPr>
            <w:tcW w:w="4520" w:type="dxa"/>
          </w:tcPr>
          <w:p w14:paraId="57764CBB" w14:textId="284D3211" w:rsidR="00622AC1" w:rsidRDefault="0055027F" w:rsidP="0023150E">
            <w:pPr>
              <w:pStyle w:val="subclause1Bullet1"/>
              <w:numPr>
                <w:ilvl w:val="0"/>
                <w:numId w:val="0"/>
              </w:numPr>
            </w:pPr>
            <w:r>
              <w:t xml:space="preserve">Proposed </w:t>
            </w:r>
            <w:r w:rsidR="00622AC1">
              <w:t xml:space="preserve">Fee Percentage </w:t>
            </w:r>
            <w:r>
              <w:t>for Call-Off Contracts</w:t>
            </w:r>
            <w:r w:rsidR="0063629A">
              <w:t xml:space="preserve"> (which cannot be increased when entering into Call-Off Contracts)</w:t>
            </w:r>
          </w:p>
        </w:tc>
        <w:tc>
          <w:tcPr>
            <w:tcW w:w="4126" w:type="dxa"/>
          </w:tcPr>
          <w:p w14:paraId="706A7C85" w14:textId="77777777" w:rsidR="00622AC1" w:rsidRPr="00BD505C" w:rsidRDefault="00622AC1" w:rsidP="0023150E">
            <w:pPr>
              <w:pStyle w:val="subclause1Bullet1"/>
              <w:numPr>
                <w:ilvl w:val="0"/>
                <w:numId w:val="0"/>
              </w:numPr>
            </w:pPr>
          </w:p>
        </w:tc>
      </w:tr>
      <w:tr w:rsidR="00952772" w14:paraId="41631BD1" w14:textId="77777777" w:rsidTr="007D24B3">
        <w:tc>
          <w:tcPr>
            <w:tcW w:w="4520" w:type="dxa"/>
          </w:tcPr>
          <w:p w14:paraId="0C4C0B56" w14:textId="428C50EB" w:rsidR="00952772" w:rsidRDefault="00952772" w:rsidP="0023150E">
            <w:pPr>
              <w:pStyle w:val="subclause1Bullet1"/>
              <w:numPr>
                <w:ilvl w:val="0"/>
                <w:numId w:val="0"/>
              </w:numPr>
            </w:pPr>
            <w:r>
              <w:t>Evidence of competence to undertake the role of Contractor and Principal Contractor [and/or Designer and/or Principal Designer], for the purposes of the Construction (Design and Management) Regulations 2015, in respect of specific Works to which this Invitation relates</w:t>
            </w:r>
          </w:p>
        </w:tc>
        <w:tc>
          <w:tcPr>
            <w:tcW w:w="4126" w:type="dxa"/>
          </w:tcPr>
          <w:p w14:paraId="5C5B9B56" w14:textId="77777777" w:rsidR="00952772" w:rsidRPr="00BD505C" w:rsidRDefault="00952772" w:rsidP="0023150E">
            <w:pPr>
              <w:pStyle w:val="subclause1Bullet1"/>
              <w:numPr>
                <w:ilvl w:val="0"/>
                <w:numId w:val="0"/>
              </w:numPr>
            </w:pPr>
          </w:p>
        </w:tc>
      </w:tr>
      <w:tr w:rsidR="00952772" w14:paraId="05B85762" w14:textId="77777777" w:rsidTr="007D24B3">
        <w:tc>
          <w:tcPr>
            <w:tcW w:w="4520" w:type="dxa"/>
          </w:tcPr>
          <w:p w14:paraId="2C6498FC" w14:textId="3DE9CBB3" w:rsidR="00952772" w:rsidRDefault="00952772" w:rsidP="0023150E">
            <w:pPr>
              <w:pStyle w:val="subclause1Bullet1"/>
              <w:numPr>
                <w:ilvl w:val="0"/>
                <w:numId w:val="0"/>
              </w:numPr>
            </w:pPr>
            <w:r>
              <w:t>Tender Response form at Schedule 6</w:t>
            </w:r>
          </w:p>
        </w:tc>
        <w:tc>
          <w:tcPr>
            <w:tcW w:w="4126" w:type="dxa"/>
          </w:tcPr>
          <w:p w14:paraId="2A4DCCD9" w14:textId="77777777" w:rsidR="00952772" w:rsidRPr="00BD505C" w:rsidRDefault="00952772" w:rsidP="0023150E">
            <w:pPr>
              <w:pStyle w:val="subclause1Bullet1"/>
              <w:numPr>
                <w:ilvl w:val="0"/>
                <w:numId w:val="0"/>
              </w:numPr>
            </w:pPr>
          </w:p>
        </w:tc>
      </w:tr>
      <w:tr w:rsidR="00952772" w14:paraId="42A21F5C" w14:textId="77777777" w:rsidTr="007D24B3">
        <w:tc>
          <w:tcPr>
            <w:tcW w:w="4520" w:type="dxa"/>
          </w:tcPr>
          <w:p w14:paraId="78E8987F" w14:textId="35483D2D" w:rsidR="00952772" w:rsidRDefault="00952772" w:rsidP="0023150E">
            <w:pPr>
              <w:pStyle w:val="subclause1Bullet1"/>
              <w:numPr>
                <w:ilvl w:val="0"/>
                <w:numId w:val="0"/>
              </w:numPr>
            </w:pPr>
            <w:r>
              <w:t>Form of Tender at Schedule 7</w:t>
            </w:r>
          </w:p>
        </w:tc>
        <w:tc>
          <w:tcPr>
            <w:tcW w:w="4126" w:type="dxa"/>
          </w:tcPr>
          <w:p w14:paraId="0E2F2B70" w14:textId="77777777" w:rsidR="00952772" w:rsidRPr="00BD505C" w:rsidRDefault="00952772" w:rsidP="0023150E">
            <w:pPr>
              <w:pStyle w:val="subclause1Bullet1"/>
              <w:numPr>
                <w:ilvl w:val="0"/>
                <w:numId w:val="0"/>
              </w:numPr>
            </w:pPr>
          </w:p>
        </w:tc>
      </w:tr>
      <w:tr w:rsidR="00952772" w14:paraId="57C231C0" w14:textId="77777777" w:rsidTr="007D24B3">
        <w:tc>
          <w:tcPr>
            <w:tcW w:w="4520" w:type="dxa"/>
          </w:tcPr>
          <w:p w14:paraId="44D81B4E" w14:textId="10DF805E" w:rsidR="00952772" w:rsidRDefault="00952772" w:rsidP="0023150E">
            <w:pPr>
              <w:pStyle w:val="subclause1Bullet1"/>
              <w:numPr>
                <w:ilvl w:val="0"/>
                <w:numId w:val="0"/>
              </w:numPr>
            </w:pPr>
            <w:r>
              <w:t>Conflict of Interest Declaration at Schedule 8</w:t>
            </w:r>
          </w:p>
        </w:tc>
        <w:tc>
          <w:tcPr>
            <w:tcW w:w="4126" w:type="dxa"/>
          </w:tcPr>
          <w:p w14:paraId="319C6457" w14:textId="77777777" w:rsidR="00952772" w:rsidRPr="00BD505C" w:rsidRDefault="00952772" w:rsidP="0023150E">
            <w:pPr>
              <w:pStyle w:val="subclause1Bullet1"/>
              <w:numPr>
                <w:ilvl w:val="0"/>
                <w:numId w:val="0"/>
              </w:numPr>
            </w:pPr>
          </w:p>
        </w:tc>
      </w:tr>
    </w:tbl>
    <w:p w14:paraId="7BA61DEC" w14:textId="481E83D5" w:rsidR="00CC52C0" w:rsidRPr="00974EC2" w:rsidRDefault="00516A4A">
      <w:pPr>
        <w:pStyle w:val="Untitledsubclause1"/>
        <w:rPr>
          <w:b/>
        </w:rPr>
      </w:pPr>
      <w:bookmarkStart w:id="19" w:name="a305014"/>
      <w:r>
        <w:rPr>
          <w:b/>
        </w:rPr>
        <w:t>Framework</w:t>
      </w:r>
      <w:r w:rsidR="00427AA2">
        <w:rPr>
          <w:b/>
        </w:rPr>
        <w:t xml:space="preserve"> and </w:t>
      </w:r>
      <w:r w:rsidR="00622AC1">
        <w:rPr>
          <w:b/>
        </w:rPr>
        <w:t xml:space="preserve">Call-Off </w:t>
      </w:r>
      <w:r w:rsidR="00B850FD">
        <w:rPr>
          <w:b/>
        </w:rPr>
        <w:t>Contract</w:t>
      </w:r>
      <w:bookmarkEnd w:id="19"/>
    </w:p>
    <w:p w14:paraId="2ED6E909" w14:textId="05DD8404" w:rsidR="00CC52C0" w:rsidRPr="00974EC2" w:rsidRDefault="00A01C2C">
      <w:pPr>
        <w:pStyle w:val="Parasubclause1"/>
      </w:pPr>
      <w:r w:rsidRPr="00974EC2">
        <w:t>The</w:t>
      </w:r>
      <w:r w:rsidR="00B850FD">
        <w:t xml:space="preserve"> draft </w:t>
      </w:r>
      <w:r w:rsidR="00516A4A">
        <w:t>Framework</w:t>
      </w:r>
      <w:r w:rsidR="00557236">
        <w:t xml:space="preserve"> and draft </w:t>
      </w:r>
      <w:r w:rsidR="00622AC1">
        <w:t xml:space="preserve">Call-Off </w:t>
      </w:r>
      <w:r w:rsidR="00B850FD">
        <w:t>Contract</w:t>
      </w:r>
      <w:r w:rsidRPr="00974EC2">
        <w:t xml:space="preserve"> that the </w:t>
      </w:r>
      <w:r w:rsidR="00C516B0" w:rsidRPr="00974EC2">
        <w:t>College</w:t>
      </w:r>
      <w:r w:rsidRPr="00974EC2">
        <w:t xml:space="preserve"> proposes to use is attached at </w:t>
      </w:r>
      <w:r w:rsidRPr="00974EC2">
        <w:fldChar w:fldCharType="begin"/>
      </w:r>
      <w:r w:rsidRPr="00974EC2">
        <w:instrText>REF a472790 \h \w</w:instrText>
      </w:r>
      <w:r w:rsidR="00C516B0" w:rsidRPr="00974EC2">
        <w:instrText xml:space="preserve"> \* MERGEFORMAT </w:instrText>
      </w:r>
      <w:r w:rsidRPr="00974EC2">
        <w:fldChar w:fldCharType="separate"/>
      </w:r>
      <w:r w:rsidRPr="00974EC2">
        <w:t>Schedule 1</w:t>
      </w:r>
      <w:r w:rsidRPr="00974EC2">
        <w:fldChar w:fldCharType="end"/>
      </w:r>
      <w:r w:rsidRPr="00974EC2">
        <w:t>. By submitting a Tender, Tenderers are agreeing to be bound by the terms of this ITT</w:t>
      </w:r>
      <w:r w:rsidR="00557236">
        <w:t xml:space="preserve">, the </w:t>
      </w:r>
      <w:r w:rsidR="00516A4A">
        <w:t>Framework</w:t>
      </w:r>
      <w:r w:rsidRPr="00974EC2">
        <w:t xml:space="preserve"> and the</w:t>
      </w:r>
      <w:r w:rsidR="00576BF4">
        <w:t xml:space="preserve"> </w:t>
      </w:r>
      <w:r w:rsidR="00622AC1">
        <w:t xml:space="preserve">Call-Off </w:t>
      </w:r>
      <w:r w:rsidR="00576BF4">
        <w:t>Contract</w:t>
      </w:r>
      <w:r w:rsidR="003D764D">
        <w:t xml:space="preserve"> </w:t>
      </w:r>
      <w:r w:rsidRPr="00974EC2">
        <w:t>without further negotiation or amendment.</w:t>
      </w:r>
    </w:p>
    <w:p w14:paraId="3CDC7DEF" w14:textId="78FB0C9C" w:rsidR="000752D4" w:rsidRPr="00133394" w:rsidRDefault="00C50C55" w:rsidP="001F497D">
      <w:pPr>
        <w:pStyle w:val="Parasubclause1"/>
        <w:rPr>
          <w:highlight w:val="yellow"/>
        </w:rPr>
      </w:pPr>
      <w:r>
        <w:lastRenderedPageBreak/>
        <w:t>No unauthorised alterations or additions are to be made to the Form of Tender or any other component of the Tender document.</w:t>
      </w:r>
      <w:r w:rsidR="006468D2">
        <w:t xml:space="preserve"> </w:t>
      </w:r>
      <w:r w:rsidR="00A01C2C" w:rsidRPr="00974EC2">
        <w:t xml:space="preserve">If the terms of the </w:t>
      </w:r>
      <w:r w:rsidR="00516A4A">
        <w:t>Framework</w:t>
      </w:r>
      <w:r w:rsidR="00557236">
        <w:t xml:space="preserve"> and/or </w:t>
      </w:r>
      <w:r w:rsidR="00622AC1">
        <w:t xml:space="preserve">Call-Off </w:t>
      </w:r>
      <w:r w:rsidR="0056680E">
        <w:t>Contract</w:t>
      </w:r>
      <w:r w:rsidR="00A01C2C" w:rsidRPr="00974EC2">
        <w:t xml:space="preserve"> render the proposals in the Tenderer's Tender unworkable, the Tenderer should submit a clarification in accordance with </w:t>
      </w:r>
      <w:r w:rsidR="00A01C2C" w:rsidRPr="00974EC2">
        <w:fldChar w:fldCharType="begin"/>
      </w:r>
      <w:r w:rsidR="00A01C2C" w:rsidRPr="00974EC2">
        <w:instrText>PAGEREF a817202\# "'paragraph '"  \h</w:instrText>
      </w:r>
      <w:r w:rsidR="00A01C2C" w:rsidRPr="00974EC2">
        <w:fldChar w:fldCharType="separate"/>
      </w:r>
      <w:r w:rsidR="00A01C2C" w:rsidRPr="00974EC2">
        <w:t xml:space="preserve">paragraph </w:t>
      </w:r>
      <w:r w:rsidR="00A01C2C" w:rsidRPr="00974EC2">
        <w:fldChar w:fldCharType="end"/>
      </w:r>
      <w:r w:rsidR="008741E9">
        <w:t>1.10</w:t>
      </w:r>
      <w:r w:rsidR="00A01C2C" w:rsidRPr="00974EC2">
        <w:t xml:space="preserve"> and the </w:t>
      </w:r>
      <w:r w:rsidR="00C516B0" w:rsidRPr="00974EC2">
        <w:t>College</w:t>
      </w:r>
      <w:r w:rsidR="00A01C2C" w:rsidRPr="00974EC2">
        <w:t xml:space="preserve"> will consider whether any amendment to the </w:t>
      </w:r>
      <w:r w:rsidR="00516A4A">
        <w:t>Framework</w:t>
      </w:r>
      <w:r w:rsidR="00A1618B">
        <w:t xml:space="preserve"> and/or Call-Off Contract</w:t>
      </w:r>
      <w:r w:rsidR="00A01C2C" w:rsidRPr="00974EC2">
        <w:t xml:space="preserve"> is required. Any amendments shall be published through the Clarifications Log and shall apply to all Tenderers. Where both the amendment and the original drafting are acceptable and workable to the </w:t>
      </w:r>
      <w:r w:rsidR="00C516B0" w:rsidRPr="00974EC2">
        <w:t>College</w:t>
      </w:r>
      <w:r w:rsidR="00A01C2C" w:rsidRPr="00974EC2">
        <w:t xml:space="preserve">, the </w:t>
      </w:r>
      <w:r w:rsidR="00C516B0" w:rsidRPr="00974EC2">
        <w:t>College</w:t>
      </w:r>
      <w:r w:rsidR="00A01C2C" w:rsidRPr="00974EC2">
        <w:t xml:space="preserve"> shall publish the amendment as an alternative to the original drafting. Tenderers should indicate if they prefer the amendment; otherwise the original drafting shall apply. Any amendments that are proposed but not approved by the </w:t>
      </w:r>
      <w:r w:rsidR="00C516B0" w:rsidRPr="00974EC2">
        <w:t>College</w:t>
      </w:r>
      <w:r w:rsidR="00A01C2C" w:rsidRPr="00974EC2">
        <w:t xml:space="preserve"> through this process will not be acceptable and may be construed as a rejection of the terms, leading to the disqualification of the Tender.</w:t>
      </w:r>
    </w:p>
    <w:p w14:paraId="04FFF71C" w14:textId="4A8A7034" w:rsidR="00DE13C2" w:rsidRDefault="00747EB5" w:rsidP="00DE13C2">
      <w:pPr>
        <w:pStyle w:val="Untitledsubclause1"/>
        <w:rPr>
          <w:b/>
        </w:rPr>
      </w:pPr>
      <w:r>
        <w:rPr>
          <w:b/>
        </w:rPr>
        <w:t>Prices</w:t>
      </w:r>
    </w:p>
    <w:p w14:paraId="175E8897" w14:textId="3DD6C228" w:rsidR="00246D05" w:rsidRPr="00EE111C" w:rsidRDefault="00246D05" w:rsidP="006418BE">
      <w:pPr>
        <w:pStyle w:val="Parasubclause1"/>
      </w:pPr>
      <w:r w:rsidRPr="00EE111C">
        <w:t>Tenderers shall submit a proposed Fee Percentage</w:t>
      </w:r>
      <w:r w:rsidR="008947ED" w:rsidRPr="00EE111C">
        <w:t xml:space="preserve"> and Schedule of Rates</w:t>
      </w:r>
      <w:r w:rsidRPr="00EE111C">
        <w:t xml:space="preserve">, which will be included within the </w:t>
      </w:r>
      <w:r w:rsidR="00516A4A" w:rsidRPr="00EE111C">
        <w:t>Framework</w:t>
      </w:r>
      <w:r w:rsidR="00493242" w:rsidRPr="00EE111C">
        <w:t xml:space="preserve">. These rates shall form the basis of any direct award </w:t>
      </w:r>
      <w:r w:rsidR="008947ED" w:rsidRPr="00EE111C">
        <w:t>Call-Off Contract</w:t>
      </w:r>
      <w:r w:rsidR="00493242" w:rsidRPr="00EE111C">
        <w:t>s. If requests for quotations are made, these</w:t>
      </w:r>
      <w:r w:rsidR="008A5A92" w:rsidRPr="00EE111C">
        <w:t xml:space="preserve"> will be priced in accordance with the </w:t>
      </w:r>
      <w:r w:rsidR="00516A4A" w:rsidRPr="00EE111C">
        <w:t>Framework</w:t>
      </w:r>
      <w:r w:rsidR="00E010B6" w:rsidRPr="00EE111C">
        <w:t xml:space="preserve"> Schedule of Rates</w:t>
      </w:r>
      <w:r w:rsidR="00392FAD" w:rsidRPr="00EE111C">
        <w:t xml:space="preserve"> and shall not include a Fee Percentage in excess of the proposed Fee Percentage submitted </w:t>
      </w:r>
      <w:r w:rsidR="00D006C0" w:rsidRPr="00EE111C">
        <w:t>with the Tender.</w:t>
      </w:r>
      <w:r w:rsidR="00E010B6" w:rsidRPr="00EE111C">
        <w:t xml:space="preserve"> </w:t>
      </w:r>
    </w:p>
    <w:p w14:paraId="6AB7B33A" w14:textId="163B54EF" w:rsidR="00DE13C2" w:rsidRPr="006418BE" w:rsidRDefault="00492210" w:rsidP="006F1F24">
      <w:pPr>
        <w:pStyle w:val="Untitledsubclause1"/>
        <w:rPr>
          <w:b/>
        </w:rPr>
      </w:pPr>
      <w:r w:rsidRPr="006418BE">
        <w:rPr>
          <w:b/>
        </w:rPr>
        <w:t>Qualification of Tender</w:t>
      </w:r>
    </w:p>
    <w:p w14:paraId="159B54A3" w14:textId="0C397BEB" w:rsidR="006F1F24" w:rsidRPr="00974EC2" w:rsidRDefault="00D3577D" w:rsidP="00226AFC">
      <w:pPr>
        <w:pStyle w:val="Parasubclause1"/>
      </w:pPr>
      <w:r w:rsidRPr="00D3577D">
        <w:t xml:space="preserve">Tenders must not be qualified and must be submitted strictly in accordance with the Tender instructions. Tenders must not be accompanied by statements which could be construed as rendering the Tender equivocal and or by placing it on a different footing from any other Tenders. Only Tenders submitted without qualification strictly in accordance with the ITT documentation as issued (or subsequently amended by the </w:t>
      </w:r>
      <w:r w:rsidR="00D52F58">
        <w:t>College</w:t>
      </w:r>
      <w:r w:rsidRPr="00D3577D">
        <w:t xml:space="preserve">), will be deemed as bona fide and accepted for consideration. The </w:t>
      </w:r>
      <w:r w:rsidR="00D52F58">
        <w:t>College</w:t>
      </w:r>
      <w:r w:rsidR="00226AFC">
        <w:t>’</w:t>
      </w:r>
      <w:r w:rsidR="00D52F58">
        <w:t>s</w:t>
      </w:r>
      <w:r w:rsidRPr="00D3577D">
        <w:t xml:space="preserve"> decision on whether a Tender is bona fide will be final and the Tenderer will not be consulted.</w:t>
      </w:r>
    </w:p>
    <w:p w14:paraId="2BF75BEC" w14:textId="77777777" w:rsidR="00CC52C0" w:rsidRPr="00974EC2" w:rsidRDefault="00A01C2C">
      <w:pPr>
        <w:pStyle w:val="Untitledsubclause1"/>
        <w:rPr>
          <w:b/>
        </w:rPr>
      </w:pPr>
      <w:bookmarkStart w:id="20" w:name="a572281"/>
      <w:r w:rsidRPr="00974EC2">
        <w:rPr>
          <w:b/>
        </w:rPr>
        <w:t>Consortia and subcontractors</w:t>
      </w:r>
      <w:bookmarkEnd w:id="20"/>
    </w:p>
    <w:p w14:paraId="4B8E41ED" w14:textId="72E342DB" w:rsidR="00CC52C0" w:rsidRPr="00974EC2" w:rsidRDefault="00A01C2C">
      <w:pPr>
        <w:pStyle w:val="Parasubclause1"/>
      </w:pPr>
      <w:r w:rsidRPr="00974EC2">
        <w:t xml:space="preserve">The </w:t>
      </w:r>
      <w:r w:rsidR="00C516B0" w:rsidRPr="00974EC2">
        <w:t>College</w:t>
      </w:r>
      <w:r w:rsidRPr="00974EC2">
        <w:t xml:space="preserve"> requires each Tenderer to identify whether any and, if so, which subcontracting or consortium arrangements apply in the case of its Tender, including </w:t>
      </w:r>
      <w:r w:rsidR="00223628" w:rsidRPr="00974EC2">
        <w:t>which elements</w:t>
      </w:r>
      <w:r w:rsidRPr="00974EC2">
        <w:t xml:space="preserve"> (if any) of the </w:t>
      </w:r>
      <w:r w:rsidR="00516A4A">
        <w:t>Framework</w:t>
      </w:r>
      <w:r w:rsidRPr="00974EC2">
        <w:t xml:space="preserve"> </w:t>
      </w:r>
      <w:r w:rsidR="00223628" w:rsidRPr="00974EC2">
        <w:t xml:space="preserve">are </w:t>
      </w:r>
      <w:r w:rsidRPr="00974EC2">
        <w:t xml:space="preserve">to be subcontracted, the identity of the proposed subcontractors, and which entity is proposed to be the </w:t>
      </w:r>
      <w:r w:rsidR="00D94838" w:rsidRPr="00974EC2">
        <w:t>Supplier</w:t>
      </w:r>
      <w:r w:rsidRPr="00974EC2">
        <w:t>.</w:t>
      </w:r>
    </w:p>
    <w:p w14:paraId="2B840F18" w14:textId="77777777" w:rsidR="00CC52C0" w:rsidRPr="00974EC2" w:rsidRDefault="00A01C2C">
      <w:pPr>
        <w:pStyle w:val="Parasubclause1"/>
      </w:pPr>
      <w:r w:rsidRPr="00974EC2">
        <w:t>For the purposes of this ITT, the following terms apply:</w:t>
      </w:r>
    </w:p>
    <w:p w14:paraId="0443D813" w14:textId="0311BD2D" w:rsidR="00CC52C0" w:rsidRPr="00974EC2" w:rsidRDefault="00A01C2C">
      <w:pPr>
        <w:pStyle w:val="subclause1Bullet1"/>
        <w:rPr>
          <w:b/>
        </w:rPr>
      </w:pPr>
      <w:r w:rsidRPr="00974EC2">
        <w:rPr>
          <w:b/>
        </w:rPr>
        <w:lastRenderedPageBreak/>
        <w:t>Consortium arrangement.</w:t>
      </w:r>
      <w:r w:rsidRPr="00974EC2">
        <w:t xml:space="preserve"> Where a number of economic operators come together to submit a bid for the </w:t>
      </w:r>
      <w:r w:rsidR="00516A4A">
        <w:t>Framework</w:t>
      </w:r>
      <w:r w:rsidRPr="00974EC2">
        <w:t xml:space="preserve">. The economic operators may already be part of an established consortium. Alternatively, the economic operators may constitute a temporary association which is intended to become a formalised structure (such as a special purpose vehicle (SPV) or a subcontracting arrangement) after the award of the </w:t>
      </w:r>
      <w:r w:rsidR="00516A4A">
        <w:t>Framework</w:t>
      </w:r>
      <w:r w:rsidRPr="00974EC2">
        <w:t>. Consortium structures may include a hub-and-spoke delivery model, a lead body model or an SPV.</w:t>
      </w:r>
    </w:p>
    <w:p w14:paraId="39C507E7" w14:textId="5A93155A" w:rsidR="00CC52C0" w:rsidRPr="00974EC2" w:rsidRDefault="00A01C2C">
      <w:pPr>
        <w:pStyle w:val="subclause1Bullet1"/>
        <w:rPr>
          <w:b/>
        </w:rPr>
      </w:pPr>
      <w:r w:rsidRPr="00974EC2">
        <w:rPr>
          <w:b/>
        </w:rPr>
        <w:t>Subcontracting arrangement.</w:t>
      </w:r>
      <w:r w:rsidRPr="00974EC2">
        <w:t xml:space="preserve"> Subcontracting could involve, for example, an economic operator bidding as a </w:t>
      </w:r>
      <w:r w:rsidR="00223628" w:rsidRPr="00974EC2">
        <w:t>main</w:t>
      </w:r>
      <w:r w:rsidRPr="00974EC2">
        <w:t xml:space="preserve"> contractor </w:t>
      </w:r>
      <w:r w:rsidR="00E1471C">
        <w:t xml:space="preserve">for the purposes of the </w:t>
      </w:r>
      <w:r w:rsidR="00516A4A">
        <w:t>Framework</w:t>
      </w:r>
      <w:r w:rsidR="00E1471C">
        <w:t xml:space="preserve"> </w:t>
      </w:r>
      <w:r w:rsidRPr="00974EC2">
        <w:t xml:space="preserve">and using a subcontractor or subcontractors to deliver some of the </w:t>
      </w:r>
      <w:r w:rsidR="00A35445" w:rsidRPr="00974EC2">
        <w:t>Works</w:t>
      </w:r>
      <w:r w:rsidR="00B80D5D">
        <w:t xml:space="preserve"> under specific Call-Off Contracts</w:t>
      </w:r>
      <w:r w:rsidRPr="00974EC2">
        <w:t xml:space="preserve">, or an economic operator bidding as a managing agent and using subcontractors to deliver all of the </w:t>
      </w:r>
      <w:r w:rsidR="00A35445" w:rsidRPr="00974EC2">
        <w:t>Works</w:t>
      </w:r>
      <w:r w:rsidR="00B80D5D">
        <w:t xml:space="preserve"> under Call-Off Contracts</w:t>
      </w:r>
      <w:r w:rsidRPr="00974EC2">
        <w:t>.</w:t>
      </w:r>
    </w:p>
    <w:p w14:paraId="56CCE8D5" w14:textId="5DE24670" w:rsidR="00CC52C0" w:rsidRPr="00974EC2" w:rsidRDefault="00A01C2C" w:rsidP="00C516B0">
      <w:pPr>
        <w:pStyle w:val="TitleClause"/>
        <w:numPr>
          <w:ilvl w:val="0"/>
          <w:numId w:val="16"/>
        </w:numPr>
      </w:pPr>
      <w:bookmarkStart w:id="21" w:name="a535827"/>
      <w:bookmarkStart w:id="22" w:name="_Toc216178767"/>
      <w:r w:rsidRPr="00974EC2">
        <w:t>Procurement terms and conditions</w:t>
      </w:r>
      <w:bookmarkEnd w:id="21"/>
      <w:bookmarkEnd w:id="22"/>
    </w:p>
    <w:p w14:paraId="0E0D0AE6" w14:textId="77777777" w:rsidR="00CC52C0" w:rsidRPr="00974EC2" w:rsidRDefault="00A01C2C" w:rsidP="00C516B0">
      <w:pPr>
        <w:pStyle w:val="Untitledsubclause1"/>
        <w:numPr>
          <w:ilvl w:val="1"/>
          <w:numId w:val="16"/>
        </w:numPr>
      </w:pPr>
      <w:bookmarkStart w:id="23" w:name="a557628"/>
      <w:r w:rsidRPr="00974EC2">
        <w:rPr>
          <w:b/>
        </w:rPr>
        <w:t>Warnings and disclaimers</w:t>
      </w:r>
      <w:bookmarkEnd w:id="23"/>
    </w:p>
    <w:p w14:paraId="2567D307" w14:textId="7D421D0E" w:rsidR="00CC52C0" w:rsidRPr="00974EC2" w:rsidRDefault="00A01C2C">
      <w:pPr>
        <w:pStyle w:val="Parasubclause1"/>
      </w:pPr>
      <w:r w:rsidRPr="00974EC2">
        <w:t xml:space="preserve">While the information contained in this ITT is believed to be correct at the time of issue, neither the </w:t>
      </w:r>
      <w:r w:rsidR="00C516B0" w:rsidRPr="00974EC2">
        <w:t>College</w:t>
      </w:r>
      <w:r w:rsidRPr="00974EC2">
        <w:t xml:space="preserve"> and its advisers, nor any other awarding authorities will accept any liability for its accuracy, adequacy or completeness, nor will any express or implied warranty be given. This exclusion extends to liability in relation to any statement, opinion or conclusion contained in or any omission from this ITT (including its appendices) and in respect of any other written or oral communication transmitted (or otherwise made available) to any Tenderer.</w:t>
      </w:r>
      <w:r w:rsidR="00395979">
        <w:t xml:space="preserve"> No</w:t>
      </w:r>
      <w:r w:rsidR="006C714C">
        <w:t xml:space="preserve"> claim against the College shall be </w:t>
      </w:r>
      <w:r w:rsidR="00926CDD">
        <w:t xml:space="preserve">allowed whether in contract </w:t>
      </w:r>
      <w:r w:rsidR="001E7026">
        <w:t>or in tort</w:t>
      </w:r>
      <w:r w:rsidR="00826C26">
        <w:t xml:space="preserve"> under the Misrepresentation </w:t>
      </w:r>
      <w:r w:rsidR="00113515">
        <w:t>Act 1967</w:t>
      </w:r>
      <w:r w:rsidR="008B139D">
        <w:t xml:space="preserve"> or otherwise on the g</w:t>
      </w:r>
      <w:r w:rsidR="00D02F5F">
        <w:t>round o</w:t>
      </w:r>
      <w:r w:rsidR="0041281A">
        <w:t>f inaccuracy.</w:t>
      </w:r>
      <w:r w:rsidRPr="00974EC2">
        <w:t xml:space="preserve"> This exclusion does not extend to any fraudulent misrepresentation made by or on behalf of the </w:t>
      </w:r>
      <w:r w:rsidR="00C516B0" w:rsidRPr="00974EC2">
        <w:t>College</w:t>
      </w:r>
      <w:r w:rsidRPr="00974EC2">
        <w:t>.</w:t>
      </w:r>
    </w:p>
    <w:p w14:paraId="1B17733C" w14:textId="3E7B4887" w:rsidR="00CC52C0" w:rsidRPr="00974EC2" w:rsidRDefault="00A01C2C">
      <w:pPr>
        <w:pStyle w:val="Parasubclause1"/>
      </w:pPr>
      <w:r w:rsidRPr="00974EC2">
        <w:t xml:space="preserve">If a Tenderer proposes to enter into a </w:t>
      </w:r>
      <w:r w:rsidR="00516A4A">
        <w:t>Framework</w:t>
      </w:r>
      <w:r w:rsidRPr="00974EC2">
        <w:t xml:space="preserve"> with the </w:t>
      </w:r>
      <w:r w:rsidR="00C516B0" w:rsidRPr="00974EC2">
        <w:t>College</w:t>
      </w:r>
      <w:r w:rsidRPr="00974EC2">
        <w:t xml:space="preserve">, it must rely on its own enquiries and on the terms and conditions set out in the </w:t>
      </w:r>
      <w:r w:rsidR="00516A4A">
        <w:t>Framework</w:t>
      </w:r>
      <w:r w:rsidR="00CE6309">
        <w:t xml:space="preserve"> and </w:t>
      </w:r>
      <w:r w:rsidR="001945BC">
        <w:t xml:space="preserve">any </w:t>
      </w:r>
      <w:r w:rsidR="00CE6309">
        <w:t xml:space="preserve">Call-Off </w:t>
      </w:r>
      <w:r w:rsidRPr="00974EC2">
        <w:t>Contract (as and when finally executed), subject to the limitations and restrictions specified in it.</w:t>
      </w:r>
    </w:p>
    <w:p w14:paraId="6DAC8768" w14:textId="658A0064" w:rsidR="00CC52C0" w:rsidRDefault="00A01C2C">
      <w:pPr>
        <w:pStyle w:val="Parasubclause1"/>
      </w:pPr>
      <w:r w:rsidRPr="00974EC2">
        <w:t xml:space="preserve">Neither the issue of this ITT, nor any of the information presented in it, should be regarded as a commitment or representation on the part of the </w:t>
      </w:r>
      <w:r w:rsidR="00C516B0" w:rsidRPr="00974EC2">
        <w:t>College</w:t>
      </w:r>
      <w:r w:rsidRPr="00974EC2">
        <w:t xml:space="preserve"> (or any other person) to enter into a contractual arrangement.</w:t>
      </w:r>
    </w:p>
    <w:p w14:paraId="41780887" w14:textId="648B1FDB" w:rsidR="00955D98" w:rsidRPr="00974EC2" w:rsidRDefault="00CF42E0">
      <w:pPr>
        <w:pStyle w:val="Parasubclause1"/>
      </w:pPr>
      <w:r>
        <w:t>The College</w:t>
      </w:r>
      <w:r w:rsidR="00C95AFE">
        <w:t xml:space="preserve"> shall not be liable to any person for any d</w:t>
      </w:r>
      <w:r w:rsidR="00771A34">
        <w:t xml:space="preserve">amages, losses, costs, liabilities or expenses of any kind </w:t>
      </w:r>
      <w:r w:rsidR="00A7540C">
        <w:t>which it may suffer as a consequence of relying upon this information.</w:t>
      </w:r>
    </w:p>
    <w:p w14:paraId="0ED38CFB" w14:textId="054D59E6" w:rsidR="00CC52C0" w:rsidRPr="00974EC2" w:rsidRDefault="00A01C2C">
      <w:pPr>
        <w:pStyle w:val="Untitledsubclause1"/>
        <w:rPr>
          <w:b/>
        </w:rPr>
      </w:pPr>
      <w:bookmarkStart w:id="24" w:name="a447638"/>
      <w:r w:rsidRPr="00974EC2">
        <w:rPr>
          <w:b/>
        </w:rPr>
        <w:lastRenderedPageBreak/>
        <w:t>Confidentiality</w:t>
      </w:r>
      <w:r w:rsidR="00DA4E71">
        <w:rPr>
          <w:b/>
        </w:rPr>
        <w:t>, Use of AI</w:t>
      </w:r>
      <w:r w:rsidRPr="00974EC2">
        <w:rPr>
          <w:b/>
        </w:rPr>
        <w:t xml:space="preserve"> and freedom of information</w:t>
      </w:r>
      <w:bookmarkEnd w:id="24"/>
    </w:p>
    <w:p w14:paraId="64D437BF" w14:textId="20555DB5" w:rsidR="00CC52C0" w:rsidRPr="00974EC2" w:rsidRDefault="00A01C2C">
      <w:pPr>
        <w:pStyle w:val="Parasubclause1"/>
      </w:pPr>
      <w:r w:rsidRPr="00974EC2">
        <w:t xml:space="preserve">Save to the extent publicly available, all information supplied by the </w:t>
      </w:r>
      <w:r w:rsidR="00C516B0" w:rsidRPr="00974EC2">
        <w:t>College</w:t>
      </w:r>
      <w:r w:rsidRPr="00974EC2">
        <w:t xml:space="preserve"> to Tenderers (including this ITT and all other documents relating to the procurement), whether in writing or orally, is supplied on condition that it (including the fact that the Tenderer has received this ITT) be kept confidential by the Tenderer; it must not be copied, reproduced, distributed or passed to any other person at any time (except to professional advisers, consortium members or subcontractors for the sole purpose of enabling the Tenderer to submit a Tender) unless the information is already in the public domain.</w:t>
      </w:r>
      <w:r w:rsidR="005B7E6D">
        <w:t xml:space="preserve"> The copyright in this ITT is vested in the College. </w:t>
      </w:r>
    </w:p>
    <w:p w14:paraId="298B2297" w14:textId="359C02EB" w:rsidR="00DA4E71" w:rsidRDefault="00DA4E71" w:rsidP="00DA4E71">
      <w:pPr>
        <w:pStyle w:val="TitleClause"/>
        <w:numPr>
          <w:ilvl w:val="0"/>
          <w:numId w:val="0"/>
        </w:numPr>
        <w:ind w:left="720"/>
        <w:rPr>
          <w:b w:val="0"/>
          <w:bCs/>
        </w:rPr>
      </w:pPr>
      <w:r w:rsidRPr="00F25558">
        <w:rPr>
          <w:b w:val="0"/>
          <w:bCs/>
        </w:rPr>
        <w:t xml:space="preserve">Where </w:t>
      </w:r>
      <w:r>
        <w:rPr>
          <w:b w:val="0"/>
          <w:bCs/>
        </w:rPr>
        <w:t xml:space="preserve">a Tenderer </w:t>
      </w:r>
      <w:r w:rsidRPr="00F25558">
        <w:rPr>
          <w:b w:val="0"/>
          <w:bCs/>
        </w:rPr>
        <w:t xml:space="preserve">uses Artificial Intelligence (AI) tools to assist in preparing its </w:t>
      </w:r>
      <w:r>
        <w:rPr>
          <w:b w:val="0"/>
          <w:bCs/>
        </w:rPr>
        <w:t>Tender</w:t>
      </w:r>
      <w:r w:rsidRPr="00F25558">
        <w:rPr>
          <w:b w:val="0"/>
          <w:bCs/>
        </w:rPr>
        <w:t xml:space="preserve">, the </w:t>
      </w:r>
      <w:r>
        <w:rPr>
          <w:b w:val="0"/>
          <w:bCs/>
        </w:rPr>
        <w:t>Tenderer</w:t>
      </w:r>
      <w:r w:rsidRPr="00F25558">
        <w:rPr>
          <w:b w:val="0"/>
          <w:bCs/>
        </w:rPr>
        <w:t xml:space="preserve"> must ensure that such use does not infringe any third-party intellectual property rights. The </w:t>
      </w:r>
      <w:r>
        <w:rPr>
          <w:b w:val="0"/>
          <w:bCs/>
        </w:rPr>
        <w:t>Tenderer</w:t>
      </w:r>
      <w:r w:rsidRPr="00F25558">
        <w:rPr>
          <w:b w:val="0"/>
          <w:bCs/>
        </w:rPr>
        <w:t xml:space="preserve"> confirms that it has reviewed and taken responsibility for all AI-generated material included in its </w:t>
      </w:r>
      <w:r>
        <w:rPr>
          <w:b w:val="0"/>
          <w:bCs/>
        </w:rPr>
        <w:t>Tender and will be bound by it</w:t>
      </w:r>
      <w:r w:rsidRPr="00F25558">
        <w:rPr>
          <w:b w:val="0"/>
          <w:bCs/>
        </w:rPr>
        <w:t xml:space="preserve">. For the avoidance of doubt, any AI-generated content included in the </w:t>
      </w:r>
      <w:r>
        <w:rPr>
          <w:b w:val="0"/>
          <w:bCs/>
        </w:rPr>
        <w:t>Tender</w:t>
      </w:r>
      <w:r w:rsidRPr="00F25558">
        <w:rPr>
          <w:b w:val="0"/>
          <w:bCs/>
        </w:rPr>
        <w:t xml:space="preserve"> will be treated as the </w:t>
      </w:r>
      <w:r>
        <w:rPr>
          <w:b w:val="0"/>
          <w:bCs/>
        </w:rPr>
        <w:t>Tenderer’s Tender</w:t>
      </w:r>
      <w:r w:rsidRPr="00F25558">
        <w:rPr>
          <w:b w:val="0"/>
          <w:bCs/>
        </w:rPr>
        <w:t xml:space="preserve"> for the purposes of this procurement, and the </w:t>
      </w:r>
      <w:r>
        <w:rPr>
          <w:b w:val="0"/>
          <w:bCs/>
        </w:rPr>
        <w:t>Tenderer</w:t>
      </w:r>
      <w:r w:rsidRPr="00F25558">
        <w:rPr>
          <w:b w:val="0"/>
          <w:bCs/>
        </w:rPr>
        <w:t xml:space="preserve"> will be responsible for any associated intellectual property warranties or indemnities.</w:t>
      </w:r>
      <w:r>
        <w:rPr>
          <w:b w:val="0"/>
          <w:bCs/>
        </w:rPr>
        <w:t xml:space="preserve"> </w:t>
      </w:r>
    </w:p>
    <w:p w14:paraId="59BACEB3" w14:textId="77777777" w:rsidR="00DA4E71" w:rsidRDefault="00DA4E71" w:rsidP="00DA4E71">
      <w:pPr>
        <w:pStyle w:val="TitleClause"/>
        <w:numPr>
          <w:ilvl w:val="0"/>
          <w:numId w:val="0"/>
        </w:numPr>
        <w:ind w:left="720"/>
        <w:rPr>
          <w:b w:val="0"/>
          <w:bCs/>
        </w:rPr>
      </w:pPr>
      <w:r>
        <w:rPr>
          <w:b w:val="0"/>
          <w:bCs/>
        </w:rPr>
        <w:t xml:space="preserve">Tenderers must ensure that any confidential information provided as part of their Tender is not disclosed to, or processed by, any external AI tools or platforms in a manner that would compromise its confidentiality. </w:t>
      </w:r>
    </w:p>
    <w:p w14:paraId="3C6B8DED" w14:textId="022D47E4" w:rsidR="00CC52C0" w:rsidRPr="00974EC2" w:rsidRDefault="00A01C2C">
      <w:pPr>
        <w:pStyle w:val="Parasubclause1"/>
      </w:pPr>
      <w:r w:rsidRPr="00974EC2">
        <w:t xml:space="preserve">As a public body, the </w:t>
      </w:r>
      <w:r w:rsidR="00C516B0" w:rsidRPr="00974EC2">
        <w:t>College</w:t>
      </w:r>
      <w:r w:rsidRPr="00974EC2">
        <w:t xml:space="preserve"> is subject to the provisions of the Freedom of Information Act 2000 (</w:t>
      </w:r>
      <w:r w:rsidRPr="00974EC2">
        <w:rPr>
          <w:b/>
          <w:bCs/>
        </w:rPr>
        <w:t>FOIA</w:t>
      </w:r>
      <w:r w:rsidRPr="00974EC2">
        <w:t>) and Environmental Information Regulations 2004 (S</w:t>
      </w:r>
      <w:r w:rsidRPr="00974EC2">
        <w:rPr>
          <w:i/>
          <w:iCs/>
        </w:rPr>
        <w:t>I 2004/3391</w:t>
      </w:r>
      <w:r w:rsidRPr="00974EC2">
        <w:t>) (</w:t>
      </w:r>
      <w:r w:rsidRPr="00974EC2">
        <w:rPr>
          <w:b/>
          <w:bCs/>
        </w:rPr>
        <w:t>EIR</w:t>
      </w:r>
      <w:r w:rsidRPr="00974EC2">
        <w:t xml:space="preserve">) in respect of information it holds (including third-party information). Any member of the public or other interested party may make a request for information. The </w:t>
      </w:r>
      <w:r w:rsidR="00C516B0" w:rsidRPr="00974EC2">
        <w:t>College</w:t>
      </w:r>
      <w:r w:rsidRPr="00974EC2">
        <w:t xml:space="preserve"> is also subject to various public sector transparency policies and legal requirements</w:t>
      </w:r>
      <w:r w:rsidR="00B1094B" w:rsidRPr="00974EC2">
        <w:t>.</w:t>
      </w:r>
    </w:p>
    <w:p w14:paraId="05309A63" w14:textId="1A9A3338" w:rsidR="00CC52C0" w:rsidRPr="00974EC2" w:rsidRDefault="00A01C2C">
      <w:pPr>
        <w:pStyle w:val="Parasubclause1"/>
      </w:pPr>
      <w:r w:rsidRPr="00974EC2">
        <w:t xml:space="preserve">Tenderers should therefore be aware that information provided in connection with this procurement, or in connection with any </w:t>
      </w:r>
      <w:r w:rsidR="00516A4A">
        <w:t>Framework</w:t>
      </w:r>
      <w:r w:rsidR="00954147">
        <w:t xml:space="preserve"> and/or Call-Off </w:t>
      </w:r>
      <w:r w:rsidR="008A2FCB">
        <w:t>C</w:t>
      </w:r>
      <w:r w:rsidRPr="00974EC2">
        <w:t xml:space="preserve">ontract awarded, may be disclosed by the </w:t>
      </w:r>
      <w:r w:rsidR="00C516B0" w:rsidRPr="00974EC2">
        <w:t>College</w:t>
      </w:r>
      <w:r w:rsidRPr="00974EC2">
        <w:t xml:space="preserve">, unless the </w:t>
      </w:r>
      <w:r w:rsidR="00C516B0" w:rsidRPr="00974EC2">
        <w:t>College</w:t>
      </w:r>
      <w:r w:rsidRPr="00974EC2">
        <w:t xml:space="preserve"> decides (in its absolute discretion) that one of the statutory exemptions under the FOIA</w:t>
      </w:r>
      <w:r w:rsidR="000A0148" w:rsidRPr="00974EC2">
        <w:t xml:space="preserve"> or</w:t>
      </w:r>
      <w:r w:rsidRPr="00974EC2">
        <w:t xml:space="preserve"> the EIR applies. Requests for information and application of any exemptions shall be considered on a case-by-case basis. By taking part in this procurement, Tenderers agree to such disclosure or publication by the </w:t>
      </w:r>
      <w:r w:rsidR="00C516B0" w:rsidRPr="00974EC2">
        <w:t>College</w:t>
      </w:r>
      <w:r w:rsidRPr="00974EC2">
        <w:t xml:space="preserve">. </w:t>
      </w:r>
    </w:p>
    <w:p w14:paraId="349F80E9" w14:textId="488E0D9E" w:rsidR="00CC52C0" w:rsidRDefault="00A01C2C">
      <w:pPr>
        <w:pStyle w:val="Parasubclause1"/>
      </w:pPr>
      <w:r w:rsidRPr="00974EC2">
        <w:t xml:space="preserve">Tenderers may designate any information supplied as part of their </w:t>
      </w:r>
      <w:r w:rsidR="00AE6B69">
        <w:t>T</w:t>
      </w:r>
      <w:r w:rsidRPr="00974EC2">
        <w:t xml:space="preserve">ender response or otherwise in connection with the procurement as confidential or commercially sensitive by clearly identifying it as such to the </w:t>
      </w:r>
      <w:r w:rsidR="00C516B0" w:rsidRPr="00974EC2">
        <w:t>College</w:t>
      </w:r>
      <w:r w:rsidRPr="00974EC2">
        <w:t xml:space="preserve"> in the template provided at </w:t>
      </w:r>
      <w:r w:rsidRPr="00974EC2">
        <w:fldChar w:fldCharType="begin"/>
      </w:r>
      <w:r w:rsidRPr="00974EC2">
        <w:instrText>REF a823738 \h \w</w:instrText>
      </w:r>
      <w:r w:rsidR="00C516B0" w:rsidRPr="00974EC2">
        <w:instrText xml:space="preserve"> \* MERGEFORMAT </w:instrText>
      </w:r>
      <w:r w:rsidRPr="00974EC2">
        <w:fldChar w:fldCharType="separate"/>
      </w:r>
      <w:r w:rsidRPr="00974EC2">
        <w:t xml:space="preserve">Schedule </w:t>
      </w:r>
      <w:r w:rsidRPr="00974EC2">
        <w:fldChar w:fldCharType="end"/>
      </w:r>
      <w:r w:rsidR="00724E66">
        <w:t>5</w:t>
      </w:r>
      <w:r w:rsidRPr="00974EC2">
        <w:t xml:space="preserve">. Blanket protective markings applied to the whole document will not be sufficient. While designating material as confidential or commercially sensitive or </w:t>
      </w:r>
      <w:r w:rsidRPr="00974EC2">
        <w:lastRenderedPageBreak/>
        <w:t xml:space="preserve">equivalent does not guarantee non-disclosure, the </w:t>
      </w:r>
      <w:r w:rsidR="00C516B0" w:rsidRPr="00974EC2">
        <w:t>College</w:t>
      </w:r>
      <w:r w:rsidRPr="00974EC2">
        <w:t xml:space="preserve"> will consider this as part of any disclosure decision.</w:t>
      </w:r>
    </w:p>
    <w:p w14:paraId="5A60C683" w14:textId="0B1519DF" w:rsidR="003B3476" w:rsidRPr="00974EC2" w:rsidRDefault="003B3476">
      <w:pPr>
        <w:pStyle w:val="Parasubclause1"/>
      </w:pPr>
      <w:r>
        <w:t>T</w:t>
      </w:r>
      <w:r w:rsidR="00A17811">
        <w:t>enderers shall comply with the Data Protection Legislation at all times</w:t>
      </w:r>
      <w:r w:rsidR="006C05D4">
        <w:t>.</w:t>
      </w:r>
    </w:p>
    <w:p w14:paraId="66214648" w14:textId="1F1A1398" w:rsidR="00CC52C0" w:rsidRPr="00974EC2" w:rsidRDefault="00A01C2C">
      <w:pPr>
        <w:pStyle w:val="Untitledsubclause1"/>
        <w:rPr>
          <w:b/>
        </w:rPr>
      </w:pPr>
      <w:bookmarkStart w:id="25" w:name="a589481"/>
      <w:r w:rsidRPr="00974EC2">
        <w:rPr>
          <w:b/>
        </w:rPr>
        <w:t>Publicity</w:t>
      </w:r>
      <w:bookmarkEnd w:id="25"/>
    </w:p>
    <w:p w14:paraId="2592179E" w14:textId="779291DB" w:rsidR="00CC52C0" w:rsidRPr="00974EC2" w:rsidRDefault="00A01C2C" w:rsidP="00604424">
      <w:pPr>
        <w:pStyle w:val="Parasubclause1"/>
      </w:pPr>
      <w:r w:rsidRPr="00974EC2">
        <w:t xml:space="preserve">No publicity regarding the </w:t>
      </w:r>
      <w:r w:rsidR="00516A4A">
        <w:t>Framework</w:t>
      </w:r>
      <w:r w:rsidRPr="00974EC2">
        <w:t xml:space="preserve"> or the award of any </w:t>
      </w:r>
      <w:r w:rsidR="0022448E">
        <w:t xml:space="preserve">Call-Off </w:t>
      </w:r>
      <w:r w:rsidRPr="00974EC2">
        <w:t xml:space="preserve">Contract will be permitted unless and until the </w:t>
      </w:r>
      <w:r w:rsidR="00C516B0" w:rsidRPr="00974EC2">
        <w:t>College</w:t>
      </w:r>
      <w:r w:rsidRPr="00974EC2">
        <w:t xml:space="preserve"> has given prior express written consent to the relevant communication. For example, no statements may be made to the media regarding the nature of any Tender</w:t>
      </w:r>
      <w:r w:rsidR="00493242">
        <w:t xml:space="preserve">, or any Call-Off Contract procurement exercises </w:t>
      </w:r>
      <w:r w:rsidR="00611F6A">
        <w:t xml:space="preserve">under the </w:t>
      </w:r>
      <w:r w:rsidR="00516A4A">
        <w:t>Framework</w:t>
      </w:r>
      <w:r w:rsidRPr="00974EC2">
        <w:t xml:space="preserve">, its contents or any proposals relating to it without the prior written consent of the </w:t>
      </w:r>
      <w:r w:rsidR="00C516B0" w:rsidRPr="00974EC2">
        <w:t>College</w:t>
      </w:r>
      <w:r w:rsidRPr="00974EC2">
        <w:t>.</w:t>
      </w:r>
    </w:p>
    <w:p w14:paraId="709F4CC9" w14:textId="4CB52E46" w:rsidR="00CC52C0" w:rsidRPr="00974EC2" w:rsidRDefault="00A01C2C">
      <w:pPr>
        <w:pStyle w:val="Titlesubclause1"/>
      </w:pPr>
      <w:bookmarkStart w:id="26" w:name="a552859"/>
      <w:r w:rsidRPr="00974EC2">
        <w:t>Supplier warranties</w:t>
      </w:r>
      <w:bookmarkEnd w:id="26"/>
    </w:p>
    <w:p w14:paraId="2A51B18F" w14:textId="1D0C35B2" w:rsidR="00CC52C0" w:rsidRPr="00974EC2" w:rsidRDefault="00A01C2C">
      <w:pPr>
        <w:pStyle w:val="Parasubclause1"/>
      </w:pPr>
      <w:r w:rsidRPr="00974EC2">
        <w:t xml:space="preserve">In submitting a Tender and generally taking part in this procurement, the Tenderer warrants, represents and undertakes to the </w:t>
      </w:r>
      <w:r w:rsidR="00C516B0" w:rsidRPr="00974EC2">
        <w:t>College</w:t>
      </w:r>
      <w:r w:rsidRPr="00974EC2">
        <w:t xml:space="preserve"> that:</w:t>
      </w:r>
    </w:p>
    <w:p w14:paraId="1B157C37" w14:textId="77777777" w:rsidR="00CC52C0" w:rsidRPr="00974EC2" w:rsidRDefault="00A01C2C">
      <w:pPr>
        <w:pStyle w:val="subclause1Bullet1"/>
      </w:pPr>
      <w:r w:rsidRPr="00974EC2">
        <w:t>It understands and has complied with the conditions set out in this ITT.</w:t>
      </w:r>
    </w:p>
    <w:p w14:paraId="224B057A" w14:textId="3BB2DA00" w:rsidR="00CC52C0" w:rsidRPr="00974EC2" w:rsidRDefault="00A01C2C">
      <w:pPr>
        <w:pStyle w:val="subclause1Bullet1"/>
      </w:pPr>
      <w:r w:rsidRPr="00974EC2">
        <w:t xml:space="preserve">All information, representations and other matters of fact communicated (whether in writing or otherwise) to the </w:t>
      </w:r>
      <w:r w:rsidR="00C516B0" w:rsidRPr="00974EC2">
        <w:t>College</w:t>
      </w:r>
      <w:r w:rsidRPr="00974EC2">
        <w:t xml:space="preserve"> by the Tenderer, its staff or agents in connection with or arising out of the procurement are true, complete and accurate in all respects, both as at the date communicated and as at the date of the submission of the Tender.</w:t>
      </w:r>
    </w:p>
    <w:p w14:paraId="331DD557" w14:textId="071284E4" w:rsidR="00CC52C0" w:rsidRPr="00974EC2" w:rsidRDefault="00A01C2C">
      <w:pPr>
        <w:pStyle w:val="subclause1Bullet1"/>
      </w:pPr>
      <w:r w:rsidRPr="00974EC2">
        <w:t xml:space="preserve">It has made its own investigations and undertaken its own research and due diligence, and has satisfied itself in respect of all matters (whether actual or contingent) relating to the invitation and has not reliance on any information, representation or assumption which may have been made by or on behalf of the </w:t>
      </w:r>
      <w:r w:rsidR="00C516B0" w:rsidRPr="00974EC2">
        <w:t>College</w:t>
      </w:r>
      <w:r w:rsidRPr="00974EC2">
        <w:t xml:space="preserve"> (with the exception of any information which is expressly warranted by the </w:t>
      </w:r>
      <w:r w:rsidR="00C516B0" w:rsidRPr="00974EC2">
        <w:t>College</w:t>
      </w:r>
      <w:r w:rsidRPr="00974EC2">
        <w:t>).</w:t>
      </w:r>
    </w:p>
    <w:p w14:paraId="01FD61C4" w14:textId="4CF26A9B" w:rsidR="00AA42B1" w:rsidRPr="00974EC2" w:rsidRDefault="00A01C2C" w:rsidP="00362CCE">
      <w:pPr>
        <w:pStyle w:val="subclause1Bullet1"/>
      </w:pPr>
      <w:r w:rsidRPr="00974EC2">
        <w:t xml:space="preserve">It has full power and authority to submit a Tender and to perform the obligations in relation to the </w:t>
      </w:r>
      <w:r w:rsidR="00516A4A">
        <w:t>Framework</w:t>
      </w:r>
      <w:r w:rsidR="00A56F2B">
        <w:t xml:space="preserve"> and any Call-Off Contract awarded under it </w:t>
      </w:r>
      <w:r w:rsidRPr="00974EC2">
        <w:t xml:space="preserve">and will, if requested, promptly produce evidence of such to the </w:t>
      </w:r>
      <w:r w:rsidR="00C516B0" w:rsidRPr="00974EC2">
        <w:t>College</w:t>
      </w:r>
      <w:r w:rsidRPr="00974EC2">
        <w:t>.</w:t>
      </w:r>
    </w:p>
    <w:p w14:paraId="5BFC1C94" w14:textId="77777777" w:rsidR="00CC52C0" w:rsidRPr="00974EC2" w:rsidRDefault="00A01C2C">
      <w:pPr>
        <w:pStyle w:val="Parasubclause1"/>
      </w:pPr>
      <w:r w:rsidRPr="00974EC2">
        <w:t>Tenderers should note that the potential consequences of providing incomplete, inaccurate or misleading information include that:</w:t>
      </w:r>
    </w:p>
    <w:p w14:paraId="71E152B2" w14:textId="6CD3E956" w:rsidR="00CC52C0" w:rsidRPr="00974EC2" w:rsidRDefault="00A01C2C">
      <w:pPr>
        <w:pStyle w:val="subclause1Bullet1"/>
      </w:pPr>
      <w:r w:rsidRPr="00974EC2">
        <w:t xml:space="preserve">The </w:t>
      </w:r>
      <w:r w:rsidR="00C516B0" w:rsidRPr="00974EC2">
        <w:t>College</w:t>
      </w:r>
      <w:r w:rsidRPr="00974EC2">
        <w:t xml:space="preserve"> may exclude the Tenderer from participating in this procurement.</w:t>
      </w:r>
    </w:p>
    <w:p w14:paraId="4E8A2946" w14:textId="0AF09374" w:rsidR="00CC52C0" w:rsidRPr="00974EC2" w:rsidRDefault="00A01C2C">
      <w:pPr>
        <w:pStyle w:val="subclause1Bullet1"/>
      </w:pPr>
      <w:r w:rsidRPr="00974EC2">
        <w:lastRenderedPageBreak/>
        <w:t xml:space="preserve">The </w:t>
      </w:r>
      <w:r w:rsidR="00C516B0" w:rsidRPr="00974EC2">
        <w:t>College</w:t>
      </w:r>
      <w:r w:rsidRPr="00974EC2">
        <w:t xml:space="preserve"> may rescind any resulting </w:t>
      </w:r>
      <w:r w:rsidR="00516A4A">
        <w:t>Framework</w:t>
      </w:r>
      <w:r w:rsidR="00C85830">
        <w:t xml:space="preserve"> and any Call-Off Contract awarded under it </w:t>
      </w:r>
      <w:r w:rsidRPr="00974EC2">
        <w:t>under the Misrepresentation Act 1967 and may sue the Tenderer for damages.</w:t>
      </w:r>
    </w:p>
    <w:p w14:paraId="255E39B9" w14:textId="3F06D57D" w:rsidR="00CC52C0" w:rsidRPr="00974EC2" w:rsidRDefault="00A01C2C">
      <w:pPr>
        <w:pStyle w:val="subclause1Bullet1"/>
      </w:pPr>
      <w:r w:rsidRPr="00974EC2">
        <w:t xml:space="preserve">If fraud or fraudulent intent can be proved, the Tenderer may be prosecuted and convicted of the offence of fraud by false representation under section 2 of the Fraud Act 2006, which can carry a sentence of up to 10 years or a fine (or both). </w:t>
      </w:r>
    </w:p>
    <w:p w14:paraId="2AD93923" w14:textId="77777777" w:rsidR="00CC52C0" w:rsidRPr="00974EC2" w:rsidRDefault="00A01C2C">
      <w:pPr>
        <w:pStyle w:val="Untitledsubclause1"/>
        <w:rPr>
          <w:b/>
        </w:rPr>
      </w:pPr>
      <w:bookmarkStart w:id="27" w:name="a567678"/>
      <w:r w:rsidRPr="00974EC2">
        <w:rPr>
          <w:b/>
        </w:rPr>
        <w:t xml:space="preserve">Anti-canvassing and collusion </w:t>
      </w:r>
      <w:bookmarkEnd w:id="27"/>
    </w:p>
    <w:p w14:paraId="6A71BFC4" w14:textId="4A558622" w:rsidR="00CC52C0" w:rsidRPr="00974EC2" w:rsidRDefault="00A01C2C">
      <w:pPr>
        <w:pStyle w:val="Parasubclause1"/>
      </w:pPr>
      <w:r w:rsidRPr="00974EC2">
        <w:t xml:space="preserve">Any attempt by Tenderers or their advisers to influence the </w:t>
      </w:r>
      <w:r w:rsidR="00516A4A">
        <w:t>Framework</w:t>
      </w:r>
      <w:r w:rsidR="00015E8D">
        <w:t xml:space="preserve"> </w:t>
      </w:r>
      <w:r w:rsidRPr="00974EC2">
        <w:t xml:space="preserve">award process </w:t>
      </w:r>
      <w:r w:rsidR="00015E8D">
        <w:t xml:space="preserve">or the award process for any Call-Off Contract awarded under it </w:t>
      </w:r>
      <w:r w:rsidRPr="00974EC2">
        <w:t>in any way may result in the Tenderer being disqualified. Specifically, Tenderers must not directly or indirectly at any time:</w:t>
      </w:r>
    </w:p>
    <w:p w14:paraId="28D6AA0E" w14:textId="77777777" w:rsidR="00CC52C0" w:rsidRPr="00974EC2" w:rsidRDefault="00A01C2C">
      <w:pPr>
        <w:pStyle w:val="subclause1Bullet1"/>
      </w:pPr>
      <w:r w:rsidRPr="00974EC2">
        <w:t>Devise or amend the content of their Tender in accordance with any agreement or arrangement with any other person, other than in good faith with a person who is a proposed partner, supplier, consortium member or provider of finance.</w:t>
      </w:r>
    </w:p>
    <w:p w14:paraId="4E46AB7C" w14:textId="4E079AA5" w:rsidR="00CC52C0" w:rsidRPr="00974EC2" w:rsidRDefault="00A01C2C">
      <w:pPr>
        <w:pStyle w:val="subclause1Bullet1"/>
      </w:pPr>
      <w:r w:rsidRPr="00974EC2">
        <w:t xml:space="preserve">Enter into any agreement or arrangement with any other person as to the form or content of any other </w:t>
      </w:r>
      <w:r w:rsidR="00DA4E71" w:rsidRPr="00974EC2">
        <w:t>Tender or</w:t>
      </w:r>
      <w:r w:rsidRPr="00974EC2">
        <w:t xml:space="preserve"> offer to pay any sum of money or valuable consideration to any person to effect changes to the form or content of any other Tender.</w:t>
      </w:r>
    </w:p>
    <w:p w14:paraId="082D8A11" w14:textId="77777777" w:rsidR="00CC52C0" w:rsidRPr="00974EC2" w:rsidRDefault="00A01C2C">
      <w:pPr>
        <w:pStyle w:val="subclause1Bullet1"/>
      </w:pPr>
      <w:r w:rsidRPr="00974EC2">
        <w:t>Enter into any agreement or arrangement with any other person that has the effect of prohibiting or excluding that person from submitting a Tender.</w:t>
      </w:r>
    </w:p>
    <w:p w14:paraId="561675BB" w14:textId="1F4A9E9C" w:rsidR="00CC52C0" w:rsidRPr="00974EC2" w:rsidRDefault="00A01C2C">
      <w:pPr>
        <w:pStyle w:val="subclause1Bullet1"/>
      </w:pPr>
      <w:r w:rsidRPr="00974EC2">
        <w:t xml:space="preserve">Canvass the </w:t>
      </w:r>
      <w:r w:rsidR="00C516B0" w:rsidRPr="00974EC2">
        <w:t>College</w:t>
      </w:r>
      <w:r w:rsidRPr="00974EC2">
        <w:t xml:space="preserve"> or any employees or agents of the </w:t>
      </w:r>
      <w:r w:rsidR="00C516B0" w:rsidRPr="00974EC2">
        <w:t>College</w:t>
      </w:r>
      <w:r w:rsidRPr="00974EC2">
        <w:t xml:space="preserve"> in relation to this procurement.</w:t>
      </w:r>
    </w:p>
    <w:p w14:paraId="36AF72AE" w14:textId="5E479F9E" w:rsidR="00CC52C0" w:rsidRPr="00974EC2" w:rsidRDefault="00A01C2C">
      <w:pPr>
        <w:pStyle w:val="subclause1Bullet1"/>
      </w:pPr>
      <w:r w:rsidRPr="00974EC2">
        <w:t xml:space="preserve">Offer, promise or give any person working for or engaged by the </w:t>
      </w:r>
      <w:r w:rsidR="00C516B0" w:rsidRPr="00974EC2">
        <w:t>College</w:t>
      </w:r>
      <w:r w:rsidRPr="00974EC2">
        <w:t xml:space="preserve"> a financial or other advantage as an inducement or reward for any improper performance of a function or activity relating to this procurement.</w:t>
      </w:r>
    </w:p>
    <w:p w14:paraId="03CF5EB2" w14:textId="6FCF409B" w:rsidR="00CC52C0" w:rsidRPr="00974EC2" w:rsidRDefault="00A01C2C" w:rsidP="005D3BD1">
      <w:pPr>
        <w:pStyle w:val="subclause1Bullet1"/>
      </w:pPr>
      <w:r w:rsidRPr="00974EC2">
        <w:t xml:space="preserve">Attempt to obtain information from any of the employees or agents of the </w:t>
      </w:r>
      <w:r w:rsidR="00C516B0" w:rsidRPr="00974EC2">
        <w:t>College</w:t>
      </w:r>
      <w:r w:rsidRPr="00974EC2">
        <w:t xml:space="preserve"> or their advisers concerning another Tenderer or Tender.</w:t>
      </w:r>
    </w:p>
    <w:p w14:paraId="0AA5AFEF" w14:textId="5DBD095F" w:rsidR="00CC52C0" w:rsidRPr="00974EC2" w:rsidRDefault="00A01C2C" w:rsidP="005D3BD1">
      <w:pPr>
        <w:pStyle w:val="Titlesubclause1"/>
      </w:pPr>
      <w:bookmarkStart w:id="28" w:name="a166104"/>
      <w:r w:rsidRPr="00974EC2">
        <w:t>Conflicts of interest</w:t>
      </w:r>
      <w:bookmarkEnd w:id="28"/>
    </w:p>
    <w:p w14:paraId="115B0B8A" w14:textId="6F49AE7D" w:rsidR="00CC52C0" w:rsidRPr="00974EC2" w:rsidRDefault="00A01C2C">
      <w:pPr>
        <w:pStyle w:val="Parasubclause1"/>
      </w:pPr>
      <w:r w:rsidRPr="00974EC2">
        <w:t xml:space="preserve">Tenderers are responsible for ensuring that no direct or indirect conflicts of interest exist (whether personal, financial or otherwise) between the Tenderer, its employees and advisers, and the </w:t>
      </w:r>
      <w:r w:rsidR="00C516B0" w:rsidRPr="00974EC2">
        <w:t>College</w:t>
      </w:r>
      <w:r w:rsidRPr="00974EC2">
        <w:t xml:space="preserve">, its employees and advisers that may </w:t>
      </w:r>
      <w:r w:rsidRPr="00974EC2">
        <w:lastRenderedPageBreak/>
        <w:t xml:space="preserve">give the Tenderer an unfair advantage. Tenderers must notify the </w:t>
      </w:r>
      <w:r w:rsidR="00C516B0" w:rsidRPr="00974EC2">
        <w:t>College</w:t>
      </w:r>
      <w:r w:rsidRPr="00974EC2">
        <w:t xml:space="preserve"> immediately of any conflicts of interest whether potential, actual or perceived. </w:t>
      </w:r>
    </w:p>
    <w:p w14:paraId="6CD66AF2" w14:textId="42D6F021" w:rsidR="00CC52C0" w:rsidRPr="00974EC2" w:rsidRDefault="00A01C2C">
      <w:pPr>
        <w:pStyle w:val="Parasubclause1"/>
      </w:pPr>
      <w:r w:rsidRPr="00974EC2">
        <w:t xml:space="preserve">The </w:t>
      </w:r>
      <w:r w:rsidR="00C516B0" w:rsidRPr="00974EC2">
        <w:t>College</w:t>
      </w:r>
      <w:r w:rsidRPr="00974EC2">
        <w:t xml:space="preserve"> reserves the right to: </w:t>
      </w:r>
    </w:p>
    <w:p w14:paraId="78D1C07E" w14:textId="4D5ED535" w:rsidR="00CC52C0" w:rsidRPr="00974EC2" w:rsidRDefault="00A01C2C" w:rsidP="00C516B0">
      <w:pPr>
        <w:pStyle w:val="Parasubclause1"/>
        <w:numPr>
          <w:ilvl w:val="0"/>
          <w:numId w:val="19"/>
        </w:numPr>
      </w:pPr>
      <w:r w:rsidRPr="00974EC2">
        <w:t xml:space="preserve">Exclude a Tenderer that fails to notify the </w:t>
      </w:r>
      <w:r w:rsidR="00C516B0" w:rsidRPr="00974EC2">
        <w:t>College</w:t>
      </w:r>
      <w:r w:rsidRPr="00974EC2">
        <w:t xml:space="preserve"> of a perceived, actual or potential conflict of interest, or where an actual conflict of interest exists that puts the Tenderer at an unavoidable unfair advantage vis a vis other Tenderers. </w:t>
      </w:r>
    </w:p>
    <w:p w14:paraId="294E6DD4" w14:textId="77777777" w:rsidR="002C0261" w:rsidRDefault="00A01C2C" w:rsidP="00C516B0">
      <w:pPr>
        <w:pStyle w:val="Parasubclause1"/>
        <w:numPr>
          <w:ilvl w:val="0"/>
          <w:numId w:val="19"/>
        </w:numPr>
      </w:pPr>
      <w:r w:rsidRPr="00974EC2">
        <w:t xml:space="preserve">Exclude a Tenderer that fails to take reasonably requested steps specified by the </w:t>
      </w:r>
      <w:r w:rsidR="00C516B0" w:rsidRPr="00974EC2">
        <w:t>College</w:t>
      </w:r>
      <w:r w:rsidRPr="00974EC2">
        <w:t xml:space="preserve"> to mitigate any conflict of interest, including entry into a conflict of interest agreement.</w:t>
      </w:r>
    </w:p>
    <w:p w14:paraId="21D2A846" w14:textId="560FCDEE" w:rsidR="00CC52C0" w:rsidRPr="00974EC2" w:rsidRDefault="002C0261" w:rsidP="00090355">
      <w:pPr>
        <w:pStyle w:val="Parasubclause1"/>
      </w:pPr>
      <w:r>
        <w:t>Suppliers are required to complete a Conflict of Interest Declaration as part of their Tender, as set out in Schedule 8.</w:t>
      </w:r>
      <w:r w:rsidR="00A01C2C" w:rsidRPr="00974EC2">
        <w:t xml:space="preserve"> </w:t>
      </w:r>
    </w:p>
    <w:p w14:paraId="298E3AB5" w14:textId="46AB6B7F" w:rsidR="00CC52C0" w:rsidRPr="00974EC2" w:rsidRDefault="00C516B0">
      <w:pPr>
        <w:pStyle w:val="Untitledsubclause1"/>
        <w:rPr>
          <w:b/>
        </w:rPr>
      </w:pPr>
      <w:bookmarkStart w:id="29" w:name="a272550"/>
      <w:r w:rsidRPr="00974EC2">
        <w:rPr>
          <w:b/>
        </w:rPr>
        <w:t>College's rights to modify the procurement</w:t>
      </w:r>
      <w:bookmarkEnd w:id="29"/>
    </w:p>
    <w:p w14:paraId="506EEAD9" w14:textId="12A03307" w:rsidR="00CC52C0" w:rsidRPr="00974EC2" w:rsidRDefault="00A01C2C">
      <w:pPr>
        <w:pStyle w:val="Parasubclause1"/>
      </w:pPr>
      <w:r w:rsidRPr="00974EC2">
        <w:t xml:space="preserve">The </w:t>
      </w:r>
      <w:r w:rsidR="00C516B0" w:rsidRPr="00974EC2">
        <w:t>College</w:t>
      </w:r>
      <w:r w:rsidRPr="00974EC2">
        <w:t xml:space="preserve"> reserves the right at any time to:</w:t>
      </w:r>
    </w:p>
    <w:p w14:paraId="4A347068" w14:textId="77777777" w:rsidR="00CC52C0" w:rsidRPr="00974EC2" w:rsidRDefault="00A01C2C">
      <w:pPr>
        <w:pStyle w:val="subclause1Bullet1"/>
      </w:pPr>
      <w:r w:rsidRPr="00974EC2">
        <w:t>Seek clarification in respect of any part of a Tenderer's submission.</w:t>
      </w:r>
    </w:p>
    <w:p w14:paraId="58C91CFF" w14:textId="77777777" w:rsidR="00CC52C0" w:rsidRPr="00974EC2" w:rsidRDefault="00A01C2C">
      <w:pPr>
        <w:pStyle w:val="subclause1Bullet1"/>
      </w:pPr>
      <w:r w:rsidRPr="00974EC2">
        <w:t>Request Tenderers to submit, supplement, clarify or complete relevant information or documentation where it appears to be incomplete, erroneous or missing.</w:t>
      </w:r>
    </w:p>
    <w:p w14:paraId="366A4CF6" w14:textId="77777777" w:rsidR="00CC52C0" w:rsidRPr="00974EC2" w:rsidRDefault="00A01C2C">
      <w:pPr>
        <w:pStyle w:val="subclause1Bullet1"/>
      </w:pPr>
      <w:r w:rsidRPr="00974EC2">
        <w:t>Disqualify any Tenderer that does not submit a compliant Tender in accordance with the instructions in this ITT.</w:t>
      </w:r>
    </w:p>
    <w:p w14:paraId="2717498B" w14:textId="48B6D9A1" w:rsidR="00CC52C0" w:rsidRPr="00974EC2" w:rsidRDefault="00A01C2C">
      <w:pPr>
        <w:pStyle w:val="subclause1Bullet1"/>
      </w:pPr>
      <w:r w:rsidRPr="00974EC2">
        <w:t>Disqualify any Tenderer that is guilty of serious misrepresentation or of negligently providing misleading information in relation to its Tender</w:t>
      </w:r>
      <w:r w:rsidR="004E4658">
        <w:t xml:space="preserve"> o</w:t>
      </w:r>
      <w:r w:rsidRPr="00974EC2">
        <w:t xml:space="preserve">r the </w:t>
      </w:r>
      <w:r w:rsidR="00AE6B69">
        <w:t>T</w:t>
      </w:r>
      <w:r w:rsidRPr="00974EC2">
        <w:t>ender process.</w:t>
      </w:r>
    </w:p>
    <w:p w14:paraId="436D1A9C" w14:textId="314D983F" w:rsidR="00CC52C0" w:rsidRPr="00974EC2" w:rsidRDefault="00A01C2C">
      <w:pPr>
        <w:pStyle w:val="subclause1Bullet1"/>
      </w:pPr>
      <w:r w:rsidRPr="00974EC2">
        <w:t xml:space="preserve">Reject a Tender </w:t>
      </w:r>
      <w:r w:rsidR="003E658A">
        <w:t xml:space="preserve">with a Schedule of rates and/or Fee Percentage </w:t>
      </w:r>
      <w:r w:rsidRPr="00974EC2">
        <w:t>that is abnormally low.</w:t>
      </w:r>
    </w:p>
    <w:p w14:paraId="4BA2A697" w14:textId="77777777" w:rsidR="00CC52C0" w:rsidRPr="00974EC2" w:rsidRDefault="00A01C2C">
      <w:pPr>
        <w:pStyle w:val="subclause1Bullet1"/>
      </w:pPr>
      <w:r w:rsidRPr="00974EC2">
        <w:t>Withdraw this ITT at any time, or re-invite Tenders on the same or any alternative basis.</w:t>
      </w:r>
    </w:p>
    <w:p w14:paraId="39DDD97B" w14:textId="14C4930C" w:rsidR="00CC52C0" w:rsidRPr="00974EC2" w:rsidRDefault="00A01C2C">
      <w:pPr>
        <w:pStyle w:val="subclause1Bullet1"/>
      </w:pPr>
      <w:r w:rsidRPr="00974EC2">
        <w:t>Choose not to award</w:t>
      </w:r>
      <w:r w:rsidR="00154D49" w:rsidRPr="00974EC2">
        <w:t xml:space="preserve"> the</w:t>
      </w:r>
      <w:r w:rsidRPr="00974EC2">
        <w:t xml:space="preserve"> </w:t>
      </w:r>
      <w:r w:rsidR="00516A4A">
        <w:t>Framework</w:t>
      </w:r>
      <w:r w:rsidRPr="00974EC2">
        <w:t xml:space="preserve"> as a result of the current procurement process or to abandon that process.</w:t>
      </w:r>
    </w:p>
    <w:p w14:paraId="0EED095F" w14:textId="77777777" w:rsidR="00CC52C0" w:rsidRPr="00974EC2" w:rsidRDefault="00A01C2C">
      <w:pPr>
        <w:pStyle w:val="subclause1Bullet1"/>
      </w:pPr>
      <w:r w:rsidRPr="00974EC2">
        <w:t>Issue changes, modifications or additional information (including to the Timetable) relating to the procurement, including to this ITT.</w:t>
      </w:r>
    </w:p>
    <w:p w14:paraId="368D3224" w14:textId="1BCF824C" w:rsidR="00CC52C0" w:rsidRPr="00974EC2" w:rsidRDefault="00A01C2C">
      <w:pPr>
        <w:pStyle w:val="subclause1Bullet1"/>
      </w:pPr>
      <w:r w:rsidRPr="00974EC2">
        <w:lastRenderedPageBreak/>
        <w:t>Alter the Timetable as it sees fit</w:t>
      </w:r>
      <w:r w:rsidR="00AA23E2" w:rsidRPr="00974EC2">
        <w:t>.</w:t>
      </w:r>
    </w:p>
    <w:p w14:paraId="61C9647F" w14:textId="77777777" w:rsidR="00CC52C0" w:rsidRPr="00974EC2" w:rsidRDefault="00A01C2C">
      <w:pPr>
        <w:pStyle w:val="subclause1Bullet1"/>
      </w:pPr>
      <w:r w:rsidRPr="00974EC2">
        <w:t>Rewind or re-run any part of this procurement on the same or an alternative basis.</w:t>
      </w:r>
    </w:p>
    <w:p w14:paraId="062138AD" w14:textId="77777777" w:rsidR="00CC52C0" w:rsidRPr="00974EC2" w:rsidRDefault="00A01C2C">
      <w:pPr>
        <w:pStyle w:val="Untitledsubclause1"/>
        <w:rPr>
          <w:b/>
        </w:rPr>
      </w:pPr>
      <w:bookmarkStart w:id="30" w:name="a970991"/>
      <w:r w:rsidRPr="00974EC2">
        <w:rPr>
          <w:b/>
        </w:rPr>
        <w:t>Bid costs</w:t>
      </w:r>
      <w:bookmarkEnd w:id="30"/>
    </w:p>
    <w:p w14:paraId="438804D6" w14:textId="2CBC96FF" w:rsidR="00CC52C0" w:rsidRPr="00974EC2" w:rsidRDefault="00A01C2C">
      <w:pPr>
        <w:pStyle w:val="Parasubclause1"/>
      </w:pPr>
      <w:r w:rsidRPr="00974EC2">
        <w:t xml:space="preserve">The </w:t>
      </w:r>
      <w:r w:rsidR="00C516B0" w:rsidRPr="00974EC2">
        <w:t>College</w:t>
      </w:r>
      <w:r w:rsidRPr="00974EC2">
        <w:t xml:space="preserve"> will not be liable for any bid costs, expenditure, work or effort incurred by a Tenderer in proceeding with or participating in this procurement, including if the procurement process is terminated or amended by the </w:t>
      </w:r>
      <w:r w:rsidR="00C516B0" w:rsidRPr="00974EC2">
        <w:t>College</w:t>
      </w:r>
      <w:r w:rsidRPr="00974EC2">
        <w:t>.</w:t>
      </w:r>
    </w:p>
    <w:p w14:paraId="19073F16" w14:textId="381D6877" w:rsidR="00CC52C0" w:rsidRPr="00974EC2" w:rsidRDefault="00A01C2C">
      <w:pPr>
        <w:pStyle w:val="TitleClause"/>
      </w:pPr>
      <w:bookmarkStart w:id="31" w:name="a694999"/>
      <w:bookmarkStart w:id="32" w:name="_Toc216178768"/>
      <w:r w:rsidRPr="00974EC2">
        <w:t xml:space="preserve">Tender </w:t>
      </w:r>
      <w:r w:rsidR="00F751F1">
        <w:t>Assessment</w:t>
      </w:r>
      <w:r w:rsidRPr="00974EC2">
        <w:t xml:space="preserve"> Model</w:t>
      </w:r>
      <w:bookmarkEnd w:id="31"/>
      <w:bookmarkEnd w:id="32"/>
    </w:p>
    <w:p w14:paraId="460BEE15" w14:textId="66100883" w:rsidR="00CC52C0" w:rsidRPr="00974EC2" w:rsidRDefault="00A01C2C">
      <w:pPr>
        <w:pStyle w:val="Untitledsubclause1"/>
        <w:rPr>
          <w:b/>
        </w:rPr>
      </w:pPr>
      <w:bookmarkStart w:id="33" w:name="a362884"/>
      <w:r w:rsidRPr="00974EC2">
        <w:rPr>
          <w:b/>
        </w:rPr>
        <w:t xml:space="preserve">Award Criteria and </w:t>
      </w:r>
      <w:r w:rsidR="00F751F1">
        <w:rPr>
          <w:b/>
        </w:rPr>
        <w:t>Assessment</w:t>
      </w:r>
      <w:r w:rsidRPr="00974EC2">
        <w:rPr>
          <w:b/>
        </w:rPr>
        <w:t xml:space="preserve"> Criteria</w:t>
      </w:r>
      <w:bookmarkEnd w:id="33"/>
    </w:p>
    <w:p w14:paraId="52B97338" w14:textId="0FCB5520" w:rsidR="00CC52C0" w:rsidRPr="00974EC2" w:rsidRDefault="00A01C2C">
      <w:pPr>
        <w:pStyle w:val="Parasubclause1"/>
      </w:pPr>
      <w:r w:rsidRPr="00974EC2">
        <w:t xml:space="preserve">Any Contract(s) awarded as a result of this procurement will be awarded on the basis of the offer that is the most advantageous to the </w:t>
      </w:r>
      <w:r w:rsidR="00C516B0" w:rsidRPr="00974EC2">
        <w:t>College</w:t>
      </w:r>
      <w:r w:rsidRPr="00974EC2">
        <w:t>. The Award Criteria are:</w:t>
      </w:r>
    </w:p>
    <w:p w14:paraId="2F861226" w14:textId="4E2A6A01" w:rsidR="00CC52C0" w:rsidRPr="00EE111C" w:rsidRDefault="00C702DD">
      <w:pPr>
        <w:pStyle w:val="subclause1Bullet1"/>
      </w:pPr>
      <w:r w:rsidRPr="00EE111C">
        <w:t>70</w:t>
      </w:r>
      <w:r w:rsidR="003442F3" w:rsidRPr="00EE111C">
        <w:t xml:space="preserve">% </w:t>
      </w:r>
      <w:r w:rsidR="00A01C2C" w:rsidRPr="00EE111C">
        <w:t>technical or quality.</w:t>
      </w:r>
    </w:p>
    <w:p w14:paraId="4572F75F" w14:textId="4C31837A" w:rsidR="00CC52C0" w:rsidRPr="00974EC2" w:rsidRDefault="00C702DD">
      <w:pPr>
        <w:pStyle w:val="subclause1Bullet1"/>
      </w:pPr>
      <w:r w:rsidRPr="00EE111C">
        <w:t>30</w:t>
      </w:r>
      <w:r w:rsidR="00A01C2C" w:rsidRPr="00EE111C">
        <w:t>%</w:t>
      </w:r>
      <w:r w:rsidR="00A01C2C" w:rsidRPr="00974EC2">
        <w:t xml:space="preserve"> cost</w:t>
      </w:r>
      <w:r w:rsidR="00416F9C">
        <w:t xml:space="preserve"> (Fee Percentage and Schedule of Rates)</w:t>
      </w:r>
      <w:r w:rsidR="00A01C2C" w:rsidRPr="00974EC2">
        <w:t>.</w:t>
      </w:r>
    </w:p>
    <w:p w14:paraId="6688E0DC" w14:textId="7EABE3CC" w:rsidR="00CC52C0" w:rsidRPr="00974EC2" w:rsidRDefault="00A01C2C">
      <w:pPr>
        <w:pStyle w:val="Parasubclause1"/>
      </w:pPr>
      <w:r w:rsidRPr="00974EC2">
        <w:t xml:space="preserve">Scores are arrived at following the application of the </w:t>
      </w:r>
      <w:r w:rsidR="00F751F1">
        <w:t>Assessment</w:t>
      </w:r>
      <w:r w:rsidRPr="00974EC2">
        <w:t xml:space="preserve"> Criteria (</w:t>
      </w:r>
      <w:r w:rsidR="00F751F1">
        <w:rPr>
          <w:b/>
        </w:rPr>
        <w:t>Assessment</w:t>
      </w:r>
      <w:r w:rsidRPr="00974EC2">
        <w:rPr>
          <w:b/>
        </w:rPr>
        <w:t xml:space="preserve"> Criteria</w:t>
      </w:r>
      <w:r w:rsidRPr="00974EC2">
        <w:t>) set out below to the Tenderer's Tender.</w:t>
      </w:r>
    </w:p>
    <w:p w14:paraId="2C274099" w14:textId="369A8122" w:rsidR="00CC52C0" w:rsidRPr="00974EC2" w:rsidRDefault="00A01C2C">
      <w:pPr>
        <w:pStyle w:val="Parasubclause1"/>
      </w:pPr>
      <w:r w:rsidRPr="00974EC2">
        <w:t xml:space="preserve">Tenderers are required to submit a Tender strictly in accordance with the requirements set out in this ITT, to ensure the </w:t>
      </w:r>
      <w:r w:rsidR="00C516B0" w:rsidRPr="00974EC2">
        <w:t>College</w:t>
      </w:r>
      <w:r w:rsidRPr="00974EC2">
        <w:t xml:space="preserve"> has the correct </w:t>
      </w:r>
      <w:r w:rsidRPr="00150692">
        <w:rPr>
          <w:color w:val="auto"/>
        </w:rPr>
        <w:t>information</w:t>
      </w:r>
      <w:r w:rsidRPr="00974EC2">
        <w:t xml:space="preserve"> to make the </w:t>
      </w:r>
      <w:r w:rsidR="00F751F1">
        <w:t>assessment</w:t>
      </w:r>
      <w:r w:rsidRPr="00974EC2">
        <w:t xml:space="preserve">. Evasive, unclear or hedged Tenders may be discounted in </w:t>
      </w:r>
      <w:r w:rsidR="00F751F1">
        <w:t>assessment</w:t>
      </w:r>
      <w:r w:rsidRPr="00974EC2">
        <w:t xml:space="preserve"> and may, at the </w:t>
      </w:r>
      <w:r w:rsidR="00C516B0" w:rsidRPr="00974EC2">
        <w:t>College</w:t>
      </w:r>
      <w:r w:rsidRPr="00974EC2">
        <w:t>'s discretion, be taken as a rejection by the Tenderer of the terms set out in this ITT.</w:t>
      </w:r>
    </w:p>
    <w:p w14:paraId="3B43E713" w14:textId="44ECD945" w:rsidR="000059A7" w:rsidRPr="00974EC2" w:rsidRDefault="00A01C2C">
      <w:pPr>
        <w:pStyle w:val="Parasubclause1"/>
      </w:pPr>
      <w:r w:rsidRPr="00974EC2">
        <w:t xml:space="preserve">The Tender </w:t>
      </w:r>
      <w:r w:rsidR="00F751F1">
        <w:t>Assessment</w:t>
      </w:r>
      <w:r w:rsidRPr="00974EC2">
        <w:t xml:space="preserve"> Model showing the </w:t>
      </w:r>
      <w:r w:rsidR="00F751F1">
        <w:t>Assessment</w:t>
      </w:r>
      <w:r w:rsidRPr="00974EC2">
        <w:t xml:space="preserve"> Criteria and the maximum scores attributable to them is set out below. </w:t>
      </w:r>
    </w:p>
    <w:p w14:paraId="2A4A7C55" w14:textId="314D33D8" w:rsidR="00CC52C0" w:rsidRDefault="00A01C2C" w:rsidP="00580A65">
      <w:pPr>
        <w:pStyle w:val="Parasubclause1"/>
      </w:pPr>
      <w:r w:rsidRPr="00EE111C">
        <w:t>Where specified, a minimum pass mark (</w:t>
      </w:r>
      <w:r w:rsidRPr="00EE111C">
        <w:rPr>
          <w:rStyle w:val="DefTerm"/>
        </w:rPr>
        <w:t>Threshold</w:t>
      </w:r>
      <w:r w:rsidRPr="00EE111C">
        <w:t xml:space="preserve">) applies to the </w:t>
      </w:r>
      <w:r w:rsidR="00F751F1" w:rsidRPr="00EE111C">
        <w:t>Assessment</w:t>
      </w:r>
      <w:r w:rsidRPr="00EE111C">
        <w:t xml:space="preserve"> Criteria. The </w:t>
      </w:r>
      <w:r w:rsidR="00C516B0" w:rsidRPr="00EE111C">
        <w:t>College</w:t>
      </w:r>
      <w:r w:rsidRPr="00EE111C">
        <w:t xml:space="preserve"> shall reject any Tender that does not meet the relevant Threshold in respect of one or more criteria.</w:t>
      </w:r>
    </w:p>
    <w:tbl>
      <w:tblPr>
        <w:tblStyle w:val="TableGrid1"/>
        <w:tblpPr w:leftFromText="180" w:rightFromText="180" w:vertAnchor="text" w:tblpX="-5" w:tblpY="1"/>
        <w:tblOverlap w:val="never"/>
        <w:tblW w:w="9923" w:type="dxa"/>
        <w:tblLayout w:type="fixed"/>
        <w:tblLook w:val="04A0" w:firstRow="1" w:lastRow="0" w:firstColumn="1" w:lastColumn="0" w:noHBand="0" w:noVBand="1"/>
      </w:tblPr>
      <w:tblGrid>
        <w:gridCol w:w="1064"/>
        <w:gridCol w:w="5032"/>
        <w:gridCol w:w="1333"/>
        <w:gridCol w:w="1238"/>
        <w:gridCol w:w="1256"/>
      </w:tblGrid>
      <w:tr w:rsidR="00894471" w:rsidRPr="00EE111C" w14:paraId="4A03613B" w14:textId="77777777" w:rsidTr="004F46FE">
        <w:trPr>
          <w:trHeight w:val="462"/>
          <w:tblHeader/>
        </w:trPr>
        <w:tc>
          <w:tcPr>
            <w:tcW w:w="9923" w:type="dxa"/>
            <w:gridSpan w:val="5"/>
            <w:tcBorders>
              <w:bottom w:val="single" w:sz="4" w:space="0" w:color="auto"/>
            </w:tcBorders>
            <w:vAlign w:val="center"/>
          </w:tcPr>
          <w:p w14:paraId="461FB8DA" w14:textId="377C745D" w:rsidR="00894471" w:rsidRPr="00EE111C" w:rsidRDefault="00894471" w:rsidP="004F46FE">
            <w:pPr>
              <w:kinsoku w:val="0"/>
              <w:overflowPunct w:val="0"/>
              <w:autoSpaceDE w:val="0"/>
              <w:autoSpaceDN w:val="0"/>
              <w:adjustRightInd w:val="0"/>
              <w:spacing w:before="8"/>
              <w:ind w:right="-12"/>
              <w:jc w:val="center"/>
              <w:rPr>
                <w:rFonts w:ascii="Arial" w:eastAsia="SimHei" w:hAnsi="Arial" w:cs="Arial"/>
                <w:b/>
                <w:bCs/>
                <w:caps/>
                <w:color w:val="auto"/>
                <w:szCs w:val="20"/>
              </w:rPr>
            </w:pPr>
            <w:r w:rsidRPr="00EE111C">
              <w:rPr>
                <w:rFonts w:ascii="Arial" w:hAnsi="Arial" w:cs="Arial"/>
                <w:b/>
                <w:bCs/>
                <w:w w:val="105"/>
                <w:szCs w:val="20"/>
                <w:lang w:eastAsia="en-GB"/>
              </w:rPr>
              <w:lastRenderedPageBreak/>
              <w:t xml:space="preserve">Tender Assessment Sheet (Quality) (Maximum Score </w:t>
            </w:r>
            <w:r w:rsidR="00C44756" w:rsidRPr="00EE111C">
              <w:rPr>
                <w:rFonts w:ascii="Arial" w:hAnsi="Arial" w:cs="Arial"/>
                <w:b/>
                <w:bCs/>
                <w:w w:val="105"/>
                <w:szCs w:val="20"/>
                <w:lang w:eastAsia="en-GB"/>
              </w:rPr>
              <w:t>[</w:t>
            </w:r>
            <w:r w:rsidRPr="00EE111C">
              <w:rPr>
                <w:rFonts w:ascii="Arial" w:hAnsi="Arial" w:cs="Arial"/>
                <w:b/>
                <w:bCs/>
                <w:w w:val="105"/>
                <w:szCs w:val="20"/>
                <w:lang w:eastAsia="en-GB"/>
              </w:rPr>
              <w:t>70%</w:t>
            </w:r>
            <w:r w:rsidR="00C44756" w:rsidRPr="00EE111C">
              <w:rPr>
                <w:rFonts w:ascii="Arial" w:hAnsi="Arial" w:cs="Arial"/>
                <w:b/>
                <w:bCs/>
                <w:w w:val="105"/>
                <w:szCs w:val="20"/>
                <w:lang w:eastAsia="en-GB"/>
              </w:rPr>
              <w:t>]</w:t>
            </w:r>
            <w:r w:rsidRPr="00EE111C">
              <w:rPr>
                <w:rFonts w:ascii="Arial" w:hAnsi="Arial" w:cs="Arial"/>
                <w:b/>
                <w:bCs/>
                <w:w w:val="105"/>
                <w:szCs w:val="20"/>
                <w:lang w:eastAsia="en-GB"/>
              </w:rPr>
              <w:t>)</w:t>
            </w:r>
          </w:p>
        </w:tc>
      </w:tr>
      <w:tr w:rsidR="00894471" w:rsidRPr="00EE111C" w14:paraId="1341C6FB" w14:textId="77777777" w:rsidTr="004F46FE">
        <w:trPr>
          <w:trHeight w:val="70"/>
          <w:tblHeader/>
        </w:trPr>
        <w:tc>
          <w:tcPr>
            <w:tcW w:w="1064" w:type="dxa"/>
            <w:tcBorders>
              <w:bottom w:val="single" w:sz="4" w:space="0" w:color="auto"/>
            </w:tcBorders>
            <w:shd w:val="clear" w:color="auto" w:fill="D5D0B4" w:themeFill="background2" w:themeFillShade="D9"/>
            <w:vAlign w:val="center"/>
          </w:tcPr>
          <w:p w14:paraId="7EB5ECB2" w14:textId="77777777" w:rsidR="00894471" w:rsidRPr="00EE111C" w:rsidRDefault="00894471" w:rsidP="004F46FE">
            <w:pPr>
              <w:numPr>
                <w:ilvl w:val="1"/>
                <w:numId w:val="0"/>
              </w:numPr>
              <w:contextualSpacing/>
              <w:jc w:val="center"/>
              <w:rPr>
                <w:rFonts w:ascii="Arial" w:eastAsia="SimHei" w:hAnsi="Arial" w:cs="Arial"/>
                <w:b/>
                <w:bCs/>
                <w:caps/>
                <w:color w:val="auto"/>
                <w:szCs w:val="20"/>
              </w:rPr>
            </w:pPr>
            <w:r w:rsidRPr="00EE111C">
              <w:rPr>
                <w:rFonts w:ascii="Arial" w:hAnsi="Arial" w:cs="Arial"/>
                <w:b/>
                <w:bCs/>
                <w:w w:val="105"/>
                <w:szCs w:val="20"/>
                <w:lang w:eastAsia="en-GB"/>
              </w:rPr>
              <w:t>Part</w:t>
            </w:r>
          </w:p>
        </w:tc>
        <w:tc>
          <w:tcPr>
            <w:tcW w:w="5032" w:type="dxa"/>
            <w:tcBorders>
              <w:bottom w:val="single" w:sz="4" w:space="0" w:color="auto"/>
            </w:tcBorders>
            <w:shd w:val="clear" w:color="auto" w:fill="D5D0B4" w:themeFill="background2" w:themeFillShade="D9"/>
            <w:vAlign w:val="center"/>
          </w:tcPr>
          <w:p w14:paraId="244667D2" w14:textId="77777777" w:rsidR="00894471" w:rsidRPr="00EE111C" w:rsidRDefault="00894471" w:rsidP="004F46FE">
            <w:pPr>
              <w:numPr>
                <w:ilvl w:val="1"/>
                <w:numId w:val="0"/>
              </w:numPr>
              <w:contextualSpacing/>
              <w:jc w:val="center"/>
              <w:rPr>
                <w:rFonts w:ascii="Arial" w:eastAsia="SimHei" w:hAnsi="Arial" w:cs="Arial"/>
                <w:b/>
                <w:bCs/>
                <w:caps/>
                <w:color w:val="auto"/>
                <w:szCs w:val="20"/>
              </w:rPr>
            </w:pPr>
            <w:r w:rsidRPr="00EE111C">
              <w:rPr>
                <w:rFonts w:ascii="Arial" w:hAnsi="Arial" w:cs="Arial"/>
                <w:b/>
                <w:bCs/>
                <w:w w:val="105"/>
                <w:szCs w:val="20"/>
                <w:lang w:eastAsia="en-GB"/>
              </w:rPr>
              <w:t>Question</w:t>
            </w:r>
          </w:p>
        </w:tc>
        <w:tc>
          <w:tcPr>
            <w:tcW w:w="1333" w:type="dxa"/>
            <w:tcBorders>
              <w:bottom w:val="single" w:sz="4" w:space="0" w:color="auto"/>
            </w:tcBorders>
            <w:shd w:val="clear" w:color="auto" w:fill="D5D0B4" w:themeFill="background2" w:themeFillShade="D9"/>
            <w:vAlign w:val="center"/>
          </w:tcPr>
          <w:p w14:paraId="3C09A035" w14:textId="77777777" w:rsidR="00894471" w:rsidRPr="00EE111C" w:rsidRDefault="00894471" w:rsidP="004F46FE">
            <w:pPr>
              <w:numPr>
                <w:ilvl w:val="1"/>
                <w:numId w:val="0"/>
              </w:numPr>
              <w:contextualSpacing/>
              <w:jc w:val="center"/>
              <w:rPr>
                <w:rFonts w:ascii="Arial" w:eastAsia="SimHei" w:hAnsi="Arial" w:cs="Arial"/>
                <w:b/>
                <w:bCs/>
                <w:caps/>
                <w:color w:val="auto"/>
                <w:szCs w:val="20"/>
              </w:rPr>
            </w:pPr>
            <w:r w:rsidRPr="00EE111C">
              <w:rPr>
                <w:rFonts w:ascii="Arial" w:hAnsi="Arial" w:cs="Arial"/>
                <w:b/>
                <w:bCs/>
                <w:w w:val="105"/>
                <w:szCs w:val="20"/>
                <w:lang w:eastAsia="en-GB"/>
              </w:rPr>
              <w:t>Question Weighting</w:t>
            </w:r>
            <w:r w:rsidRPr="00EE111C">
              <w:rPr>
                <w:rFonts w:ascii="Arial" w:eastAsia="SimHei" w:hAnsi="Arial" w:cs="Arial"/>
                <w:b/>
                <w:bCs/>
                <w:caps/>
                <w:szCs w:val="20"/>
              </w:rPr>
              <w:t xml:space="preserve"> (A)</w:t>
            </w:r>
          </w:p>
        </w:tc>
        <w:tc>
          <w:tcPr>
            <w:tcW w:w="1238" w:type="dxa"/>
            <w:tcBorders>
              <w:bottom w:val="single" w:sz="4" w:space="0" w:color="auto"/>
            </w:tcBorders>
            <w:shd w:val="clear" w:color="auto" w:fill="D5D0B4" w:themeFill="background2" w:themeFillShade="D9"/>
            <w:vAlign w:val="center"/>
          </w:tcPr>
          <w:p w14:paraId="5853DE94" w14:textId="77777777" w:rsidR="00894471" w:rsidRPr="00EE111C" w:rsidRDefault="00894471" w:rsidP="004F46FE">
            <w:pPr>
              <w:numPr>
                <w:ilvl w:val="1"/>
                <w:numId w:val="0"/>
              </w:numPr>
              <w:contextualSpacing/>
              <w:jc w:val="center"/>
              <w:rPr>
                <w:rFonts w:ascii="Arial" w:eastAsia="SimHei" w:hAnsi="Arial" w:cs="Arial"/>
                <w:b/>
                <w:bCs/>
                <w:caps/>
                <w:color w:val="auto"/>
                <w:szCs w:val="20"/>
              </w:rPr>
            </w:pPr>
            <w:r w:rsidRPr="00EE111C">
              <w:rPr>
                <w:rFonts w:ascii="Arial" w:hAnsi="Arial" w:cs="Arial"/>
                <w:b/>
                <w:bCs/>
                <w:w w:val="105"/>
                <w:szCs w:val="20"/>
                <w:lang w:eastAsia="en-GB"/>
              </w:rPr>
              <w:t>Marks Awarded</w:t>
            </w:r>
            <w:r w:rsidRPr="00EE111C">
              <w:rPr>
                <w:rFonts w:ascii="Arial" w:eastAsia="SimHei" w:hAnsi="Arial" w:cs="Arial"/>
                <w:b/>
                <w:bCs/>
                <w:caps/>
                <w:szCs w:val="20"/>
              </w:rPr>
              <w:t xml:space="preserve"> (B)</w:t>
            </w:r>
          </w:p>
        </w:tc>
        <w:tc>
          <w:tcPr>
            <w:tcW w:w="1256" w:type="dxa"/>
            <w:tcBorders>
              <w:bottom w:val="single" w:sz="4" w:space="0" w:color="auto"/>
            </w:tcBorders>
            <w:shd w:val="clear" w:color="auto" w:fill="D5D0B4" w:themeFill="background2" w:themeFillShade="D9"/>
            <w:vAlign w:val="center"/>
          </w:tcPr>
          <w:p w14:paraId="248EBEFD" w14:textId="77777777" w:rsidR="00894471" w:rsidRPr="00EE111C" w:rsidRDefault="00894471" w:rsidP="004F46FE">
            <w:pPr>
              <w:numPr>
                <w:ilvl w:val="1"/>
                <w:numId w:val="0"/>
              </w:numPr>
              <w:contextualSpacing/>
              <w:jc w:val="center"/>
              <w:rPr>
                <w:rFonts w:ascii="Arial" w:eastAsia="SimHei" w:hAnsi="Arial" w:cs="Arial"/>
                <w:b/>
                <w:bCs/>
                <w:caps/>
                <w:color w:val="auto"/>
                <w:szCs w:val="20"/>
              </w:rPr>
            </w:pPr>
            <w:r w:rsidRPr="00EE111C">
              <w:rPr>
                <w:rFonts w:ascii="Arial" w:hAnsi="Arial" w:cs="Arial"/>
                <w:b/>
                <w:bCs/>
                <w:w w:val="105"/>
                <w:szCs w:val="20"/>
                <w:lang w:eastAsia="en-GB"/>
              </w:rPr>
              <w:t xml:space="preserve">Weighted Marks </w:t>
            </w:r>
            <w:r w:rsidRPr="00EE111C">
              <w:rPr>
                <w:rFonts w:ascii="Arial" w:eastAsia="SimHei" w:hAnsi="Arial" w:cs="Arial"/>
                <w:b/>
                <w:bCs/>
                <w:caps/>
                <w:szCs w:val="20"/>
              </w:rPr>
              <w:t>(C) (</w:t>
            </w:r>
            <w:proofErr w:type="spellStart"/>
            <w:r w:rsidRPr="00EE111C">
              <w:rPr>
                <w:rFonts w:ascii="Arial" w:eastAsia="SimHei" w:hAnsi="Arial" w:cs="Arial"/>
                <w:b/>
                <w:bCs/>
                <w:caps/>
                <w:szCs w:val="20"/>
              </w:rPr>
              <w:t>A</w:t>
            </w:r>
            <w:r w:rsidRPr="00EE111C">
              <w:rPr>
                <w:rFonts w:ascii="Arial" w:hAnsi="Arial" w:cs="Arial"/>
                <w:b/>
                <w:bCs/>
                <w:w w:val="105"/>
                <w:szCs w:val="20"/>
                <w:lang w:eastAsia="en-GB"/>
              </w:rPr>
              <w:t>x</w:t>
            </w:r>
            <w:r w:rsidRPr="00EE111C">
              <w:rPr>
                <w:rFonts w:ascii="Arial" w:eastAsia="SimHei" w:hAnsi="Arial" w:cs="Arial"/>
                <w:b/>
                <w:bCs/>
                <w:caps/>
                <w:szCs w:val="20"/>
              </w:rPr>
              <w:t>B</w:t>
            </w:r>
            <w:proofErr w:type="spellEnd"/>
            <w:r w:rsidRPr="00EE111C">
              <w:rPr>
                <w:rFonts w:ascii="Arial" w:eastAsia="SimHei" w:hAnsi="Arial" w:cs="Arial"/>
                <w:b/>
                <w:bCs/>
                <w:caps/>
                <w:szCs w:val="20"/>
              </w:rPr>
              <w:t>=C)</w:t>
            </w:r>
          </w:p>
        </w:tc>
      </w:tr>
      <w:tr w:rsidR="00894471" w:rsidRPr="00EE111C" w14:paraId="6B4C94D8" w14:textId="77777777" w:rsidTr="004F46FE">
        <w:trPr>
          <w:trHeight w:val="398"/>
        </w:trPr>
        <w:tc>
          <w:tcPr>
            <w:tcW w:w="1064" w:type="dxa"/>
            <w:shd w:val="clear" w:color="auto" w:fill="C4BC96" w:themeFill="background2" w:themeFillShade="BF"/>
            <w:vAlign w:val="center"/>
          </w:tcPr>
          <w:p w14:paraId="5D7B4135" w14:textId="77777777" w:rsidR="00894471" w:rsidRPr="00EE111C" w:rsidRDefault="00894471" w:rsidP="004F46FE">
            <w:pPr>
              <w:numPr>
                <w:ilvl w:val="1"/>
                <w:numId w:val="0"/>
              </w:numPr>
              <w:contextualSpacing/>
              <w:jc w:val="center"/>
              <w:rPr>
                <w:rFonts w:ascii="Arial" w:eastAsia="SimHei" w:hAnsi="Arial" w:cs="Arial"/>
                <w:b/>
                <w:bCs/>
                <w:caps/>
                <w:color w:val="auto"/>
                <w:szCs w:val="20"/>
              </w:rPr>
            </w:pPr>
            <w:r w:rsidRPr="00EE111C">
              <w:rPr>
                <w:rFonts w:ascii="Arial" w:eastAsia="SimHei" w:hAnsi="Arial" w:cs="Arial"/>
                <w:b/>
                <w:bCs/>
                <w:caps/>
                <w:color w:val="auto"/>
                <w:szCs w:val="20"/>
              </w:rPr>
              <w:t>PART 1</w:t>
            </w:r>
          </w:p>
        </w:tc>
        <w:tc>
          <w:tcPr>
            <w:tcW w:w="8859" w:type="dxa"/>
            <w:gridSpan w:val="4"/>
            <w:tcBorders>
              <w:right w:val="nil"/>
            </w:tcBorders>
            <w:shd w:val="clear" w:color="auto" w:fill="C4BC96" w:themeFill="background2" w:themeFillShade="BF"/>
            <w:vAlign w:val="center"/>
          </w:tcPr>
          <w:p w14:paraId="5C8166AB" w14:textId="77777777" w:rsidR="00894471" w:rsidRPr="00EE111C" w:rsidRDefault="00894471" w:rsidP="004F46FE">
            <w:pPr>
              <w:numPr>
                <w:ilvl w:val="1"/>
                <w:numId w:val="0"/>
              </w:numPr>
              <w:contextualSpacing/>
              <w:rPr>
                <w:rFonts w:ascii="Arial" w:eastAsia="SimHei" w:hAnsi="Arial" w:cs="Arial"/>
                <w:b/>
                <w:bCs/>
                <w:caps/>
                <w:color w:val="auto"/>
                <w:szCs w:val="20"/>
              </w:rPr>
            </w:pPr>
            <w:r w:rsidRPr="00EE111C">
              <w:rPr>
                <w:rFonts w:ascii="Arial" w:eastAsia="SimHei" w:hAnsi="Arial" w:cs="Arial"/>
                <w:b/>
                <w:bCs/>
                <w:caps/>
                <w:color w:val="auto"/>
                <w:szCs w:val="20"/>
              </w:rPr>
              <w:t>resource &amp; management</w:t>
            </w:r>
          </w:p>
        </w:tc>
      </w:tr>
      <w:tr w:rsidR="00894471" w:rsidRPr="00EE111C" w14:paraId="04302A27" w14:textId="77777777" w:rsidTr="004F46FE">
        <w:trPr>
          <w:trHeight w:val="73"/>
        </w:trPr>
        <w:tc>
          <w:tcPr>
            <w:tcW w:w="1064" w:type="dxa"/>
            <w:vAlign w:val="center"/>
          </w:tcPr>
          <w:p w14:paraId="73F723CB" w14:textId="77777777" w:rsidR="00894471" w:rsidRPr="00EE111C" w:rsidRDefault="00894471" w:rsidP="004F46FE">
            <w:pPr>
              <w:numPr>
                <w:ilvl w:val="1"/>
                <w:numId w:val="0"/>
              </w:numPr>
              <w:contextualSpacing/>
              <w:jc w:val="center"/>
              <w:rPr>
                <w:rFonts w:ascii="Arial" w:eastAsia="SimHei" w:hAnsi="Arial" w:cs="Arial"/>
                <w:caps/>
                <w:color w:val="auto"/>
                <w:szCs w:val="20"/>
              </w:rPr>
            </w:pPr>
            <w:r w:rsidRPr="00EE111C">
              <w:rPr>
                <w:rFonts w:ascii="Arial" w:eastAsia="SimHei" w:hAnsi="Arial" w:cs="Arial"/>
                <w:caps/>
                <w:szCs w:val="20"/>
              </w:rPr>
              <w:t>Q1</w:t>
            </w:r>
          </w:p>
        </w:tc>
        <w:tc>
          <w:tcPr>
            <w:tcW w:w="5032" w:type="dxa"/>
            <w:vAlign w:val="center"/>
          </w:tcPr>
          <w:p w14:paraId="6B25105D" w14:textId="32EF1945" w:rsidR="00894471" w:rsidRPr="00EE111C" w:rsidRDefault="00AB33AF" w:rsidP="004F46FE">
            <w:pPr>
              <w:pStyle w:val="Parasubclause1"/>
              <w:ind w:left="0"/>
              <w:rPr>
                <w:color w:val="auto"/>
              </w:rPr>
            </w:pPr>
            <w:r w:rsidRPr="00EE111C">
              <w:rPr>
                <w:color w:val="auto"/>
              </w:rPr>
              <w:t>[</w:t>
            </w:r>
            <w:r w:rsidR="00894471" w:rsidRPr="00EE111C">
              <w:rPr>
                <w:color w:val="auto"/>
              </w:rPr>
              <w:t xml:space="preserve">Please provide a brief description of two similar size contracts you have successfully delivered in the last 5 years that show experience that is relevant to the requirements e.g. Further or Higher Education, Secondary Schools, NHS or similar type of </w:t>
            </w:r>
            <w:proofErr w:type="spellStart"/>
            <w:r w:rsidR="00894471" w:rsidRPr="00EE111C">
              <w:rPr>
                <w:color w:val="auto"/>
              </w:rPr>
              <w:t>organisations</w:t>
            </w:r>
            <w:proofErr w:type="spellEnd"/>
            <w:r w:rsidR="00894471" w:rsidRPr="00EE111C">
              <w:rPr>
                <w:color w:val="auto"/>
              </w:rPr>
              <w:t xml:space="preserve"> where the work may be similar</w:t>
            </w:r>
            <w:r w:rsidRPr="00EE111C">
              <w:rPr>
                <w:color w:val="auto"/>
              </w:rPr>
              <w:t>.]</w:t>
            </w:r>
          </w:p>
          <w:p w14:paraId="07F1B61A" w14:textId="35DE9E33" w:rsidR="00894471" w:rsidRPr="00EE111C" w:rsidRDefault="00AB33AF" w:rsidP="004F46FE">
            <w:pPr>
              <w:pStyle w:val="Parasubclause1"/>
              <w:ind w:left="0"/>
              <w:jc w:val="left"/>
              <w:rPr>
                <w:color w:val="auto"/>
              </w:rPr>
            </w:pPr>
            <w:r w:rsidRPr="00EE111C">
              <w:rPr>
                <w:color w:val="auto"/>
              </w:rPr>
              <w:t>[</w:t>
            </w:r>
            <w:r w:rsidR="00894471" w:rsidRPr="00EE111C">
              <w:rPr>
                <w:color w:val="auto"/>
              </w:rPr>
              <w:t>Provide details of: -</w:t>
            </w:r>
          </w:p>
          <w:p w14:paraId="5EE3AFBA" w14:textId="77777777" w:rsidR="00894471" w:rsidRPr="00EE111C" w:rsidRDefault="00894471" w:rsidP="004F46FE">
            <w:pPr>
              <w:pStyle w:val="subclause1Bullet2"/>
              <w:numPr>
                <w:ilvl w:val="0"/>
                <w:numId w:val="0"/>
              </w:numPr>
              <w:ind w:left="1077"/>
              <w:jc w:val="left"/>
              <w:rPr>
                <w:color w:val="auto"/>
              </w:rPr>
            </w:pPr>
            <w:r w:rsidRPr="00EE111C">
              <w:rPr>
                <w:color w:val="auto"/>
              </w:rPr>
              <w:t>How these are relevant to the requirement</w:t>
            </w:r>
          </w:p>
          <w:p w14:paraId="5FD959D2" w14:textId="77777777" w:rsidR="00894471" w:rsidRPr="00EE111C" w:rsidRDefault="00894471" w:rsidP="004F46FE">
            <w:pPr>
              <w:pStyle w:val="subclause1Bullet2"/>
              <w:numPr>
                <w:ilvl w:val="0"/>
                <w:numId w:val="0"/>
              </w:numPr>
              <w:ind w:left="1077"/>
              <w:jc w:val="left"/>
              <w:rPr>
                <w:color w:val="auto"/>
              </w:rPr>
            </w:pPr>
            <w:r w:rsidRPr="00EE111C">
              <w:rPr>
                <w:color w:val="auto"/>
              </w:rPr>
              <w:t>How the Contract was delivered successfully: include testimonials</w:t>
            </w:r>
          </w:p>
          <w:p w14:paraId="3057B2AB" w14:textId="77777777" w:rsidR="00894471" w:rsidRPr="00EE111C" w:rsidRDefault="00894471" w:rsidP="004F46FE">
            <w:pPr>
              <w:pStyle w:val="subclause1Bullet2"/>
              <w:numPr>
                <w:ilvl w:val="0"/>
                <w:numId w:val="0"/>
              </w:numPr>
              <w:ind w:left="1434" w:hanging="357"/>
              <w:jc w:val="left"/>
              <w:rPr>
                <w:color w:val="auto"/>
              </w:rPr>
            </w:pPr>
            <w:r w:rsidRPr="00EE111C">
              <w:rPr>
                <w:color w:val="auto"/>
              </w:rPr>
              <w:t>Contract Value</w:t>
            </w:r>
          </w:p>
          <w:p w14:paraId="2F6E1ABF" w14:textId="2118D7FD" w:rsidR="00894471" w:rsidRPr="00EE111C" w:rsidRDefault="00894471" w:rsidP="004F46FE">
            <w:pPr>
              <w:ind w:left="1077"/>
              <w:rPr>
                <w:rFonts w:ascii="Arial" w:eastAsia="SimHei" w:hAnsi="Arial" w:cs="Arial"/>
                <w:caps/>
                <w:color w:val="auto"/>
                <w:szCs w:val="20"/>
              </w:rPr>
            </w:pPr>
            <w:r w:rsidRPr="00EE111C">
              <w:rPr>
                <w:rFonts w:ascii="Arial" w:hAnsi="Arial" w:cs="Arial"/>
                <w:szCs w:val="20"/>
              </w:rPr>
              <w:t>Period over which the Contract was delivered</w:t>
            </w:r>
            <w:r w:rsidR="00AB33AF" w:rsidRPr="00EE111C">
              <w:rPr>
                <w:rFonts w:ascii="Arial" w:hAnsi="Arial" w:cs="Arial"/>
                <w:szCs w:val="20"/>
              </w:rPr>
              <w:t>]</w:t>
            </w:r>
          </w:p>
        </w:tc>
        <w:tc>
          <w:tcPr>
            <w:tcW w:w="1333" w:type="dxa"/>
            <w:vAlign w:val="center"/>
          </w:tcPr>
          <w:p w14:paraId="2E04D5F3" w14:textId="77777777" w:rsidR="00894471" w:rsidRPr="00EE111C" w:rsidRDefault="00894471" w:rsidP="004F46FE">
            <w:pPr>
              <w:contextualSpacing/>
              <w:jc w:val="center"/>
              <w:rPr>
                <w:rFonts w:ascii="Arial" w:eastAsia="SimHei" w:hAnsi="Arial" w:cs="Arial"/>
                <w:caps/>
                <w:color w:val="auto"/>
                <w:szCs w:val="20"/>
              </w:rPr>
            </w:pPr>
            <w:r w:rsidRPr="00EE111C">
              <w:rPr>
                <w:rFonts w:ascii="Arial" w:eastAsia="SimHei" w:hAnsi="Arial" w:cs="Arial"/>
                <w:caps/>
                <w:szCs w:val="20"/>
              </w:rPr>
              <w:t>[20%]</w:t>
            </w:r>
          </w:p>
        </w:tc>
        <w:tc>
          <w:tcPr>
            <w:tcW w:w="1238" w:type="dxa"/>
            <w:vAlign w:val="center"/>
          </w:tcPr>
          <w:p w14:paraId="0A908679" w14:textId="77777777" w:rsidR="00894471" w:rsidRPr="00EE111C" w:rsidRDefault="00894471" w:rsidP="004F46FE">
            <w:pPr>
              <w:numPr>
                <w:ilvl w:val="1"/>
                <w:numId w:val="0"/>
              </w:numPr>
              <w:contextualSpacing/>
              <w:jc w:val="center"/>
              <w:rPr>
                <w:rFonts w:ascii="Arial" w:eastAsia="SimHei" w:hAnsi="Arial" w:cs="Arial"/>
                <w:caps/>
                <w:color w:val="auto"/>
                <w:szCs w:val="20"/>
              </w:rPr>
            </w:pPr>
          </w:p>
        </w:tc>
        <w:tc>
          <w:tcPr>
            <w:tcW w:w="1256" w:type="dxa"/>
            <w:vAlign w:val="center"/>
          </w:tcPr>
          <w:p w14:paraId="65839676" w14:textId="77777777" w:rsidR="00894471" w:rsidRPr="00EE111C" w:rsidRDefault="00894471" w:rsidP="004F46FE">
            <w:pPr>
              <w:numPr>
                <w:ilvl w:val="1"/>
                <w:numId w:val="0"/>
              </w:numPr>
              <w:contextualSpacing/>
              <w:jc w:val="center"/>
              <w:rPr>
                <w:rFonts w:ascii="Arial" w:eastAsia="SimHei" w:hAnsi="Arial" w:cs="Arial"/>
                <w:caps/>
                <w:color w:val="auto"/>
                <w:szCs w:val="20"/>
              </w:rPr>
            </w:pPr>
          </w:p>
        </w:tc>
      </w:tr>
      <w:tr w:rsidR="00894471" w:rsidRPr="00EE111C" w14:paraId="0B89F50C" w14:textId="77777777" w:rsidTr="004F46FE">
        <w:trPr>
          <w:trHeight w:val="343"/>
        </w:trPr>
        <w:tc>
          <w:tcPr>
            <w:tcW w:w="1064" w:type="dxa"/>
            <w:shd w:val="clear" w:color="auto" w:fill="C4BC96" w:themeFill="background2" w:themeFillShade="BF"/>
            <w:vAlign w:val="center"/>
          </w:tcPr>
          <w:p w14:paraId="46CDC241" w14:textId="77777777" w:rsidR="00894471" w:rsidRPr="00EE111C" w:rsidRDefault="00894471" w:rsidP="004F46FE">
            <w:pPr>
              <w:numPr>
                <w:ilvl w:val="1"/>
                <w:numId w:val="0"/>
              </w:numPr>
              <w:contextualSpacing/>
              <w:jc w:val="center"/>
              <w:rPr>
                <w:rFonts w:ascii="Arial" w:eastAsia="SimHei" w:hAnsi="Arial" w:cs="Arial"/>
                <w:b/>
                <w:bCs/>
                <w:caps/>
                <w:color w:val="auto"/>
                <w:szCs w:val="20"/>
              </w:rPr>
            </w:pPr>
            <w:r w:rsidRPr="00EE111C">
              <w:rPr>
                <w:rFonts w:ascii="Arial" w:eastAsia="SimHei" w:hAnsi="Arial" w:cs="Arial"/>
                <w:b/>
                <w:bCs/>
                <w:caps/>
                <w:color w:val="auto"/>
                <w:szCs w:val="20"/>
              </w:rPr>
              <w:t>PART 2</w:t>
            </w:r>
          </w:p>
        </w:tc>
        <w:tc>
          <w:tcPr>
            <w:tcW w:w="8859" w:type="dxa"/>
            <w:gridSpan w:val="4"/>
            <w:tcBorders>
              <w:right w:val="nil"/>
            </w:tcBorders>
            <w:shd w:val="clear" w:color="auto" w:fill="C4BC96" w:themeFill="background2" w:themeFillShade="BF"/>
            <w:vAlign w:val="center"/>
          </w:tcPr>
          <w:p w14:paraId="5EA21845" w14:textId="77777777" w:rsidR="00894471" w:rsidRPr="00EE111C" w:rsidRDefault="00894471" w:rsidP="004F46FE">
            <w:pPr>
              <w:numPr>
                <w:ilvl w:val="1"/>
                <w:numId w:val="0"/>
              </w:numPr>
              <w:contextualSpacing/>
              <w:rPr>
                <w:rFonts w:ascii="Arial" w:eastAsia="SimHei" w:hAnsi="Arial" w:cs="Arial"/>
                <w:b/>
                <w:bCs/>
                <w:caps/>
                <w:color w:val="auto"/>
                <w:szCs w:val="20"/>
              </w:rPr>
            </w:pPr>
            <w:r w:rsidRPr="00EE111C">
              <w:rPr>
                <w:rFonts w:ascii="Arial" w:eastAsia="SimHei" w:hAnsi="Arial" w:cs="Arial"/>
                <w:b/>
                <w:bCs/>
                <w:caps/>
                <w:color w:val="auto"/>
                <w:szCs w:val="20"/>
              </w:rPr>
              <w:t>resource &amp; management</w:t>
            </w:r>
          </w:p>
        </w:tc>
      </w:tr>
      <w:tr w:rsidR="00894471" w:rsidRPr="00EE111C" w14:paraId="07BB6995" w14:textId="77777777" w:rsidTr="004F46FE">
        <w:trPr>
          <w:trHeight w:val="73"/>
        </w:trPr>
        <w:tc>
          <w:tcPr>
            <w:tcW w:w="1064" w:type="dxa"/>
            <w:vAlign w:val="center"/>
          </w:tcPr>
          <w:p w14:paraId="468A8901" w14:textId="77777777" w:rsidR="00894471" w:rsidRPr="00EE111C" w:rsidRDefault="00894471" w:rsidP="004F46FE">
            <w:pPr>
              <w:numPr>
                <w:ilvl w:val="1"/>
                <w:numId w:val="0"/>
              </w:numPr>
              <w:contextualSpacing/>
              <w:jc w:val="center"/>
              <w:rPr>
                <w:rFonts w:ascii="Arial" w:eastAsia="SimHei" w:hAnsi="Arial" w:cs="Arial"/>
                <w:caps/>
                <w:color w:val="auto"/>
                <w:szCs w:val="20"/>
              </w:rPr>
            </w:pPr>
            <w:r w:rsidRPr="00EE111C">
              <w:rPr>
                <w:rFonts w:ascii="Arial" w:eastAsia="SimHei" w:hAnsi="Arial" w:cs="Arial"/>
                <w:caps/>
                <w:szCs w:val="20"/>
              </w:rPr>
              <w:t>Q2</w:t>
            </w:r>
          </w:p>
        </w:tc>
        <w:tc>
          <w:tcPr>
            <w:tcW w:w="5032" w:type="dxa"/>
            <w:vAlign w:val="center"/>
          </w:tcPr>
          <w:p w14:paraId="4BB6B551" w14:textId="5678B4C2" w:rsidR="00894471" w:rsidRPr="00EE111C" w:rsidRDefault="00AB33AF" w:rsidP="004F46FE">
            <w:pPr>
              <w:pStyle w:val="Parasubclause1"/>
              <w:ind w:left="0"/>
              <w:rPr>
                <w:b/>
                <w:bCs/>
                <w:color w:val="auto"/>
              </w:rPr>
            </w:pPr>
            <w:r w:rsidRPr="00EE111C">
              <w:rPr>
                <w:color w:val="auto"/>
              </w:rPr>
              <w:t>[</w:t>
            </w:r>
            <w:r w:rsidR="00894471" w:rsidRPr="00EE111C">
              <w:rPr>
                <w:color w:val="auto"/>
              </w:rPr>
              <w:t xml:space="preserve">Provide details of the team to deliver this work service to the College including roles and experiences </w:t>
            </w:r>
          </w:p>
          <w:p w14:paraId="3B56C8FB" w14:textId="5817AE3E" w:rsidR="00894471" w:rsidRPr="00EE111C" w:rsidRDefault="00894471" w:rsidP="004F46FE">
            <w:pPr>
              <w:pStyle w:val="Parasubclause1"/>
              <w:ind w:left="0"/>
              <w:rPr>
                <w:color w:val="auto"/>
              </w:rPr>
            </w:pPr>
            <w:r w:rsidRPr="00EE111C">
              <w:rPr>
                <w:color w:val="auto"/>
              </w:rPr>
              <w:t>CV and roles of Project Manager, site manager and key staff and their experience of working in a live college environment</w:t>
            </w:r>
            <w:r w:rsidR="00AB33AF" w:rsidRPr="00EE111C">
              <w:rPr>
                <w:color w:val="auto"/>
              </w:rPr>
              <w:t>.]</w:t>
            </w:r>
          </w:p>
          <w:p w14:paraId="0B6915E3" w14:textId="77777777" w:rsidR="00894471" w:rsidRPr="00EE111C" w:rsidRDefault="00894471" w:rsidP="004F46FE">
            <w:pPr>
              <w:rPr>
                <w:rFonts w:ascii="Arial" w:eastAsia="SimHei" w:hAnsi="Arial" w:cs="Arial"/>
                <w:caps/>
                <w:color w:val="auto"/>
                <w:szCs w:val="20"/>
              </w:rPr>
            </w:pPr>
          </w:p>
        </w:tc>
        <w:tc>
          <w:tcPr>
            <w:tcW w:w="1333" w:type="dxa"/>
            <w:vAlign w:val="center"/>
          </w:tcPr>
          <w:p w14:paraId="59794AA1" w14:textId="77777777" w:rsidR="00894471" w:rsidRPr="00EE111C" w:rsidRDefault="00894471" w:rsidP="004F46FE">
            <w:pPr>
              <w:contextualSpacing/>
              <w:jc w:val="center"/>
              <w:rPr>
                <w:rFonts w:ascii="Arial" w:eastAsia="SimHei" w:hAnsi="Arial" w:cs="Arial"/>
                <w:caps/>
                <w:color w:val="auto"/>
                <w:szCs w:val="20"/>
              </w:rPr>
            </w:pPr>
            <w:r w:rsidRPr="00EE111C">
              <w:rPr>
                <w:rFonts w:ascii="Arial" w:eastAsia="SimHei" w:hAnsi="Arial" w:cs="Arial"/>
                <w:caps/>
                <w:szCs w:val="20"/>
              </w:rPr>
              <w:t>[20%]</w:t>
            </w:r>
          </w:p>
        </w:tc>
        <w:tc>
          <w:tcPr>
            <w:tcW w:w="1238" w:type="dxa"/>
            <w:vAlign w:val="center"/>
          </w:tcPr>
          <w:p w14:paraId="1D30DFED" w14:textId="77777777" w:rsidR="00894471" w:rsidRPr="00EE111C" w:rsidRDefault="00894471" w:rsidP="004F46FE">
            <w:pPr>
              <w:numPr>
                <w:ilvl w:val="1"/>
                <w:numId w:val="0"/>
              </w:numPr>
              <w:contextualSpacing/>
              <w:jc w:val="center"/>
              <w:rPr>
                <w:rFonts w:ascii="Arial" w:eastAsia="SimHei" w:hAnsi="Arial" w:cs="Arial"/>
                <w:caps/>
                <w:color w:val="auto"/>
                <w:szCs w:val="20"/>
              </w:rPr>
            </w:pPr>
          </w:p>
        </w:tc>
        <w:tc>
          <w:tcPr>
            <w:tcW w:w="1256" w:type="dxa"/>
            <w:vAlign w:val="center"/>
          </w:tcPr>
          <w:p w14:paraId="770B4DFA" w14:textId="77777777" w:rsidR="00894471" w:rsidRPr="00EE111C" w:rsidRDefault="00894471" w:rsidP="004F46FE">
            <w:pPr>
              <w:numPr>
                <w:ilvl w:val="1"/>
                <w:numId w:val="0"/>
              </w:numPr>
              <w:contextualSpacing/>
              <w:jc w:val="center"/>
              <w:rPr>
                <w:rFonts w:ascii="Arial" w:eastAsia="SimHei" w:hAnsi="Arial" w:cs="Arial"/>
                <w:caps/>
                <w:color w:val="auto"/>
                <w:szCs w:val="20"/>
              </w:rPr>
            </w:pPr>
          </w:p>
        </w:tc>
      </w:tr>
      <w:tr w:rsidR="00894471" w:rsidRPr="00EE111C" w14:paraId="5BF0942B" w14:textId="77777777" w:rsidTr="004F46FE">
        <w:trPr>
          <w:trHeight w:val="398"/>
        </w:trPr>
        <w:tc>
          <w:tcPr>
            <w:tcW w:w="1064" w:type="dxa"/>
            <w:shd w:val="clear" w:color="auto" w:fill="C4BC96" w:themeFill="background2" w:themeFillShade="BF"/>
            <w:vAlign w:val="center"/>
          </w:tcPr>
          <w:p w14:paraId="3BCE330D" w14:textId="77777777" w:rsidR="00894471" w:rsidRPr="00EE111C" w:rsidRDefault="00894471" w:rsidP="004F46FE">
            <w:pPr>
              <w:numPr>
                <w:ilvl w:val="1"/>
                <w:numId w:val="0"/>
              </w:numPr>
              <w:contextualSpacing/>
              <w:jc w:val="center"/>
              <w:rPr>
                <w:rFonts w:ascii="Arial" w:eastAsia="SimHei" w:hAnsi="Arial" w:cs="Arial"/>
                <w:b/>
                <w:bCs/>
                <w:caps/>
                <w:color w:val="auto"/>
                <w:szCs w:val="20"/>
              </w:rPr>
            </w:pPr>
            <w:r w:rsidRPr="00EE111C">
              <w:rPr>
                <w:rFonts w:ascii="Arial" w:eastAsia="SimHei" w:hAnsi="Arial" w:cs="Arial"/>
                <w:b/>
                <w:bCs/>
                <w:caps/>
                <w:color w:val="auto"/>
                <w:szCs w:val="20"/>
              </w:rPr>
              <w:t>PART 3</w:t>
            </w:r>
          </w:p>
        </w:tc>
        <w:tc>
          <w:tcPr>
            <w:tcW w:w="8859" w:type="dxa"/>
            <w:gridSpan w:val="4"/>
            <w:tcBorders>
              <w:right w:val="nil"/>
            </w:tcBorders>
            <w:shd w:val="clear" w:color="auto" w:fill="C4BC96" w:themeFill="background2" w:themeFillShade="BF"/>
            <w:vAlign w:val="center"/>
          </w:tcPr>
          <w:p w14:paraId="70893CDB" w14:textId="77777777" w:rsidR="00894471" w:rsidRPr="00EE111C" w:rsidRDefault="00894471" w:rsidP="004F46FE">
            <w:pPr>
              <w:numPr>
                <w:ilvl w:val="1"/>
                <w:numId w:val="0"/>
              </w:numPr>
              <w:contextualSpacing/>
              <w:rPr>
                <w:rFonts w:ascii="Arial" w:eastAsia="SimHei" w:hAnsi="Arial" w:cs="Arial"/>
                <w:b/>
                <w:bCs/>
                <w:caps/>
                <w:color w:val="auto"/>
                <w:szCs w:val="20"/>
              </w:rPr>
            </w:pPr>
            <w:r w:rsidRPr="00EE111C">
              <w:rPr>
                <w:rFonts w:ascii="Arial" w:eastAsia="SimHei" w:hAnsi="Arial" w:cs="Arial"/>
                <w:b/>
                <w:bCs/>
                <w:caps/>
                <w:color w:val="auto"/>
                <w:szCs w:val="20"/>
              </w:rPr>
              <w:t>programme</w:t>
            </w:r>
          </w:p>
        </w:tc>
      </w:tr>
      <w:tr w:rsidR="00894471" w:rsidRPr="00EE111C" w14:paraId="351A9566" w14:textId="77777777" w:rsidTr="004F46FE">
        <w:trPr>
          <w:trHeight w:val="337"/>
        </w:trPr>
        <w:tc>
          <w:tcPr>
            <w:tcW w:w="1064" w:type="dxa"/>
            <w:vAlign w:val="center"/>
          </w:tcPr>
          <w:p w14:paraId="37712424" w14:textId="77777777" w:rsidR="00894471" w:rsidRPr="00EE111C" w:rsidRDefault="00894471" w:rsidP="004F46FE">
            <w:pPr>
              <w:numPr>
                <w:ilvl w:val="1"/>
                <w:numId w:val="0"/>
              </w:numPr>
              <w:contextualSpacing/>
              <w:jc w:val="center"/>
              <w:rPr>
                <w:rFonts w:ascii="Arial" w:eastAsia="SimHei" w:hAnsi="Arial" w:cs="Arial"/>
                <w:caps/>
                <w:color w:val="auto"/>
                <w:szCs w:val="20"/>
              </w:rPr>
            </w:pPr>
            <w:r w:rsidRPr="00EE111C">
              <w:rPr>
                <w:rFonts w:ascii="Arial" w:eastAsia="SimHei" w:hAnsi="Arial" w:cs="Arial"/>
                <w:caps/>
                <w:szCs w:val="20"/>
              </w:rPr>
              <w:lastRenderedPageBreak/>
              <w:t>Q3</w:t>
            </w:r>
          </w:p>
        </w:tc>
        <w:tc>
          <w:tcPr>
            <w:tcW w:w="5032" w:type="dxa"/>
            <w:vAlign w:val="center"/>
          </w:tcPr>
          <w:p w14:paraId="0A844FD9" w14:textId="50DCFA65" w:rsidR="00894471" w:rsidRPr="00EE111C" w:rsidRDefault="00AB33AF" w:rsidP="004F46FE">
            <w:pPr>
              <w:pStyle w:val="Parasubclause1"/>
              <w:ind w:left="0"/>
              <w:rPr>
                <w:color w:val="auto"/>
              </w:rPr>
            </w:pPr>
            <w:r w:rsidRPr="00EE111C">
              <w:rPr>
                <w:color w:val="auto"/>
              </w:rPr>
              <w:t>[</w:t>
            </w:r>
            <w:r w:rsidR="00894471" w:rsidRPr="00EE111C">
              <w:rPr>
                <w:color w:val="auto"/>
              </w:rPr>
              <w:t xml:space="preserve">Please provide </w:t>
            </w:r>
            <w:r w:rsidR="001C1D09" w:rsidRPr="00EE111C">
              <w:rPr>
                <w:color w:val="auto"/>
              </w:rPr>
              <w:t xml:space="preserve">examples of </w:t>
            </w:r>
            <w:r w:rsidR="00894471" w:rsidRPr="00EE111C">
              <w:rPr>
                <w:color w:val="auto"/>
              </w:rPr>
              <w:t xml:space="preserve"> deliver</w:t>
            </w:r>
            <w:r w:rsidR="00C21817" w:rsidRPr="00EE111C">
              <w:rPr>
                <w:color w:val="auto"/>
              </w:rPr>
              <w:t>ing</w:t>
            </w:r>
            <w:r w:rsidR="00894471" w:rsidRPr="00EE111C">
              <w:rPr>
                <w:color w:val="auto"/>
              </w:rPr>
              <w:t xml:space="preserve"> works within </w:t>
            </w:r>
            <w:r w:rsidR="00C21817" w:rsidRPr="00EE111C">
              <w:rPr>
                <w:color w:val="auto"/>
              </w:rPr>
              <w:t xml:space="preserve">a tight </w:t>
            </w:r>
            <w:proofErr w:type="spellStart"/>
            <w:r w:rsidR="00C21817" w:rsidRPr="00EE111C">
              <w:rPr>
                <w:color w:val="auto"/>
              </w:rPr>
              <w:t>programme</w:t>
            </w:r>
            <w:proofErr w:type="spellEnd"/>
            <w:r w:rsidR="00EE443D" w:rsidRPr="00EE111C">
              <w:rPr>
                <w:color w:val="auto"/>
              </w:rPr>
              <w:t xml:space="preserve"> for other clients, including </w:t>
            </w:r>
            <w:r w:rsidR="00894471" w:rsidRPr="00EE111C">
              <w:rPr>
                <w:color w:val="auto"/>
              </w:rPr>
              <w:t>contract period illustrating design sign off, lead in periods and on site construction activities to completion</w:t>
            </w:r>
            <w:r w:rsidRPr="00EE111C">
              <w:rPr>
                <w:color w:val="auto"/>
              </w:rPr>
              <w:t>.]</w:t>
            </w:r>
          </w:p>
          <w:p w14:paraId="10F7F859" w14:textId="77777777" w:rsidR="00894471" w:rsidRPr="00EE111C" w:rsidRDefault="00894471" w:rsidP="004F46FE">
            <w:pPr>
              <w:rPr>
                <w:rFonts w:ascii="Arial" w:eastAsia="SimHei" w:hAnsi="Arial" w:cs="Arial"/>
                <w:caps/>
                <w:color w:val="auto"/>
                <w:szCs w:val="20"/>
              </w:rPr>
            </w:pPr>
          </w:p>
        </w:tc>
        <w:tc>
          <w:tcPr>
            <w:tcW w:w="1333" w:type="dxa"/>
            <w:vAlign w:val="center"/>
          </w:tcPr>
          <w:p w14:paraId="13FF30DF" w14:textId="77777777" w:rsidR="00894471" w:rsidRPr="00EE111C" w:rsidRDefault="00894471" w:rsidP="004F46FE">
            <w:pPr>
              <w:contextualSpacing/>
              <w:jc w:val="center"/>
              <w:rPr>
                <w:rFonts w:ascii="Arial" w:eastAsia="SimHei" w:hAnsi="Arial" w:cs="Arial"/>
                <w:caps/>
                <w:color w:val="auto"/>
                <w:szCs w:val="20"/>
              </w:rPr>
            </w:pPr>
            <w:r w:rsidRPr="00EE111C">
              <w:rPr>
                <w:rFonts w:ascii="Arial" w:eastAsia="SimHei" w:hAnsi="Arial" w:cs="Arial"/>
                <w:caps/>
                <w:szCs w:val="20"/>
              </w:rPr>
              <w:t>[20%]</w:t>
            </w:r>
          </w:p>
        </w:tc>
        <w:tc>
          <w:tcPr>
            <w:tcW w:w="1238" w:type="dxa"/>
            <w:vAlign w:val="center"/>
          </w:tcPr>
          <w:p w14:paraId="400299E0" w14:textId="77777777" w:rsidR="00894471" w:rsidRPr="00EE111C" w:rsidRDefault="00894471" w:rsidP="004F46FE">
            <w:pPr>
              <w:numPr>
                <w:ilvl w:val="1"/>
                <w:numId w:val="0"/>
              </w:numPr>
              <w:contextualSpacing/>
              <w:jc w:val="center"/>
              <w:rPr>
                <w:rFonts w:ascii="Arial" w:eastAsia="SimHei" w:hAnsi="Arial" w:cs="Arial"/>
                <w:caps/>
                <w:color w:val="auto"/>
                <w:szCs w:val="20"/>
              </w:rPr>
            </w:pPr>
          </w:p>
        </w:tc>
        <w:tc>
          <w:tcPr>
            <w:tcW w:w="1256" w:type="dxa"/>
            <w:vAlign w:val="center"/>
          </w:tcPr>
          <w:p w14:paraId="3ED60F6D" w14:textId="77777777" w:rsidR="00894471" w:rsidRPr="00EE111C" w:rsidRDefault="00894471" w:rsidP="004F46FE">
            <w:pPr>
              <w:numPr>
                <w:ilvl w:val="1"/>
                <w:numId w:val="0"/>
              </w:numPr>
              <w:contextualSpacing/>
              <w:jc w:val="center"/>
              <w:rPr>
                <w:rFonts w:ascii="Arial" w:eastAsia="SimHei" w:hAnsi="Arial" w:cs="Arial"/>
                <w:caps/>
                <w:color w:val="auto"/>
                <w:szCs w:val="20"/>
              </w:rPr>
            </w:pPr>
          </w:p>
        </w:tc>
      </w:tr>
      <w:tr w:rsidR="00894471" w:rsidRPr="00EE111C" w14:paraId="130B6482" w14:textId="77777777" w:rsidTr="004F46FE">
        <w:trPr>
          <w:trHeight w:val="473"/>
        </w:trPr>
        <w:tc>
          <w:tcPr>
            <w:tcW w:w="1064" w:type="dxa"/>
            <w:shd w:val="clear" w:color="auto" w:fill="C4BC96" w:themeFill="background2" w:themeFillShade="BF"/>
            <w:vAlign w:val="center"/>
          </w:tcPr>
          <w:p w14:paraId="57E24ADC" w14:textId="77777777" w:rsidR="00894471" w:rsidRPr="00EE111C" w:rsidRDefault="00894471" w:rsidP="004F46FE">
            <w:pPr>
              <w:numPr>
                <w:ilvl w:val="1"/>
                <w:numId w:val="0"/>
              </w:numPr>
              <w:contextualSpacing/>
              <w:jc w:val="center"/>
              <w:rPr>
                <w:rFonts w:ascii="Arial" w:eastAsia="SimHei" w:hAnsi="Arial" w:cs="Arial"/>
                <w:caps/>
                <w:color w:val="auto"/>
                <w:szCs w:val="20"/>
              </w:rPr>
            </w:pPr>
            <w:r w:rsidRPr="00EE111C">
              <w:rPr>
                <w:rFonts w:ascii="Arial" w:eastAsia="SimHei" w:hAnsi="Arial" w:cs="Arial"/>
                <w:b/>
                <w:bCs/>
                <w:caps/>
                <w:color w:val="auto"/>
                <w:szCs w:val="20"/>
              </w:rPr>
              <w:t>PART 4</w:t>
            </w:r>
          </w:p>
        </w:tc>
        <w:tc>
          <w:tcPr>
            <w:tcW w:w="8859" w:type="dxa"/>
            <w:gridSpan w:val="4"/>
            <w:shd w:val="clear" w:color="auto" w:fill="C4BC96" w:themeFill="background2" w:themeFillShade="BF"/>
            <w:vAlign w:val="center"/>
          </w:tcPr>
          <w:p w14:paraId="1F5ECDD7" w14:textId="77777777" w:rsidR="00894471" w:rsidRPr="00EE111C" w:rsidRDefault="00894471" w:rsidP="004F46FE">
            <w:pPr>
              <w:numPr>
                <w:ilvl w:val="1"/>
                <w:numId w:val="0"/>
              </w:numPr>
              <w:contextualSpacing/>
              <w:rPr>
                <w:rFonts w:ascii="Arial" w:eastAsia="SimHei" w:hAnsi="Arial" w:cs="Arial"/>
                <w:caps/>
                <w:color w:val="auto"/>
                <w:szCs w:val="20"/>
              </w:rPr>
            </w:pPr>
            <w:r w:rsidRPr="00EE111C">
              <w:rPr>
                <w:rFonts w:ascii="Arial" w:eastAsia="SimHei" w:hAnsi="Arial" w:cs="Arial"/>
                <w:b/>
                <w:bCs/>
                <w:caps/>
                <w:color w:val="auto"/>
                <w:szCs w:val="20"/>
              </w:rPr>
              <w:t>health &amp; safety</w:t>
            </w:r>
          </w:p>
        </w:tc>
      </w:tr>
      <w:tr w:rsidR="00894471" w:rsidRPr="00DF41D7" w14:paraId="4C02EA62" w14:textId="77777777" w:rsidTr="004F46FE">
        <w:trPr>
          <w:trHeight w:val="267"/>
        </w:trPr>
        <w:tc>
          <w:tcPr>
            <w:tcW w:w="1064" w:type="dxa"/>
            <w:vAlign w:val="center"/>
          </w:tcPr>
          <w:p w14:paraId="371B99EE" w14:textId="77777777" w:rsidR="00894471" w:rsidRPr="00EE111C" w:rsidRDefault="00894471" w:rsidP="004F46FE">
            <w:pPr>
              <w:numPr>
                <w:ilvl w:val="1"/>
                <w:numId w:val="0"/>
              </w:numPr>
              <w:contextualSpacing/>
              <w:jc w:val="center"/>
              <w:rPr>
                <w:rFonts w:ascii="Arial" w:eastAsia="SimHei" w:hAnsi="Arial" w:cs="Arial"/>
                <w:caps/>
                <w:color w:val="auto"/>
                <w:szCs w:val="20"/>
              </w:rPr>
            </w:pPr>
            <w:r w:rsidRPr="00EE111C">
              <w:rPr>
                <w:rFonts w:ascii="Arial" w:eastAsia="SimHei" w:hAnsi="Arial" w:cs="Arial"/>
                <w:caps/>
                <w:szCs w:val="20"/>
              </w:rPr>
              <w:t>Q4</w:t>
            </w:r>
          </w:p>
        </w:tc>
        <w:tc>
          <w:tcPr>
            <w:tcW w:w="5032" w:type="dxa"/>
            <w:vAlign w:val="center"/>
          </w:tcPr>
          <w:p w14:paraId="38ED1CF9" w14:textId="1A952C69" w:rsidR="00894471" w:rsidRPr="00EE111C" w:rsidRDefault="00AB33AF" w:rsidP="004F46FE">
            <w:pPr>
              <w:pStyle w:val="Parasubclause1"/>
              <w:ind w:left="0"/>
              <w:rPr>
                <w:color w:val="auto"/>
              </w:rPr>
            </w:pPr>
            <w:r w:rsidRPr="00EE111C">
              <w:rPr>
                <w:color w:val="auto"/>
              </w:rPr>
              <w:t>[</w:t>
            </w:r>
            <w:r w:rsidR="00894471" w:rsidRPr="00EE111C">
              <w:rPr>
                <w:color w:val="auto"/>
              </w:rPr>
              <w:t>Please describe how Health and Safety is managed within you company, to cover all the aspects required by this Tender and all associated Health &amp; Safety Legislation.  Please provide copies of any documentation you may have which provides evidence of the Health &amp; Safety Management employed within the company.  It is anticipated that the supplier will have ISO45001 or is working towards achieving this. This will be a ‘live’ college environment and the college needs comfort that the works will be segregated and carried out safely from students, staff and visitors</w:t>
            </w:r>
            <w:r w:rsidRPr="00EE111C">
              <w:rPr>
                <w:color w:val="auto"/>
              </w:rPr>
              <w:t>.]</w:t>
            </w:r>
          </w:p>
        </w:tc>
        <w:tc>
          <w:tcPr>
            <w:tcW w:w="1333" w:type="dxa"/>
            <w:vAlign w:val="center"/>
          </w:tcPr>
          <w:p w14:paraId="7B7D4A4E" w14:textId="77777777" w:rsidR="00894471" w:rsidRPr="00150692" w:rsidRDefault="00894471" w:rsidP="004F46FE">
            <w:pPr>
              <w:contextualSpacing/>
              <w:jc w:val="center"/>
              <w:rPr>
                <w:rFonts w:ascii="Arial" w:eastAsia="SimHei" w:hAnsi="Arial" w:cs="Arial"/>
                <w:caps/>
                <w:color w:val="auto"/>
                <w:szCs w:val="20"/>
              </w:rPr>
            </w:pPr>
            <w:r w:rsidRPr="00EE111C">
              <w:rPr>
                <w:rFonts w:ascii="Arial" w:eastAsia="SimHei" w:hAnsi="Arial" w:cs="Arial"/>
                <w:caps/>
                <w:szCs w:val="20"/>
              </w:rPr>
              <w:t>[10%]</w:t>
            </w:r>
          </w:p>
        </w:tc>
        <w:tc>
          <w:tcPr>
            <w:tcW w:w="1238" w:type="dxa"/>
            <w:vAlign w:val="center"/>
          </w:tcPr>
          <w:p w14:paraId="109887FA" w14:textId="77777777" w:rsidR="00894471" w:rsidRPr="00150692" w:rsidRDefault="00894471" w:rsidP="004F46FE">
            <w:pPr>
              <w:numPr>
                <w:ilvl w:val="1"/>
                <w:numId w:val="0"/>
              </w:numPr>
              <w:contextualSpacing/>
              <w:jc w:val="center"/>
              <w:rPr>
                <w:rFonts w:ascii="Arial" w:eastAsia="SimHei" w:hAnsi="Arial" w:cs="Arial"/>
                <w:caps/>
                <w:color w:val="auto"/>
                <w:szCs w:val="20"/>
              </w:rPr>
            </w:pPr>
          </w:p>
        </w:tc>
        <w:tc>
          <w:tcPr>
            <w:tcW w:w="1256" w:type="dxa"/>
            <w:vAlign w:val="center"/>
          </w:tcPr>
          <w:p w14:paraId="46A53C30" w14:textId="77777777" w:rsidR="00894471" w:rsidRPr="00150692" w:rsidRDefault="00894471" w:rsidP="004F46FE">
            <w:pPr>
              <w:numPr>
                <w:ilvl w:val="1"/>
                <w:numId w:val="0"/>
              </w:numPr>
              <w:contextualSpacing/>
              <w:jc w:val="center"/>
              <w:rPr>
                <w:rFonts w:ascii="Arial" w:eastAsia="SimHei" w:hAnsi="Arial" w:cs="Arial"/>
                <w:caps/>
                <w:color w:val="auto"/>
                <w:szCs w:val="20"/>
              </w:rPr>
            </w:pPr>
          </w:p>
        </w:tc>
      </w:tr>
    </w:tbl>
    <w:p w14:paraId="04022E54" w14:textId="77777777" w:rsidR="00970730" w:rsidRPr="00974EC2" w:rsidRDefault="00970730" w:rsidP="00580A65">
      <w:pPr>
        <w:pStyle w:val="Parasubclause1"/>
      </w:pPr>
    </w:p>
    <w:p w14:paraId="6C250F7A" w14:textId="03C35AD0" w:rsidR="00CC52C0" w:rsidRPr="00974EC2" w:rsidRDefault="00F751F1">
      <w:pPr>
        <w:pStyle w:val="Untitledsubclause1"/>
        <w:rPr>
          <w:b/>
        </w:rPr>
      </w:pPr>
      <w:bookmarkStart w:id="34" w:name="a147495"/>
      <w:r>
        <w:rPr>
          <w:b/>
        </w:rPr>
        <w:t>Assessment</w:t>
      </w:r>
      <w:r w:rsidR="00A01C2C" w:rsidRPr="00974EC2">
        <w:rPr>
          <w:b/>
        </w:rPr>
        <w:t xml:space="preserve"> process</w:t>
      </w:r>
      <w:bookmarkEnd w:id="34"/>
    </w:p>
    <w:p w14:paraId="64CFB4ED" w14:textId="14FD9814" w:rsidR="00CC52C0" w:rsidRPr="00974EC2" w:rsidRDefault="00A01C2C">
      <w:pPr>
        <w:pStyle w:val="Parasubclause1"/>
        <w:rPr>
          <w:b/>
        </w:rPr>
      </w:pPr>
      <w:r w:rsidRPr="00974EC2">
        <w:rPr>
          <w:b/>
        </w:rPr>
        <w:t xml:space="preserve">Technical or quality </w:t>
      </w:r>
      <w:r w:rsidR="00F751F1">
        <w:rPr>
          <w:b/>
        </w:rPr>
        <w:t>assessment</w:t>
      </w:r>
    </w:p>
    <w:p w14:paraId="0F5CE0CF" w14:textId="6104C80A" w:rsidR="00CC52C0" w:rsidRPr="00974EC2" w:rsidRDefault="00A01C2C">
      <w:pPr>
        <w:pStyle w:val="Parasubclause1"/>
      </w:pPr>
      <w:r w:rsidRPr="00974EC2">
        <w:t xml:space="preserve">The technical </w:t>
      </w:r>
      <w:r w:rsidR="00F751F1">
        <w:t>assessment</w:t>
      </w:r>
      <w:r w:rsidRPr="00974EC2">
        <w:t xml:space="preserve"> will be scored in accordance with the table below.</w:t>
      </w:r>
    </w:p>
    <w:p w14:paraId="79293093" w14:textId="77777777" w:rsidR="00CC52C0" w:rsidRPr="00974EC2" w:rsidRDefault="00A01C2C">
      <w:pPr>
        <w:pStyle w:val="Parasubclause1"/>
        <w:rPr>
          <w:b/>
        </w:rPr>
      </w:pPr>
      <w:r w:rsidRPr="00974EC2">
        <w:rPr>
          <w:b/>
        </w:rPr>
        <w:t>Scoring matrix for the technical and quality criteria</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401"/>
        <w:gridCol w:w="7939"/>
      </w:tblGrid>
      <w:tr w:rsidR="00492069" w:rsidRPr="00974EC2" w14:paraId="5DF3AF88" w14:textId="77777777">
        <w:tc>
          <w:tcPr>
            <w:tcW w:w="750" w:type="pct"/>
            <w:tcBorders>
              <w:top w:val="single" w:sz="8" w:space="0" w:color="000000"/>
              <w:left w:val="single" w:sz="8" w:space="0" w:color="000000"/>
              <w:bottom w:val="single" w:sz="8" w:space="0" w:color="000000"/>
              <w:right w:val="single" w:sz="8" w:space="0" w:color="000000"/>
            </w:tcBorders>
          </w:tcPr>
          <w:p w14:paraId="3C396D44" w14:textId="77777777" w:rsidR="00CC52C0" w:rsidRPr="00974EC2" w:rsidRDefault="00A01C2C">
            <w:pPr>
              <w:pStyle w:val="Paragraph"/>
              <w:jc w:val="left"/>
            </w:pPr>
            <w:r w:rsidRPr="00974EC2">
              <w:t>0</w:t>
            </w:r>
          </w:p>
        </w:tc>
        <w:tc>
          <w:tcPr>
            <w:tcW w:w="4250" w:type="pct"/>
            <w:tcBorders>
              <w:top w:val="single" w:sz="8" w:space="0" w:color="000000"/>
              <w:left w:val="single" w:sz="8" w:space="0" w:color="000000"/>
              <w:bottom w:val="single" w:sz="8" w:space="0" w:color="000000"/>
              <w:right w:val="single" w:sz="8" w:space="0" w:color="000000"/>
            </w:tcBorders>
          </w:tcPr>
          <w:p w14:paraId="022198E8" w14:textId="77777777" w:rsidR="00CC52C0" w:rsidRPr="00974EC2" w:rsidRDefault="00A01C2C">
            <w:pPr>
              <w:pStyle w:val="Paragraph"/>
              <w:jc w:val="left"/>
            </w:pPr>
            <w:r w:rsidRPr="00974EC2">
              <w:t>Completely fails to meet required standard or does not provide a proposal.</w:t>
            </w:r>
          </w:p>
        </w:tc>
      </w:tr>
      <w:tr w:rsidR="00492069" w:rsidRPr="00974EC2" w14:paraId="7BB2C213" w14:textId="77777777">
        <w:tc>
          <w:tcPr>
            <w:tcW w:w="750" w:type="pct"/>
            <w:tcBorders>
              <w:top w:val="single" w:sz="8" w:space="0" w:color="000000"/>
              <w:left w:val="single" w:sz="8" w:space="0" w:color="000000"/>
              <w:bottom w:val="single" w:sz="8" w:space="0" w:color="000000"/>
              <w:right w:val="single" w:sz="8" w:space="0" w:color="000000"/>
            </w:tcBorders>
          </w:tcPr>
          <w:p w14:paraId="68A1D789" w14:textId="77777777" w:rsidR="00CC52C0" w:rsidRPr="00974EC2" w:rsidRDefault="00A01C2C">
            <w:pPr>
              <w:pStyle w:val="Paragraph"/>
              <w:jc w:val="left"/>
            </w:pPr>
            <w:r w:rsidRPr="00974EC2">
              <w:lastRenderedPageBreak/>
              <w:t>1</w:t>
            </w:r>
          </w:p>
        </w:tc>
        <w:tc>
          <w:tcPr>
            <w:tcW w:w="4250" w:type="pct"/>
            <w:tcBorders>
              <w:top w:val="single" w:sz="8" w:space="0" w:color="000000"/>
              <w:left w:val="single" w:sz="8" w:space="0" w:color="000000"/>
              <w:bottom w:val="single" w:sz="8" w:space="0" w:color="000000"/>
              <w:right w:val="single" w:sz="8" w:space="0" w:color="000000"/>
            </w:tcBorders>
          </w:tcPr>
          <w:p w14:paraId="23D69F87" w14:textId="77777777" w:rsidR="00CC52C0" w:rsidRPr="00974EC2" w:rsidRDefault="00A01C2C">
            <w:pPr>
              <w:pStyle w:val="Paragraph"/>
              <w:jc w:val="left"/>
            </w:pPr>
            <w:r w:rsidRPr="00974EC2">
              <w:t>Proposal significantly fails to meet the standards required, contains significant shortcomings or is inconsistent with other proposals.</w:t>
            </w:r>
          </w:p>
        </w:tc>
      </w:tr>
      <w:tr w:rsidR="00492069" w:rsidRPr="00974EC2" w14:paraId="40DDB7E1" w14:textId="77777777">
        <w:tc>
          <w:tcPr>
            <w:tcW w:w="750" w:type="pct"/>
            <w:tcBorders>
              <w:top w:val="single" w:sz="8" w:space="0" w:color="000000"/>
              <w:left w:val="single" w:sz="8" w:space="0" w:color="000000"/>
              <w:bottom w:val="single" w:sz="8" w:space="0" w:color="000000"/>
              <w:right w:val="single" w:sz="8" w:space="0" w:color="000000"/>
            </w:tcBorders>
          </w:tcPr>
          <w:p w14:paraId="13CC5069" w14:textId="77777777" w:rsidR="00CC52C0" w:rsidRPr="00974EC2" w:rsidRDefault="00A01C2C">
            <w:pPr>
              <w:pStyle w:val="Paragraph"/>
              <w:jc w:val="left"/>
            </w:pPr>
            <w:r w:rsidRPr="00974EC2">
              <w:t>2</w:t>
            </w:r>
          </w:p>
        </w:tc>
        <w:tc>
          <w:tcPr>
            <w:tcW w:w="4250" w:type="pct"/>
            <w:tcBorders>
              <w:top w:val="single" w:sz="8" w:space="0" w:color="000000"/>
              <w:left w:val="single" w:sz="8" w:space="0" w:color="000000"/>
              <w:bottom w:val="single" w:sz="8" w:space="0" w:color="000000"/>
              <w:right w:val="single" w:sz="8" w:space="0" w:color="000000"/>
            </w:tcBorders>
          </w:tcPr>
          <w:p w14:paraId="20358937" w14:textId="77777777" w:rsidR="00CC52C0" w:rsidRPr="00974EC2" w:rsidRDefault="00A01C2C">
            <w:pPr>
              <w:pStyle w:val="Paragraph"/>
              <w:jc w:val="left"/>
            </w:pPr>
            <w:r w:rsidRPr="00974EC2">
              <w:t>Proposal falls short of achieving expected standard in a number of identifiable respects.</w:t>
            </w:r>
          </w:p>
        </w:tc>
      </w:tr>
      <w:tr w:rsidR="00492069" w:rsidRPr="00974EC2" w14:paraId="6E2627BC" w14:textId="77777777">
        <w:tc>
          <w:tcPr>
            <w:tcW w:w="750" w:type="pct"/>
            <w:tcBorders>
              <w:top w:val="single" w:sz="8" w:space="0" w:color="000000"/>
              <w:left w:val="single" w:sz="8" w:space="0" w:color="000000"/>
              <w:bottom w:val="single" w:sz="8" w:space="0" w:color="000000"/>
              <w:right w:val="single" w:sz="8" w:space="0" w:color="000000"/>
            </w:tcBorders>
          </w:tcPr>
          <w:p w14:paraId="14E415B9" w14:textId="77777777" w:rsidR="00CC52C0" w:rsidRPr="00974EC2" w:rsidRDefault="00A01C2C">
            <w:pPr>
              <w:pStyle w:val="Paragraph"/>
              <w:jc w:val="left"/>
            </w:pPr>
            <w:r w:rsidRPr="00974EC2">
              <w:t>3</w:t>
            </w:r>
          </w:p>
        </w:tc>
        <w:tc>
          <w:tcPr>
            <w:tcW w:w="4250" w:type="pct"/>
            <w:tcBorders>
              <w:top w:val="single" w:sz="8" w:space="0" w:color="000000"/>
              <w:left w:val="single" w:sz="8" w:space="0" w:color="000000"/>
              <w:bottom w:val="single" w:sz="8" w:space="0" w:color="000000"/>
              <w:right w:val="single" w:sz="8" w:space="0" w:color="000000"/>
            </w:tcBorders>
          </w:tcPr>
          <w:p w14:paraId="0D220BAA" w14:textId="77777777" w:rsidR="00CC52C0" w:rsidRPr="00974EC2" w:rsidRDefault="00A01C2C">
            <w:pPr>
              <w:pStyle w:val="Paragraph"/>
              <w:jc w:val="left"/>
            </w:pPr>
            <w:r w:rsidRPr="00974EC2">
              <w:t>Proposal meets the required standard in most material respects but is lacking or inconsistent in others.</w:t>
            </w:r>
          </w:p>
        </w:tc>
      </w:tr>
      <w:tr w:rsidR="00492069" w:rsidRPr="00974EC2" w14:paraId="4F11EC59" w14:textId="77777777">
        <w:tc>
          <w:tcPr>
            <w:tcW w:w="750" w:type="pct"/>
            <w:tcBorders>
              <w:top w:val="single" w:sz="8" w:space="0" w:color="000000"/>
              <w:left w:val="single" w:sz="8" w:space="0" w:color="000000"/>
              <w:bottom w:val="single" w:sz="8" w:space="0" w:color="000000"/>
              <w:right w:val="single" w:sz="8" w:space="0" w:color="000000"/>
            </w:tcBorders>
          </w:tcPr>
          <w:p w14:paraId="48CF533A" w14:textId="77777777" w:rsidR="00CC52C0" w:rsidRPr="00974EC2" w:rsidRDefault="00A01C2C">
            <w:pPr>
              <w:pStyle w:val="Paragraph"/>
              <w:jc w:val="left"/>
            </w:pPr>
            <w:r w:rsidRPr="00974EC2">
              <w:t>4</w:t>
            </w:r>
          </w:p>
        </w:tc>
        <w:tc>
          <w:tcPr>
            <w:tcW w:w="4250" w:type="pct"/>
            <w:tcBorders>
              <w:top w:val="single" w:sz="8" w:space="0" w:color="000000"/>
              <w:left w:val="single" w:sz="8" w:space="0" w:color="000000"/>
              <w:bottom w:val="single" w:sz="8" w:space="0" w:color="000000"/>
              <w:right w:val="single" w:sz="8" w:space="0" w:color="000000"/>
            </w:tcBorders>
          </w:tcPr>
          <w:p w14:paraId="54B8C2B1" w14:textId="77777777" w:rsidR="00CC52C0" w:rsidRPr="00974EC2" w:rsidRDefault="00A01C2C">
            <w:pPr>
              <w:pStyle w:val="Paragraph"/>
              <w:jc w:val="left"/>
            </w:pPr>
            <w:r w:rsidRPr="00974EC2">
              <w:t>Proposal meets the required standard in all material respects.</w:t>
            </w:r>
          </w:p>
        </w:tc>
      </w:tr>
      <w:tr w:rsidR="00492069" w:rsidRPr="00974EC2" w14:paraId="710EBF93" w14:textId="77777777">
        <w:tc>
          <w:tcPr>
            <w:tcW w:w="750" w:type="pct"/>
            <w:tcBorders>
              <w:top w:val="single" w:sz="8" w:space="0" w:color="000000"/>
              <w:left w:val="single" w:sz="8" w:space="0" w:color="000000"/>
              <w:bottom w:val="single" w:sz="8" w:space="0" w:color="000000"/>
              <w:right w:val="single" w:sz="8" w:space="0" w:color="000000"/>
            </w:tcBorders>
          </w:tcPr>
          <w:p w14:paraId="7DA4E952" w14:textId="77777777" w:rsidR="00CC52C0" w:rsidRPr="00974EC2" w:rsidRDefault="00A01C2C">
            <w:pPr>
              <w:pStyle w:val="Paragraph"/>
              <w:jc w:val="left"/>
            </w:pPr>
            <w:r w:rsidRPr="00974EC2">
              <w:t>5</w:t>
            </w:r>
          </w:p>
        </w:tc>
        <w:tc>
          <w:tcPr>
            <w:tcW w:w="4250" w:type="pct"/>
            <w:tcBorders>
              <w:top w:val="single" w:sz="8" w:space="0" w:color="000000"/>
              <w:left w:val="single" w:sz="8" w:space="0" w:color="000000"/>
              <w:bottom w:val="single" w:sz="8" w:space="0" w:color="000000"/>
              <w:right w:val="single" w:sz="8" w:space="0" w:color="000000"/>
            </w:tcBorders>
          </w:tcPr>
          <w:p w14:paraId="3A97EA92" w14:textId="77777777" w:rsidR="00CC52C0" w:rsidRPr="00974EC2" w:rsidRDefault="00A01C2C">
            <w:pPr>
              <w:pStyle w:val="Paragraph"/>
              <w:jc w:val="left"/>
            </w:pPr>
            <w:r w:rsidRPr="00974EC2">
              <w:t>Proposal meets the required standard in all material respects and exceeds some or all of the major requirements.</w:t>
            </w:r>
          </w:p>
        </w:tc>
      </w:tr>
    </w:tbl>
    <w:p w14:paraId="72AF4C5C" w14:textId="77777777" w:rsidR="00DA6E27" w:rsidRPr="00974EC2" w:rsidRDefault="00DA6E27" w:rsidP="003E7CB6">
      <w:pPr>
        <w:pStyle w:val="Parasubclause1"/>
        <w:ind w:left="0"/>
        <w:rPr>
          <w:b/>
        </w:rPr>
      </w:pPr>
    </w:p>
    <w:p w14:paraId="6C0CCF65" w14:textId="545B4CBE" w:rsidR="00F35DAE" w:rsidRPr="00DA3F18" w:rsidRDefault="00F35DAE" w:rsidP="00F35DAE">
      <w:pPr>
        <w:spacing w:before="160"/>
        <w:ind w:firstLine="709"/>
        <w:contextualSpacing/>
        <w:rPr>
          <w:rFonts w:ascii="Arial" w:eastAsia="Arial" w:hAnsi="Arial" w:cs="Arial"/>
        </w:rPr>
      </w:pPr>
      <w:r w:rsidRPr="00DA3F18">
        <w:rPr>
          <w:rFonts w:ascii="Arial" w:eastAsia="Arial" w:hAnsi="Arial" w:cs="Arial"/>
        </w:rPr>
        <w:t xml:space="preserve">The Quality information will represent </w:t>
      </w:r>
      <w:r w:rsidR="003442F3" w:rsidRPr="00DA3F18">
        <w:rPr>
          <w:rFonts w:ascii="Arial" w:eastAsia="Arial" w:hAnsi="Arial" w:cs="Arial"/>
        </w:rPr>
        <w:t>[</w:t>
      </w:r>
      <w:r w:rsidRPr="00DA3F18">
        <w:rPr>
          <w:rFonts w:ascii="Arial" w:eastAsia="Arial" w:hAnsi="Arial" w:cs="Arial"/>
        </w:rPr>
        <w:t>70%</w:t>
      </w:r>
      <w:r w:rsidR="003442F3" w:rsidRPr="00DA3F18">
        <w:rPr>
          <w:rFonts w:ascii="Arial" w:eastAsia="Arial" w:hAnsi="Arial" w:cs="Arial"/>
        </w:rPr>
        <w:t>]</w:t>
      </w:r>
      <w:r w:rsidRPr="00DA3F18">
        <w:rPr>
          <w:rFonts w:ascii="Arial" w:eastAsia="Arial" w:hAnsi="Arial" w:cs="Arial"/>
        </w:rPr>
        <w:t xml:space="preserve"> of the available score.</w:t>
      </w:r>
    </w:p>
    <w:p w14:paraId="427D3E37" w14:textId="77777777" w:rsidR="00F35DAE" w:rsidRPr="00DA3F18" w:rsidRDefault="00F35DAE" w:rsidP="00F35DAE">
      <w:pPr>
        <w:ind w:left="709"/>
        <w:contextualSpacing/>
        <w:rPr>
          <w:rFonts w:ascii="Arial" w:eastAsia="Arial" w:hAnsi="Arial" w:cs="Arial"/>
        </w:rPr>
      </w:pPr>
    </w:p>
    <w:p w14:paraId="59C8ACCE" w14:textId="559656DC" w:rsidR="00F35DAE" w:rsidRPr="00DA3F18" w:rsidRDefault="00F35DAE" w:rsidP="00F35DAE">
      <w:pPr>
        <w:tabs>
          <w:tab w:val="left" w:pos="2268"/>
          <w:tab w:val="left" w:pos="2552"/>
          <w:tab w:val="left" w:pos="6237"/>
          <w:tab w:val="left" w:pos="6521"/>
        </w:tabs>
        <w:ind w:left="709"/>
        <w:contextualSpacing/>
        <w:rPr>
          <w:rFonts w:ascii="Arial" w:eastAsia="Arial" w:hAnsi="Arial" w:cs="Arial"/>
          <w:b/>
          <w:bCs/>
        </w:rPr>
      </w:pPr>
      <w:r w:rsidRPr="00DA3F18">
        <w:rPr>
          <w:rFonts w:ascii="Arial" w:eastAsia="Arial" w:hAnsi="Arial" w:cs="Arial"/>
          <w:b/>
          <w:bCs/>
        </w:rPr>
        <w:t xml:space="preserve">Quality mark </w:t>
      </w:r>
      <w:r w:rsidRPr="00DA3F18">
        <w:tab/>
      </w:r>
      <w:r w:rsidRPr="00DA3F18">
        <w:rPr>
          <w:rFonts w:ascii="Arial" w:eastAsia="Arial" w:hAnsi="Arial" w:cs="Arial"/>
          <w:b/>
          <w:bCs/>
        </w:rPr>
        <w:t xml:space="preserve">= </w:t>
      </w:r>
      <w:r w:rsidRPr="00DA3F18">
        <w:tab/>
      </w:r>
      <w:r w:rsidRPr="00DA3F18">
        <w:rPr>
          <w:rFonts w:ascii="Arial" w:eastAsia="Arial" w:hAnsi="Arial" w:cs="Arial"/>
          <w:b/>
          <w:bCs/>
          <w:u w:val="single"/>
        </w:rPr>
        <w:t xml:space="preserve"> Tenderers Quality Score x </w:t>
      </w:r>
      <w:r w:rsidR="003442F3" w:rsidRPr="00DA3F18">
        <w:rPr>
          <w:rFonts w:ascii="Arial" w:eastAsia="Arial" w:hAnsi="Arial" w:cs="Arial"/>
          <w:b/>
          <w:bCs/>
          <w:u w:val="single"/>
        </w:rPr>
        <w:t>[</w:t>
      </w:r>
      <w:r w:rsidRPr="00DA3F18">
        <w:rPr>
          <w:rFonts w:ascii="Arial" w:eastAsia="Arial" w:hAnsi="Arial" w:cs="Arial"/>
          <w:b/>
          <w:bCs/>
          <w:u w:val="single"/>
        </w:rPr>
        <w:t>70%</w:t>
      </w:r>
      <w:r w:rsidR="003442F3" w:rsidRPr="00DA3F18">
        <w:rPr>
          <w:rFonts w:ascii="Arial" w:eastAsia="Arial" w:hAnsi="Arial" w:cs="Arial"/>
          <w:b/>
          <w:bCs/>
          <w:u w:val="single"/>
        </w:rPr>
        <w:t>]</w:t>
      </w:r>
      <w:r w:rsidRPr="00DA3F18">
        <w:rPr>
          <w:rFonts w:ascii="Arial" w:eastAsia="Arial" w:hAnsi="Arial" w:cs="Arial"/>
          <w:b/>
          <w:bCs/>
          <w:u w:val="single"/>
        </w:rPr>
        <w:t xml:space="preserve"> </w:t>
      </w:r>
      <w:r w:rsidRPr="00DA3F18">
        <w:tab/>
      </w:r>
      <w:r w:rsidRPr="00DA3F18">
        <w:rPr>
          <w:rFonts w:ascii="Arial" w:eastAsia="Arial" w:hAnsi="Arial" w:cs="Arial"/>
          <w:b/>
          <w:bCs/>
        </w:rPr>
        <w:t xml:space="preserve">= </w:t>
      </w:r>
      <w:r w:rsidRPr="00DA3F18">
        <w:tab/>
      </w:r>
      <w:r w:rsidRPr="00DA3F18">
        <w:rPr>
          <w:rFonts w:ascii="Arial" w:eastAsia="Arial" w:hAnsi="Arial" w:cs="Arial"/>
          <w:b/>
          <w:bCs/>
        </w:rPr>
        <w:t>Percentage Score</w:t>
      </w:r>
    </w:p>
    <w:p w14:paraId="46D995D5" w14:textId="3814FA34" w:rsidR="00F35DAE" w:rsidRPr="00DA3F18" w:rsidRDefault="00F35DAE" w:rsidP="00F35DAE">
      <w:pPr>
        <w:tabs>
          <w:tab w:val="left" w:pos="2268"/>
          <w:tab w:val="left" w:pos="2552"/>
          <w:tab w:val="left" w:pos="5812"/>
          <w:tab w:val="left" w:pos="6237"/>
        </w:tabs>
        <w:ind w:left="709"/>
        <w:contextualSpacing/>
        <w:rPr>
          <w:rFonts w:ascii="Arial" w:eastAsia="Arial" w:hAnsi="Arial" w:cs="Arial"/>
          <w:b/>
          <w:bCs/>
        </w:rPr>
      </w:pPr>
      <w:r w:rsidRPr="00DA3F18">
        <w:rPr>
          <w:rFonts w:ascii="Arial" w:eastAsia="Arial" w:hAnsi="Arial" w:cs="Arial"/>
          <w:b/>
          <w:bCs/>
        </w:rPr>
        <w:tab/>
      </w:r>
      <w:r w:rsidRPr="00DA3F18">
        <w:rPr>
          <w:rFonts w:ascii="Arial" w:eastAsia="Arial" w:hAnsi="Arial" w:cs="Arial"/>
          <w:b/>
          <w:bCs/>
        </w:rPr>
        <w:tab/>
        <w:t xml:space="preserve">        Highest Quality Score</w:t>
      </w:r>
      <w:r w:rsidR="00F52CE2" w:rsidRPr="00DA3F18">
        <w:rPr>
          <w:rFonts w:ascii="Arial" w:eastAsia="Arial" w:hAnsi="Arial" w:cs="Arial"/>
        </w:rPr>
        <w:t>]</w:t>
      </w:r>
    </w:p>
    <w:p w14:paraId="00C7733B" w14:textId="77777777" w:rsidR="003144BF" w:rsidRPr="00DA3F18" w:rsidRDefault="003144BF" w:rsidP="00F35DAE">
      <w:pPr>
        <w:tabs>
          <w:tab w:val="left" w:pos="2268"/>
          <w:tab w:val="left" w:pos="2552"/>
          <w:tab w:val="left" w:pos="5812"/>
          <w:tab w:val="left" w:pos="6237"/>
        </w:tabs>
        <w:ind w:left="709"/>
        <w:contextualSpacing/>
        <w:rPr>
          <w:rFonts w:ascii="Arial" w:eastAsia="Arial" w:hAnsi="Arial" w:cs="Arial"/>
          <w:b/>
          <w:bCs/>
        </w:rPr>
      </w:pPr>
    </w:p>
    <w:p w14:paraId="6B36E0BC" w14:textId="77777777" w:rsidR="003144BF" w:rsidRPr="00DA3F18" w:rsidRDefault="003144BF" w:rsidP="00F35DAE">
      <w:pPr>
        <w:tabs>
          <w:tab w:val="left" w:pos="2268"/>
          <w:tab w:val="left" w:pos="2552"/>
          <w:tab w:val="left" w:pos="5812"/>
          <w:tab w:val="left" w:pos="6237"/>
        </w:tabs>
        <w:ind w:left="709"/>
        <w:contextualSpacing/>
        <w:rPr>
          <w:rFonts w:ascii="Arial" w:eastAsia="Arial" w:hAnsi="Arial" w:cs="Arial"/>
          <w:b/>
          <w:bCs/>
        </w:rPr>
      </w:pPr>
    </w:p>
    <w:p w14:paraId="4A6AA606" w14:textId="7DA6889B" w:rsidR="00B52C00" w:rsidRPr="00DA3F18" w:rsidRDefault="00B52C00" w:rsidP="003E7CB6">
      <w:pPr>
        <w:pStyle w:val="Parasubclause1"/>
        <w:ind w:left="709"/>
        <w:rPr>
          <w:b/>
        </w:rPr>
      </w:pPr>
      <w:r w:rsidRPr="00DA3F18">
        <w:rPr>
          <w:b/>
        </w:rPr>
        <w:t xml:space="preserve">Pricing </w:t>
      </w:r>
      <w:r w:rsidR="00F751F1" w:rsidRPr="00DA3F18">
        <w:rPr>
          <w:b/>
        </w:rPr>
        <w:t>assessment</w:t>
      </w:r>
    </w:p>
    <w:p w14:paraId="78700194" w14:textId="78DFB7B8" w:rsidR="00B52C00" w:rsidRPr="00DA3F18" w:rsidRDefault="00B52C00" w:rsidP="00B52C00">
      <w:pPr>
        <w:pStyle w:val="Parasubclause1"/>
        <w:rPr>
          <w:color w:val="auto"/>
        </w:rPr>
      </w:pPr>
      <w:r w:rsidRPr="00DA3F18">
        <w:rPr>
          <w:color w:val="auto"/>
        </w:rPr>
        <w:t xml:space="preserve">Bid prices will be scored: </w:t>
      </w:r>
    </w:p>
    <w:p w14:paraId="7BF97CF4" w14:textId="521B9A95" w:rsidR="00B52C00" w:rsidRPr="00DA3F18" w:rsidRDefault="00A16511" w:rsidP="00B52C00">
      <w:pPr>
        <w:pStyle w:val="Parasubclause1"/>
        <w:rPr>
          <w:color w:val="auto"/>
        </w:rPr>
      </w:pPr>
      <w:r w:rsidRPr="00DA3F18">
        <w:rPr>
          <w:color w:val="auto"/>
        </w:rPr>
        <w:t>[</w:t>
      </w:r>
      <w:r w:rsidR="00B52C00" w:rsidRPr="00DA3F18">
        <w:rPr>
          <w:color w:val="auto"/>
        </w:rPr>
        <w:t xml:space="preserve">On a comparative basis with the lowest </w:t>
      </w:r>
      <w:r w:rsidR="00B403A2" w:rsidRPr="00DA3F18">
        <w:rPr>
          <w:color w:val="auto"/>
        </w:rPr>
        <w:t xml:space="preserve">Fee Percentage and Schedule of Rates </w:t>
      </w:r>
      <w:r w:rsidR="00B52C00" w:rsidRPr="00DA3F18">
        <w:rPr>
          <w:color w:val="auto"/>
        </w:rPr>
        <w:t xml:space="preserve"> receiving 100% of the available marks </w:t>
      </w:r>
      <w:r w:rsidR="00DA0A80" w:rsidRPr="00DA3F18">
        <w:rPr>
          <w:color w:val="auto"/>
        </w:rPr>
        <w:t xml:space="preserve">(split [x]% Fee Percentage and [y]% Schedule of Rates) </w:t>
      </w:r>
      <w:r w:rsidR="00B52C00" w:rsidRPr="00DA3F18">
        <w:rPr>
          <w:color w:val="auto"/>
        </w:rPr>
        <w:t>. All other bids will be compared against that lowest bid</w:t>
      </w:r>
      <w:r w:rsidR="00FD2F8A" w:rsidRPr="00DA3F18">
        <w:rPr>
          <w:color w:val="auto"/>
        </w:rPr>
        <w:t>]</w:t>
      </w:r>
    </w:p>
    <w:p w14:paraId="61F4681D" w14:textId="77777777" w:rsidR="00B52C00" w:rsidRPr="00DA3F18" w:rsidRDefault="00B52C00" w:rsidP="00B52C00">
      <w:pPr>
        <w:spacing w:before="160"/>
        <w:ind w:firstLine="709"/>
        <w:contextualSpacing/>
        <w:rPr>
          <w:rFonts w:ascii="Arial" w:eastAsia="Arial" w:hAnsi="Arial" w:cs="Arial"/>
        </w:rPr>
      </w:pPr>
    </w:p>
    <w:p w14:paraId="784AFC65" w14:textId="1DA44257" w:rsidR="00B52C00" w:rsidRPr="00DA3F18" w:rsidRDefault="00FD2F8A" w:rsidP="00B52C00">
      <w:pPr>
        <w:spacing w:before="160"/>
        <w:ind w:firstLine="709"/>
        <w:contextualSpacing/>
        <w:rPr>
          <w:rFonts w:ascii="Arial" w:eastAsia="Arial" w:hAnsi="Arial" w:cs="Arial"/>
        </w:rPr>
      </w:pPr>
      <w:r w:rsidRPr="00DA3F18">
        <w:rPr>
          <w:rFonts w:ascii="Arial" w:eastAsia="Arial" w:hAnsi="Arial" w:cs="Arial"/>
        </w:rPr>
        <w:t>[</w:t>
      </w:r>
      <w:r w:rsidR="00B52C00" w:rsidRPr="00DA3F18">
        <w:rPr>
          <w:rFonts w:ascii="Arial" w:eastAsia="Arial" w:hAnsi="Arial" w:cs="Arial"/>
        </w:rPr>
        <w:t xml:space="preserve">The Financial information will represent </w:t>
      </w:r>
      <w:r w:rsidR="00891662" w:rsidRPr="00DA3F18">
        <w:rPr>
          <w:rFonts w:ascii="Arial" w:eastAsia="Arial" w:hAnsi="Arial" w:cs="Arial"/>
        </w:rPr>
        <w:t>[</w:t>
      </w:r>
      <w:r w:rsidR="00B52C00" w:rsidRPr="00DA3F18">
        <w:rPr>
          <w:rFonts w:ascii="Arial" w:eastAsia="Arial" w:hAnsi="Arial" w:cs="Arial"/>
        </w:rPr>
        <w:t>30%</w:t>
      </w:r>
      <w:r w:rsidR="00891662" w:rsidRPr="00DA3F18">
        <w:rPr>
          <w:rFonts w:ascii="Arial" w:eastAsia="Arial" w:hAnsi="Arial" w:cs="Arial"/>
        </w:rPr>
        <w:t>]</w:t>
      </w:r>
      <w:r w:rsidR="00B52C00" w:rsidRPr="00DA3F18">
        <w:rPr>
          <w:rFonts w:ascii="Arial" w:eastAsia="Arial" w:hAnsi="Arial" w:cs="Arial"/>
        </w:rPr>
        <w:t xml:space="preserve"> of the available score.</w:t>
      </w:r>
    </w:p>
    <w:p w14:paraId="6FC1A30D" w14:textId="77777777" w:rsidR="00B52C00" w:rsidRPr="00DA3F18" w:rsidRDefault="00B52C00" w:rsidP="00B52C00">
      <w:pPr>
        <w:spacing w:before="160"/>
        <w:contextualSpacing/>
        <w:rPr>
          <w:rFonts w:ascii="Garamond" w:eastAsia="Arial" w:hAnsi="Garamond" w:cs="Arial"/>
        </w:rPr>
      </w:pPr>
    </w:p>
    <w:p w14:paraId="72992D5E" w14:textId="7D9DA0B2" w:rsidR="00B52C00" w:rsidRPr="00A031EE" w:rsidRDefault="00B52C00" w:rsidP="00B52C00">
      <w:pPr>
        <w:tabs>
          <w:tab w:val="left" w:pos="2694"/>
          <w:tab w:val="left" w:pos="3119"/>
          <w:tab w:val="left" w:pos="5670"/>
          <w:tab w:val="left" w:pos="6096"/>
        </w:tabs>
        <w:ind w:left="709"/>
        <w:contextualSpacing/>
        <w:rPr>
          <w:rFonts w:ascii="Arial" w:eastAsia="Arial" w:hAnsi="Arial" w:cs="Arial"/>
          <w:b/>
          <w:bCs/>
        </w:rPr>
      </w:pPr>
      <w:r w:rsidRPr="00DA3F18">
        <w:rPr>
          <w:rFonts w:ascii="Arial" w:eastAsia="Arial" w:hAnsi="Arial" w:cs="Arial"/>
          <w:b/>
          <w:bCs/>
        </w:rPr>
        <w:t xml:space="preserve">Financial Mark </w:t>
      </w:r>
      <w:r w:rsidRPr="00DA3F18">
        <w:tab/>
      </w:r>
      <w:r w:rsidRPr="00DA3F18">
        <w:rPr>
          <w:rFonts w:ascii="Arial" w:eastAsia="Arial" w:hAnsi="Arial" w:cs="Arial"/>
          <w:b/>
          <w:bCs/>
        </w:rPr>
        <w:t xml:space="preserve">= </w:t>
      </w:r>
      <w:r w:rsidRPr="00DA3F18">
        <w:tab/>
      </w:r>
      <w:r w:rsidRPr="00DA3F18">
        <w:rPr>
          <w:rFonts w:ascii="Arial" w:eastAsia="Arial" w:hAnsi="Arial" w:cs="Arial"/>
          <w:b/>
          <w:bCs/>
          <w:u w:val="single"/>
        </w:rPr>
        <w:t xml:space="preserve"> Lowest Price x </w:t>
      </w:r>
      <w:r w:rsidR="005D076A" w:rsidRPr="00DA3F18">
        <w:rPr>
          <w:rFonts w:ascii="Arial" w:eastAsia="Arial" w:hAnsi="Arial" w:cs="Arial"/>
          <w:b/>
          <w:bCs/>
          <w:u w:val="single"/>
        </w:rPr>
        <w:t>[</w:t>
      </w:r>
      <w:r w:rsidRPr="00DA3F18">
        <w:rPr>
          <w:rFonts w:ascii="Arial" w:eastAsia="Arial" w:hAnsi="Arial" w:cs="Arial"/>
          <w:b/>
          <w:bCs/>
          <w:u w:val="single"/>
        </w:rPr>
        <w:t>30%</w:t>
      </w:r>
      <w:r w:rsidR="005D076A" w:rsidRPr="00DA3F18">
        <w:rPr>
          <w:rFonts w:ascii="Arial" w:eastAsia="Arial" w:hAnsi="Arial" w:cs="Arial"/>
          <w:b/>
          <w:bCs/>
          <w:u w:val="single"/>
        </w:rPr>
        <w:t>]</w:t>
      </w:r>
      <w:r w:rsidRPr="00DA3F18">
        <w:rPr>
          <w:rFonts w:ascii="Arial" w:eastAsia="Arial" w:hAnsi="Arial" w:cs="Arial"/>
          <w:b/>
          <w:bCs/>
          <w:u w:val="single"/>
        </w:rPr>
        <w:t xml:space="preserve"> </w:t>
      </w:r>
      <w:r w:rsidRPr="00DA3F18">
        <w:tab/>
      </w:r>
      <w:r w:rsidRPr="00DA3F18">
        <w:rPr>
          <w:rFonts w:ascii="Arial" w:eastAsia="Arial" w:hAnsi="Arial" w:cs="Arial"/>
          <w:b/>
          <w:bCs/>
        </w:rPr>
        <w:t xml:space="preserve">= </w:t>
      </w:r>
      <w:r w:rsidRPr="00DA3F18">
        <w:tab/>
      </w:r>
      <w:r w:rsidRPr="00DA3F18">
        <w:rPr>
          <w:rFonts w:ascii="Arial" w:eastAsia="Arial" w:hAnsi="Arial" w:cs="Arial"/>
          <w:b/>
          <w:bCs/>
        </w:rPr>
        <w:t>Percentage Score</w:t>
      </w:r>
      <w:r w:rsidR="00A16511" w:rsidRPr="00DA3F18">
        <w:rPr>
          <w:rFonts w:ascii="Arial" w:eastAsia="Arial" w:hAnsi="Arial" w:cs="Arial"/>
        </w:rPr>
        <w:t>]</w:t>
      </w:r>
    </w:p>
    <w:p w14:paraId="09383EDD" w14:textId="77777777" w:rsidR="00DA6E27" w:rsidRPr="003E7CB6" w:rsidRDefault="00DA6E27" w:rsidP="003E7CB6">
      <w:pPr>
        <w:tabs>
          <w:tab w:val="left" w:pos="2268"/>
          <w:tab w:val="left" w:pos="2552"/>
          <w:tab w:val="left" w:pos="5812"/>
          <w:tab w:val="left" w:pos="6237"/>
        </w:tabs>
        <w:ind w:left="709"/>
        <w:contextualSpacing/>
        <w:rPr>
          <w:rFonts w:eastAsia="Arial"/>
          <w:b/>
          <w:bCs/>
        </w:rPr>
      </w:pPr>
    </w:p>
    <w:p w14:paraId="1EC54CD6" w14:textId="5B3D66BC" w:rsidR="00632495" w:rsidRPr="00A8519C" w:rsidRDefault="00A01C2C" w:rsidP="004A7786">
      <w:pPr>
        <w:pStyle w:val="TitleClause"/>
        <w:rPr>
          <w:b w:val="0"/>
          <w:bCs/>
        </w:rPr>
      </w:pPr>
      <w:bookmarkStart w:id="35" w:name="a392533"/>
      <w:bookmarkStart w:id="36" w:name="_Toc216178770"/>
      <w:r w:rsidRPr="00C516B0">
        <w:lastRenderedPageBreak/>
        <w:t xml:space="preserve">Assessment questions for completion by </w:t>
      </w:r>
      <w:r w:rsidR="00EF5C3A">
        <w:t>T</w:t>
      </w:r>
      <w:r w:rsidRPr="00C516B0">
        <w:t>enderers</w:t>
      </w:r>
      <w:bookmarkEnd w:id="35"/>
      <w:bookmarkEnd w:id="36"/>
    </w:p>
    <w:tbl>
      <w:tblPr>
        <w:tblStyle w:val="TableGrid1"/>
        <w:tblpPr w:leftFromText="180" w:rightFromText="180" w:vertAnchor="text" w:tblpX="-5" w:tblpY="1"/>
        <w:tblOverlap w:val="never"/>
        <w:tblW w:w="9923" w:type="dxa"/>
        <w:tblLayout w:type="fixed"/>
        <w:tblLook w:val="04A0" w:firstRow="1" w:lastRow="0" w:firstColumn="1" w:lastColumn="0" w:noHBand="0" w:noVBand="1"/>
      </w:tblPr>
      <w:tblGrid>
        <w:gridCol w:w="1064"/>
        <w:gridCol w:w="5032"/>
        <w:gridCol w:w="1333"/>
        <w:gridCol w:w="1238"/>
        <w:gridCol w:w="1256"/>
      </w:tblGrid>
      <w:tr w:rsidR="009A45C4" w:rsidRPr="00EE111C" w14:paraId="6ADD56AF" w14:textId="77777777" w:rsidTr="00617E2B">
        <w:trPr>
          <w:trHeight w:val="462"/>
          <w:tblHeader/>
        </w:trPr>
        <w:tc>
          <w:tcPr>
            <w:tcW w:w="9923" w:type="dxa"/>
            <w:gridSpan w:val="5"/>
            <w:tcBorders>
              <w:bottom w:val="single" w:sz="4" w:space="0" w:color="auto"/>
            </w:tcBorders>
            <w:vAlign w:val="center"/>
          </w:tcPr>
          <w:p w14:paraId="39180DFC" w14:textId="77777777" w:rsidR="009A45C4" w:rsidRPr="00EE111C" w:rsidRDefault="009A45C4" w:rsidP="00617E2B">
            <w:pPr>
              <w:kinsoku w:val="0"/>
              <w:overflowPunct w:val="0"/>
              <w:autoSpaceDE w:val="0"/>
              <w:autoSpaceDN w:val="0"/>
              <w:adjustRightInd w:val="0"/>
              <w:spacing w:before="8"/>
              <w:ind w:right="-12"/>
              <w:jc w:val="center"/>
              <w:rPr>
                <w:rFonts w:ascii="Arial" w:eastAsia="SimHei" w:hAnsi="Arial" w:cs="Arial"/>
                <w:b/>
                <w:bCs/>
                <w:caps/>
                <w:color w:val="auto"/>
                <w:szCs w:val="20"/>
              </w:rPr>
            </w:pPr>
            <w:bookmarkStart w:id="37" w:name="_Toc216178771"/>
            <w:bookmarkStart w:id="38" w:name="a472790"/>
            <w:r w:rsidRPr="00EE111C">
              <w:rPr>
                <w:rFonts w:ascii="Arial" w:hAnsi="Arial" w:cs="Arial"/>
                <w:b/>
                <w:bCs/>
                <w:w w:val="105"/>
                <w:szCs w:val="20"/>
                <w:lang w:eastAsia="en-GB"/>
              </w:rPr>
              <w:t>Tender Assessment Sheet (Quality) (Maximum Score [70%])</w:t>
            </w:r>
          </w:p>
        </w:tc>
      </w:tr>
      <w:tr w:rsidR="009A45C4" w:rsidRPr="00EE111C" w14:paraId="30A49745" w14:textId="77777777" w:rsidTr="00617E2B">
        <w:trPr>
          <w:trHeight w:val="70"/>
          <w:tblHeader/>
        </w:trPr>
        <w:tc>
          <w:tcPr>
            <w:tcW w:w="1064" w:type="dxa"/>
            <w:tcBorders>
              <w:bottom w:val="single" w:sz="4" w:space="0" w:color="auto"/>
            </w:tcBorders>
            <w:shd w:val="clear" w:color="auto" w:fill="D5D0B4" w:themeFill="background2" w:themeFillShade="D9"/>
            <w:vAlign w:val="center"/>
          </w:tcPr>
          <w:p w14:paraId="4853651F" w14:textId="77777777" w:rsidR="009A45C4" w:rsidRPr="00EE111C" w:rsidRDefault="009A45C4" w:rsidP="00617E2B">
            <w:pPr>
              <w:numPr>
                <w:ilvl w:val="1"/>
                <w:numId w:val="0"/>
              </w:numPr>
              <w:contextualSpacing/>
              <w:jc w:val="center"/>
              <w:rPr>
                <w:rFonts w:ascii="Arial" w:eastAsia="SimHei" w:hAnsi="Arial" w:cs="Arial"/>
                <w:b/>
                <w:bCs/>
                <w:caps/>
                <w:color w:val="auto"/>
                <w:szCs w:val="20"/>
              </w:rPr>
            </w:pPr>
            <w:r w:rsidRPr="00EE111C">
              <w:rPr>
                <w:rFonts w:ascii="Arial" w:hAnsi="Arial" w:cs="Arial"/>
                <w:b/>
                <w:bCs/>
                <w:w w:val="105"/>
                <w:szCs w:val="20"/>
                <w:lang w:eastAsia="en-GB"/>
              </w:rPr>
              <w:t>Part</w:t>
            </w:r>
          </w:p>
        </w:tc>
        <w:tc>
          <w:tcPr>
            <w:tcW w:w="5032" w:type="dxa"/>
            <w:tcBorders>
              <w:bottom w:val="single" w:sz="4" w:space="0" w:color="auto"/>
            </w:tcBorders>
            <w:shd w:val="clear" w:color="auto" w:fill="D5D0B4" w:themeFill="background2" w:themeFillShade="D9"/>
            <w:vAlign w:val="center"/>
          </w:tcPr>
          <w:p w14:paraId="425B1F51" w14:textId="77777777" w:rsidR="009A45C4" w:rsidRPr="00EE111C" w:rsidRDefault="009A45C4" w:rsidP="00617E2B">
            <w:pPr>
              <w:numPr>
                <w:ilvl w:val="1"/>
                <w:numId w:val="0"/>
              </w:numPr>
              <w:contextualSpacing/>
              <w:jc w:val="center"/>
              <w:rPr>
                <w:rFonts w:ascii="Arial" w:eastAsia="SimHei" w:hAnsi="Arial" w:cs="Arial"/>
                <w:b/>
                <w:bCs/>
                <w:caps/>
                <w:color w:val="auto"/>
                <w:szCs w:val="20"/>
              </w:rPr>
            </w:pPr>
            <w:r w:rsidRPr="00EE111C">
              <w:rPr>
                <w:rFonts w:ascii="Arial" w:hAnsi="Arial" w:cs="Arial"/>
                <w:b/>
                <w:bCs/>
                <w:w w:val="105"/>
                <w:szCs w:val="20"/>
                <w:lang w:eastAsia="en-GB"/>
              </w:rPr>
              <w:t>Question</w:t>
            </w:r>
          </w:p>
        </w:tc>
        <w:tc>
          <w:tcPr>
            <w:tcW w:w="1333" w:type="dxa"/>
            <w:tcBorders>
              <w:bottom w:val="single" w:sz="4" w:space="0" w:color="auto"/>
            </w:tcBorders>
            <w:shd w:val="clear" w:color="auto" w:fill="D5D0B4" w:themeFill="background2" w:themeFillShade="D9"/>
            <w:vAlign w:val="center"/>
          </w:tcPr>
          <w:p w14:paraId="3CCD4416" w14:textId="77777777" w:rsidR="009A45C4" w:rsidRPr="00EE111C" w:rsidRDefault="009A45C4" w:rsidP="00617E2B">
            <w:pPr>
              <w:numPr>
                <w:ilvl w:val="1"/>
                <w:numId w:val="0"/>
              </w:numPr>
              <w:contextualSpacing/>
              <w:jc w:val="center"/>
              <w:rPr>
                <w:rFonts w:ascii="Arial" w:eastAsia="SimHei" w:hAnsi="Arial" w:cs="Arial"/>
                <w:b/>
                <w:bCs/>
                <w:caps/>
                <w:color w:val="auto"/>
                <w:szCs w:val="20"/>
              </w:rPr>
            </w:pPr>
            <w:r w:rsidRPr="00EE111C">
              <w:rPr>
                <w:rFonts w:ascii="Arial" w:hAnsi="Arial" w:cs="Arial"/>
                <w:b/>
                <w:bCs/>
                <w:w w:val="105"/>
                <w:szCs w:val="20"/>
                <w:lang w:eastAsia="en-GB"/>
              </w:rPr>
              <w:t>Question Weighting</w:t>
            </w:r>
            <w:r w:rsidRPr="00EE111C">
              <w:rPr>
                <w:rFonts w:ascii="Arial" w:eastAsia="SimHei" w:hAnsi="Arial" w:cs="Arial"/>
                <w:b/>
                <w:bCs/>
                <w:caps/>
                <w:szCs w:val="20"/>
              </w:rPr>
              <w:t xml:space="preserve"> (A)</w:t>
            </w:r>
          </w:p>
        </w:tc>
        <w:tc>
          <w:tcPr>
            <w:tcW w:w="1238" w:type="dxa"/>
            <w:tcBorders>
              <w:bottom w:val="single" w:sz="4" w:space="0" w:color="auto"/>
            </w:tcBorders>
            <w:shd w:val="clear" w:color="auto" w:fill="D5D0B4" w:themeFill="background2" w:themeFillShade="D9"/>
            <w:vAlign w:val="center"/>
          </w:tcPr>
          <w:p w14:paraId="29B9DBC8" w14:textId="77777777" w:rsidR="009A45C4" w:rsidRPr="00EE111C" w:rsidRDefault="009A45C4" w:rsidP="00617E2B">
            <w:pPr>
              <w:numPr>
                <w:ilvl w:val="1"/>
                <w:numId w:val="0"/>
              </w:numPr>
              <w:contextualSpacing/>
              <w:jc w:val="center"/>
              <w:rPr>
                <w:rFonts w:ascii="Arial" w:eastAsia="SimHei" w:hAnsi="Arial" w:cs="Arial"/>
                <w:b/>
                <w:bCs/>
                <w:caps/>
                <w:color w:val="auto"/>
                <w:szCs w:val="20"/>
              </w:rPr>
            </w:pPr>
            <w:r w:rsidRPr="00EE111C">
              <w:rPr>
                <w:rFonts w:ascii="Arial" w:hAnsi="Arial" w:cs="Arial"/>
                <w:b/>
                <w:bCs/>
                <w:w w:val="105"/>
                <w:szCs w:val="20"/>
                <w:lang w:eastAsia="en-GB"/>
              </w:rPr>
              <w:t>Marks Awarded</w:t>
            </w:r>
            <w:r w:rsidRPr="00EE111C">
              <w:rPr>
                <w:rFonts w:ascii="Arial" w:eastAsia="SimHei" w:hAnsi="Arial" w:cs="Arial"/>
                <w:b/>
                <w:bCs/>
                <w:caps/>
                <w:szCs w:val="20"/>
              </w:rPr>
              <w:t xml:space="preserve"> (B)</w:t>
            </w:r>
          </w:p>
        </w:tc>
        <w:tc>
          <w:tcPr>
            <w:tcW w:w="1256" w:type="dxa"/>
            <w:tcBorders>
              <w:bottom w:val="single" w:sz="4" w:space="0" w:color="auto"/>
            </w:tcBorders>
            <w:shd w:val="clear" w:color="auto" w:fill="D5D0B4" w:themeFill="background2" w:themeFillShade="D9"/>
            <w:vAlign w:val="center"/>
          </w:tcPr>
          <w:p w14:paraId="5A314EB0" w14:textId="77777777" w:rsidR="009A45C4" w:rsidRPr="00EE111C" w:rsidRDefault="009A45C4" w:rsidP="00617E2B">
            <w:pPr>
              <w:numPr>
                <w:ilvl w:val="1"/>
                <w:numId w:val="0"/>
              </w:numPr>
              <w:contextualSpacing/>
              <w:jc w:val="center"/>
              <w:rPr>
                <w:rFonts w:ascii="Arial" w:eastAsia="SimHei" w:hAnsi="Arial" w:cs="Arial"/>
                <w:b/>
                <w:bCs/>
                <w:caps/>
                <w:color w:val="auto"/>
                <w:szCs w:val="20"/>
              </w:rPr>
            </w:pPr>
            <w:r w:rsidRPr="00EE111C">
              <w:rPr>
                <w:rFonts w:ascii="Arial" w:hAnsi="Arial" w:cs="Arial"/>
                <w:b/>
                <w:bCs/>
                <w:w w:val="105"/>
                <w:szCs w:val="20"/>
                <w:lang w:eastAsia="en-GB"/>
              </w:rPr>
              <w:t xml:space="preserve">Weighted Marks </w:t>
            </w:r>
            <w:r w:rsidRPr="00EE111C">
              <w:rPr>
                <w:rFonts w:ascii="Arial" w:eastAsia="SimHei" w:hAnsi="Arial" w:cs="Arial"/>
                <w:b/>
                <w:bCs/>
                <w:caps/>
                <w:szCs w:val="20"/>
              </w:rPr>
              <w:t>(C) (</w:t>
            </w:r>
            <w:proofErr w:type="spellStart"/>
            <w:r w:rsidRPr="00EE111C">
              <w:rPr>
                <w:rFonts w:ascii="Arial" w:eastAsia="SimHei" w:hAnsi="Arial" w:cs="Arial"/>
                <w:b/>
                <w:bCs/>
                <w:caps/>
                <w:szCs w:val="20"/>
              </w:rPr>
              <w:t>A</w:t>
            </w:r>
            <w:r w:rsidRPr="00EE111C">
              <w:rPr>
                <w:rFonts w:ascii="Arial" w:hAnsi="Arial" w:cs="Arial"/>
                <w:b/>
                <w:bCs/>
                <w:w w:val="105"/>
                <w:szCs w:val="20"/>
                <w:lang w:eastAsia="en-GB"/>
              </w:rPr>
              <w:t>x</w:t>
            </w:r>
            <w:r w:rsidRPr="00EE111C">
              <w:rPr>
                <w:rFonts w:ascii="Arial" w:eastAsia="SimHei" w:hAnsi="Arial" w:cs="Arial"/>
                <w:b/>
                <w:bCs/>
                <w:caps/>
                <w:szCs w:val="20"/>
              </w:rPr>
              <w:t>B</w:t>
            </w:r>
            <w:proofErr w:type="spellEnd"/>
            <w:r w:rsidRPr="00EE111C">
              <w:rPr>
                <w:rFonts w:ascii="Arial" w:eastAsia="SimHei" w:hAnsi="Arial" w:cs="Arial"/>
                <w:b/>
                <w:bCs/>
                <w:caps/>
                <w:szCs w:val="20"/>
              </w:rPr>
              <w:t>=C)</w:t>
            </w:r>
          </w:p>
        </w:tc>
      </w:tr>
      <w:tr w:rsidR="009A45C4" w:rsidRPr="00EE111C" w14:paraId="788BD6C3" w14:textId="77777777" w:rsidTr="00617E2B">
        <w:trPr>
          <w:trHeight w:val="398"/>
        </w:trPr>
        <w:tc>
          <w:tcPr>
            <w:tcW w:w="1064" w:type="dxa"/>
            <w:shd w:val="clear" w:color="auto" w:fill="C4BC96" w:themeFill="background2" w:themeFillShade="BF"/>
            <w:vAlign w:val="center"/>
          </w:tcPr>
          <w:p w14:paraId="354C0A08" w14:textId="77777777" w:rsidR="009A45C4" w:rsidRPr="00EE111C" w:rsidRDefault="009A45C4" w:rsidP="00617E2B">
            <w:pPr>
              <w:numPr>
                <w:ilvl w:val="1"/>
                <w:numId w:val="0"/>
              </w:numPr>
              <w:contextualSpacing/>
              <w:jc w:val="center"/>
              <w:rPr>
                <w:rFonts w:ascii="Arial" w:eastAsia="SimHei" w:hAnsi="Arial" w:cs="Arial"/>
                <w:b/>
                <w:bCs/>
                <w:caps/>
                <w:color w:val="auto"/>
                <w:szCs w:val="20"/>
              </w:rPr>
            </w:pPr>
            <w:r w:rsidRPr="00EE111C">
              <w:rPr>
                <w:rFonts w:ascii="Arial" w:eastAsia="SimHei" w:hAnsi="Arial" w:cs="Arial"/>
                <w:b/>
                <w:bCs/>
                <w:caps/>
                <w:color w:val="auto"/>
                <w:szCs w:val="20"/>
              </w:rPr>
              <w:t>PART 1</w:t>
            </w:r>
          </w:p>
        </w:tc>
        <w:tc>
          <w:tcPr>
            <w:tcW w:w="8859" w:type="dxa"/>
            <w:gridSpan w:val="4"/>
            <w:tcBorders>
              <w:right w:val="nil"/>
            </w:tcBorders>
            <w:shd w:val="clear" w:color="auto" w:fill="C4BC96" w:themeFill="background2" w:themeFillShade="BF"/>
            <w:vAlign w:val="center"/>
          </w:tcPr>
          <w:p w14:paraId="4129B830" w14:textId="77777777" w:rsidR="009A45C4" w:rsidRPr="00EE111C" w:rsidRDefault="009A45C4" w:rsidP="00617E2B">
            <w:pPr>
              <w:numPr>
                <w:ilvl w:val="1"/>
                <w:numId w:val="0"/>
              </w:numPr>
              <w:contextualSpacing/>
              <w:rPr>
                <w:rFonts w:ascii="Arial" w:eastAsia="SimHei" w:hAnsi="Arial" w:cs="Arial"/>
                <w:b/>
                <w:bCs/>
                <w:caps/>
                <w:color w:val="auto"/>
                <w:szCs w:val="20"/>
              </w:rPr>
            </w:pPr>
            <w:r w:rsidRPr="00EE111C">
              <w:rPr>
                <w:rFonts w:ascii="Arial" w:eastAsia="SimHei" w:hAnsi="Arial" w:cs="Arial"/>
                <w:b/>
                <w:bCs/>
                <w:caps/>
                <w:color w:val="auto"/>
                <w:szCs w:val="20"/>
              </w:rPr>
              <w:t>resource &amp; management</w:t>
            </w:r>
          </w:p>
        </w:tc>
      </w:tr>
      <w:tr w:rsidR="009A45C4" w:rsidRPr="00EE111C" w14:paraId="6E735233" w14:textId="77777777" w:rsidTr="00617E2B">
        <w:trPr>
          <w:trHeight w:val="73"/>
        </w:trPr>
        <w:tc>
          <w:tcPr>
            <w:tcW w:w="1064" w:type="dxa"/>
            <w:vAlign w:val="center"/>
          </w:tcPr>
          <w:p w14:paraId="27BAE210" w14:textId="77777777" w:rsidR="009A45C4" w:rsidRPr="00EE111C" w:rsidRDefault="009A45C4" w:rsidP="00617E2B">
            <w:pPr>
              <w:numPr>
                <w:ilvl w:val="1"/>
                <w:numId w:val="0"/>
              </w:numPr>
              <w:contextualSpacing/>
              <w:jc w:val="center"/>
              <w:rPr>
                <w:rFonts w:ascii="Arial" w:eastAsia="SimHei" w:hAnsi="Arial" w:cs="Arial"/>
                <w:caps/>
                <w:color w:val="auto"/>
                <w:szCs w:val="20"/>
              </w:rPr>
            </w:pPr>
            <w:r w:rsidRPr="00EE111C">
              <w:rPr>
                <w:rFonts w:ascii="Arial" w:eastAsia="SimHei" w:hAnsi="Arial" w:cs="Arial"/>
                <w:caps/>
                <w:szCs w:val="20"/>
              </w:rPr>
              <w:t>Q1</w:t>
            </w:r>
          </w:p>
        </w:tc>
        <w:tc>
          <w:tcPr>
            <w:tcW w:w="5032" w:type="dxa"/>
            <w:vAlign w:val="center"/>
          </w:tcPr>
          <w:p w14:paraId="477F56F4" w14:textId="29ADCAD9" w:rsidR="009A45C4" w:rsidRPr="00EE111C" w:rsidRDefault="009A45C4" w:rsidP="00617E2B">
            <w:pPr>
              <w:pStyle w:val="Parasubclause1"/>
              <w:ind w:left="0"/>
              <w:rPr>
                <w:color w:val="auto"/>
              </w:rPr>
            </w:pPr>
            <w:r w:rsidRPr="00EE111C">
              <w:rPr>
                <w:color w:val="auto"/>
              </w:rPr>
              <w:t xml:space="preserve">Please provide a brief description of two similar size contracts you have successfully delivered in the last 5 years that show experience that is relevant to the requirements e.g. Further or Higher Education, Secondary Schools, NHS or similar type of </w:t>
            </w:r>
            <w:proofErr w:type="spellStart"/>
            <w:r w:rsidRPr="00EE111C">
              <w:rPr>
                <w:color w:val="auto"/>
              </w:rPr>
              <w:t>organisations</w:t>
            </w:r>
            <w:proofErr w:type="spellEnd"/>
            <w:r w:rsidRPr="00EE111C">
              <w:rPr>
                <w:color w:val="auto"/>
              </w:rPr>
              <w:t xml:space="preserve"> where the work may be similar.</w:t>
            </w:r>
          </w:p>
          <w:p w14:paraId="7B37B1FE" w14:textId="17825A6C" w:rsidR="009A45C4" w:rsidRPr="00EE111C" w:rsidRDefault="009A45C4" w:rsidP="00617E2B">
            <w:pPr>
              <w:pStyle w:val="Parasubclause1"/>
              <w:ind w:left="0"/>
              <w:jc w:val="left"/>
              <w:rPr>
                <w:color w:val="auto"/>
              </w:rPr>
            </w:pPr>
            <w:r w:rsidRPr="00EE111C">
              <w:rPr>
                <w:color w:val="auto"/>
              </w:rPr>
              <w:t>Provide details of: -</w:t>
            </w:r>
          </w:p>
          <w:p w14:paraId="22B457EF" w14:textId="77777777" w:rsidR="009A45C4" w:rsidRPr="00EE111C" w:rsidRDefault="009A45C4" w:rsidP="00617E2B">
            <w:pPr>
              <w:pStyle w:val="subclause1Bullet2"/>
              <w:numPr>
                <w:ilvl w:val="0"/>
                <w:numId w:val="0"/>
              </w:numPr>
              <w:ind w:left="1077"/>
              <w:jc w:val="left"/>
              <w:rPr>
                <w:color w:val="auto"/>
              </w:rPr>
            </w:pPr>
            <w:r w:rsidRPr="00EE111C">
              <w:rPr>
                <w:color w:val="auto"/>
              </w:rPr>
              <w:t>How these are relevant to the requirement</w:t>
            </w:r>
          </w:p>
          <w:p w14:paraId="7B9E2CA2" w14:textId="77777777" w:rsidR="009A45C4" w:rsidRPr="00EE111C" w:rsidRDefault="009A45C4" w:rsidP="00617E2B">
            <w:pPr>
              <w:pStyle w:val="subclause1Bullet2"/>
              <w:numPr>
                <w:ilvl w:val="0"/>
                <w:numId w:val="0"/>
              </w:numPr>
              <w:ind w:left="1077"/>
              <w:jc w:val="left"/>
              <w:rPr>
                <w:color w:val="auto"/>
              </w:rPr>
            </w:pPr>
            <w:r w:rsidRPr="00EE111C">
              <w:rPr>
                <w:color w:val="auto"/>
              </w:rPr>
              <w:t>How the Contract was delivered successfully: include testimonials</w:t>
            </w:r>
          </w:p>
          <w:p w14:paraId="7E23479F" w14:textId="77777777" w:rsidR="009A45C4" w:rsidRPr="00EE111C" w:rsidRDefault="009A45C4" w:rsidP="00617E2B">
            <w:pPr>
              <w:pStyle w:val="subclause1Bullet2"/>
              <w:numPr>
                <w:ilvl w:val="0"/>
                <w:numId w:val="0"/>
              </w:numPr>
              <w:ind w:left="1434" w:hanging="357"/>
              <w:jc w:val="left"/>
              <w:rPr>
                <w:color w:val="auto"/>
              </w:rPr>
            </w:pPr>
            <w:r w:rsidRPr="00EE111C">
              <w:rPr>
                <w:color w:val="auto"/>
              </w:rPr>
              <w:t>Contract Value</w:t>
            </w:r>
          </w:p>
          <w:p w14:paraId="2A7F99DF" w14:textId="7ED3B0CE" w:rsidR="009A45C4" w:rsidRPr="00EE111C" w:rsidRDefault="009A45C4" w:rsidP="00617E2B">
            <w:pPr>
              <w:ind w:left="1077"/>
              <w:rPr>
                <w:rFonts w:ascii="Arial" w:eastAsia="SimHei" w:hAnsi="Arial" w:cs="Arial"/>
                <w:caps/>
                <w:color w:val="auto"/>
                <w:szCs w:val="20"/>
              </w:rPr>
            </w:pPr>
            <w:r w:rsidRPr="00EE111C">
              <w:rPr>
                <w:rFonts w:ascii="Arial" w:hAnsi="Arial" w:cs="Arial"/>
                <w:szCs w:val="20"/>
              </w:rPr>
              <w:t>Period over which the Contract was delivered</w:t>
            </w:r>
          </w:p>
        </w:tc>
        <w:tc>
          <w:tcPr>
            <w:tcW w:w="1333" w:type="dxa"/>
            <w:vAlign w:val="center"/>
          </w:tcPr>
          <w:p w14:paraId="7C3EC445" w14:textId="77777777" w:rsidR="009A45C4" w:rsidRPr="00EE111C" w:rsidRDefault="009A45C4" w:rsidP="00617E2B">
            <w:pPr>
              <w:contextualSpacing/>
              <w:jc w:val="center"/>
              <w:rPr>
                <w:rFonts w:ascii="Arial" w:eastAsia="SimHei" w:hAnsi="Arial" w:cs="Arial"/>
                <w:caps/>
                <w:color w:val="auto"/>
                <w:szCs w:val="20"/>
              </w:rPr>
            </w:pPr>
            <w:r w:rsidRPr="00EE111C">
              <w:rPr>
                <w:rFonts w:ascii="Arial" w:eastAsia="SimHei" w:hAnsi="Arial" w:cs="Arial"/>
                <w:caps/>
                <w:szCs w:val="20"/>
              </w:rPr>
              <w:t>[20%]</w:t>
            </w:r>
          </w:p>
        </w:tc>
        <w:tc>
          <w:tcPr>
            <w:tcW w:w="1238" w:type="dxa"/>
            <w:vAlign w:val="center"/>
          </w:tcPr>
          <w:p w14:paraId="0EFC771E" w14:textId="77777777" w:rsidR="009A45C4" w:rsidRPr="00EE111C" w:rsidRDefault="009A45C4" w:rsidP="00617E2B">
            <w:pPr>
              <w:numPr>
                <w:ilvl w:val="1"/>
                <w:numId w:val="0"/>
              </w:numPr>
              <w:contextualSpacing/>
              <w:jc w:val="center"/>
              <w:rPr>
                <w:rFonts w:ascii="Arial" w:eastAsia="SimHei" w:hAnsi="Arial" w:cs="Arial"/>
                <w:caps/>
                <w:color w:val="auto"/>
                <w:szCs w:val="20"/>
              </w:rPr>
            </w:pPr>
          </w:p>
        </w:tc>
        <w:tc>
          <w:tcPr>
            <w:tcW w:w="1256" w:type="dxa"/>
            <w:vAlign w:val="center"/>
          </w:tcPr>
          <w:p w14:paraId="06726AAE" w14:textId="77777777" w:rsidR="009A45C4" w:rsidRPr="00EE111C" w:rsidRDefault="009A45C4" w:rsidP="00617E2B">
            <w:pPr>
              <w:numPr>
                <w:ilvl w:val="1"/>
                <w:numId w:val="0"/>
              </w:numPr>
              <w:contextualSpacing/>
              <w:jc w:val="center"/>
              <w:rPr>
                <w:rFonts w:ascii="Arial" w:eastAsia="SimHei" w:hAnsi="Arial" w:cs="Arial"/>
                <w:caps/>
                <w:color w:val="auto"/>
                <w:szCs w:val="20"/>
              </w:rPr>
            </w:pPr>
          </w:p>
        </w:tc>
      </w:tr>
      <w:tr w:rsidR="009A45C4" w:rsidRPr="00EE111C" w14:paraId="5B25D0A9" w14:textId="77777777" w:rsidTr="00617E2B">
        <w:trPr>
          <w:trHeight w:val="343"/>
        </w:trPr>
        <w:tc>
          <w:tcPr>
            <w:tcW w:w="1064" w:type="dxa"/>
            <w:shd w:val="clear" w:color="auto" w:fill="C4BC96" w:themeFill="background2" w:themeFillShade="BF"/>
            <w:vAlign w:val="center"/>
          </w:tcPr>
          <w:p w14:paraId="5925692F" w14:textId="77777777" w:rsidR="009A45C4" w:rsidRPr="00EE111C" w:rsidRDefault="009A45C4" w:rsidP="00617E2B">
            <w:pPr>
              <w:numPr>
                <w:ilvl w:val="1"/>
                <w:numId w:val="0"/>
              </w:numPr>
              <w:contextualSpacing/>
              <w:jc w:val="center"/>
              <w:rPr>
                <w:rFonts w:ascii="Arial" w:eastAsia="SimHei" w:hAnsi="Arial" w:cs="Arial"/>
                <w:b/>
                <w:bCs/>
                <w:caps/>
                <w:color w:val="auto"/>
                <w:szCs w:val="20"/>
              </w:rPr>
            </w:pPr>
            <w:r w:rsidRPr="00EE111C">
              <w:rPr>
                <w:rFonts w:ascii="Arial" w:eastAsia="SimHei" w:hAnsi="Arial" w:cs="Arial"/>
                <w:b/>
                <w:bCs/>
                <w:caps/>
                <w:color w:val="auto"/>
                <w:szCs w:val="20"/>
              </w:rPr>
              <w:t>PART 2</w:t>
            </w:r>
          </w:p>
        </w:tc>
        <w:tc>
          <w:tcPr>
            <w:tcW w:w="8859" w:type="dxa"/>
            <w:gridSpan w:val="4"/>
            <w:tcBorders>
              <w:right w:val="nil"/>
            </w:tcBorders>
            <w:shd w:val="clear" w:color="auto" w:fill="C4BC96" w:themeFill="background2" w:themeFillShade="BF"/>
            <w:vAlign w:val="center"/>
          </w:tcPr>
          <w:p w14:paraId="0B411741" w14:textId="77777777" w:rsidR="009A45C4" w:rsidRPr="00EE111C" w:rsidRDefault="009A45C4" w:rsidP="00617E2B">
            <w:pPr>
              <w:numPr>
                <w:ilvl w:val="1"/>
                <w:numId w:val="0"/>
              </w:numPr>
              <w:contextualSpacing/>
              <w:rPr>
                <w:rFonts w:ascii="Arial" w:eastAsia="SimHei" w:hAnsi="Arial" w:cs="Arial"/>
                <w:b/>
                <w:bCs/>
                <w:caps/>
                <w:color w:val="auto"/>
                <w:szCs w:val="20"/>
              </w:rPr>
            </w:pPr>
            <w:r w:rsidRPr="00EE111C">
              <w:rPr>
                <w:rFonts w:ascii="Arial" w:eastAsia="SimHei" w:hAnsi="Arial" w:cs="Arial"/>
                <w:b/>
                <w:bCs/>
                <w:caps/>
                <w:color w:val="auto"/>
                <w:szCs w:val="20"/>
              </w:rPr>
              <w:t>resource &amp; management</w:t>
            </w:r>
          </w:p>
        </w:tc>
      </w:tr>
      <w:tr w:rsidR="009A45C4" w:rsidRPr="00EE111C" w14:paraId="302548A2" w14:textId="77777777" w:rsidTr="00617E2B">
        <w:trPr>
          <w:trHeight w:val="73"/>
        </w:trPr>
        <w:tc>
          <w:tcPr>
            <w:tcW w:w="1064" w:type="dxa"/>
            <w:vAlign w:val="center"/>
          </w:tcPr>
          <w:p w14:paraId="54C2B823" w14:textId="77777777" w:rsidR="009A45C4" w:rsidRPr="00EE111C" w:rsidRDefault="009A45C4" w:rsidP="00617E2B">
            <w:pPr>
              <w:numPr>
                <w:ilvl w:val="1"/>
                <w:numId w:val="0"/>
              </w:numPr>
              <w:contextualSpacing/>
              <w:jc w:val="center"/>
              <w:rPr>
                <w:rFonts w:ascii="Arial" w:eastAsia="SimHei" w:hAnsi="Arial" w:cs="Arial"/>
                <w:caps/>
                <w:color w:val="auto"/>
                <w:szCs w:val="20"/>
              </w:rPr>
            </w:pPr>
            <w:r w:rsidRPr="00EE111C">
              <w:rPr>
                <w:rFonts w:ascii="Arial" w:eastAsia="SimHei" w:hAnsi="Arial" w:cs="Arial"/>
                <w:caps/>
                <w:szCs w:val="20"/>
              </w:rPr>
              <w:t>Q2</w:t>
            </w:r>
          </w:p>
        </w:tc>
        <w:tc>
          <w:tcPr>
            <w:tcW w:w="5032" w:type="dxa"/>
            <w:vAlign w:val="center"/>
          </w:tcPr>
          <w:p w14:paraId="4D1F0143" w14:textId="05D35577" w:rsidR="009A45C4" w:rsidRPr="00EE111C" w:rsidRDefault="009A45C4" w:rsidP="00617E2B">
            <w:pPr>
              <w:pStyle w:val="Parasubclause1"/>
              <w:ind w:left="0"/>
              <w:rPr>
                <w:b/>
                <w:bCs/>
                <w:color w:val="auto"/>
              </w:rPr>
            </w:pPr>
            <w:r w:rsidRPr="00EE111C">
              <w:rPr>
                <w:color w:val="auto"/>
              </w:rPr>
              <w:t xml:space="preserve">Provide details of the team to deliver this work service to the College including roles and experiences </w:t>
            </w:r>
          </w:p>
          <w:p w14:paraId="39804C6B" w14:textId="2FDB297C" w:rsidR="009A45C4" w:rsidRPr="00EE111C" w:rsidRDefault="009A45C4" w:rsidP="00617E2B">
            <w:pPr>
              <w:pStyle w:val="Parasubclause1"/>
              <w:ind w:left="0"/>
              <w:rPr>
                <w:color w:val="auto"/>
              </w:rPr>
            </w:pPr>
            <w:r w:rsidRPr="00EE111C">
              <w:rPr>
                <w:color w:val="auto"/>
              </w:rPr>
              <w:t>CV and roles of Project Manager, site manager and key staff and their experience of working in a live college environment.</w:t>
            </w:r>
          </w:p>
          <w:p w14:paraId="0A007FFD" w14:textId="77777777" w:rsidR="009A45C4" w:rsidRPr="00EE111C" w:rsidRDefault="009A45C4" w:rsidP="00617E2B">
            <w:pPr>
              <w:rPr>
                <w:rFonts w:ascii="Arial" w:eastAsia="SimHei" w:hAnsi="Arial" w:cs="Arial"/>
                <w:caps/>
                <w:color w:val="auto"/>
                <w:szCs w:val="20"/>
              </w:rPr>
            </w:pPr>
          </w:p>
        </w:tc>
        <w:tc>
          <w:tcPr>
            <w:tcW w:w="1333" w:type="dxa"/>
            <w:vAlign w:val="center"/>
          </w:tcPr>
          <w:p w14:paraId="503ABB97" w14:textId="77777777" w:rsidR="009A45C4" w:rsidRPr="00EE111C" w:rsidRDefault="009A45C4" w:rsidP="00617E2B">
            <w:pPr>
              <w:contextualSpacing/>
              <w:jc w:val="center"/>
              <w:rPr>
                <w:rFonts w:ascii="Arial" w:eastAsia="SimHei" w:hAnsi="Arial" w:cs="Arial"/>
                <w:caps/>
                <w:color w:val="auto"/>
                <w:szCs w:val="20"/>
              </w:rPr>
            </w:pPr>
            <w:r w:rsidRPr="00EE111C">
              <w:rPr>
                <w:rFonts w:ascii="Arial" w:eastAsia="SimHei" w:hAnsi="Arial" w:cs="Arial"/>
                <w:caps/>
                <w:szCs w:val="20"/>
              </w:rPr>
              <w:t>[20%]</w:t>
            </w:r>
          </w:p>
        </w:tc>
        <w:tc>
          <w:tcPr>
            <w:tcW w:w="1238" w:type="dxa"/>
            <w:vAlign w:val="center"/>
          </w:tcPr>
          <w:p w14:paraId="783B6FE9" w14:textId="77777777" w:rsidR="009A45C4" w:rsidRPr="00EE111C" w:rsidRDefault="009A45C4" w:rsidP="00617E2B">
            <w:pPr>
              <w:numPr>
                <w:ilvl w:val="1"/>
                <w:numId w:val="0"/>
              </w:numPr>
              <w:contextualSpacing/>
              <w:jc w:val="center"/>
              <w:rPr>
                <w:rFonts w:ascii="Arial" w:eastAsia="SimHei" w:hAnsi="Arial" w:cs="Arial"/>
                <w:caps/>
                <w:color w:val="auto"/>
                <w:szCs w:val="20"/>
              </w:rPr>
            </w:pPr>
          </w:p>
        </w:tc>
        <w:tc>
          <w:tcPr>
            <w:tcW w:w="1256" w:type="dxa"/>
            <w:vAlign w:val="center"/>
          </w:tcPr>
          <w:p w14:paraId="1B41389B" w14:textId="77777777" w:rsidR="009A45C4" w:rsidRPr="00EE111C" w:rsidRDefault="009A45C4" w:rsidP="00617E2B">
            <w:pPr>
              <w:numPr>
                <w:ilvl w:val="1"/>
                <w:numId w:val="0"/>
              </w:numPr>
              <w:contextualSpacing/>
              <w:jc w:val="center"/>
              <w:rPr>
                <w:rFonts w:ascii="Arial" w:eastAsia="SimHei" w:hAnsi="Arial" w:cs="Arial"/>
                <w:caps/>
                <w:color w:val="auto"/>
                <w:szCs w:val="20"/>
              </w:rPr>
            </w:pPr>
          </w:p>
        </w:tc>
      </w:tr>
      <w:tr w:rsidR="009A45C4" w:rsidRPr="00EE111C" w14:paraId="536B883B" w14:textId="77777777" w:rsidTr="00617E2B">
        <w:trPr>
          <w:trHeight w:val="398"/>
        </w:trPr>
        <w:tc>
          <w:tcPr>
            <w:tcW w:w="1064" w:type="dxa"/>
            <w:shd w:val="clear" w:color="auto" w:fill="C4BC96" w:themeFill="background2" w:themeFillShade="BF"/>
            <w:vAlign w:val="center"/>
          </w:tcPr>
          <w:p w14:paraId="21603CC7" w14:textId="77777777" w:rsidR="009A45C4" w:rsidRPr="00EE111C" w:rsidRDefault="009A45C4" w:rsidP="00617E2B">
            <w:pPr>
              <w:numPr>
                <w:ilvl w:val="1"/>
                <w:numId w:val="0"/>
              </w:numPr>
              <w:contextualSpacing/>
              <w:jc w:val="center"/>
              <w:rPr>
                <w:rFonts w:ascii="Arial" w:eastAsia="SimHei" w:hAnsi="Arial" w:cs="Arial"/>
                <w:b/>
                <w:bCs/>
                <w:caps/>
                <w:color w:val="auto"/>
                <w:szCs w:val="20"/>
              </w:rPr>
            </w:pPr>
            <w:r w:rsidRPr="00EE111C">
              <w:rPr>
                <w:rFonts w:ascii="Arial" w:eastAsia="SimHei" w:hAnsi="Arial" w:cs="Arial"/>
                <w:b/>
                <w:bCs/>
                <w:caps/>
                <w:color w:val="auto"/>
                <w:szCs w:val="20"/>
              </w:rPr>
              <w:t>PART 3</w:t>
            </w:r>
          </w:p>
        </w:tc>
        <w:tc>
          <w:tcPr>
            <w:tcW w:w="8859" w:type="dxa"/>
            <w:gridSpan w:val="4"/>
            <w:tcBorders>
              <w:right w:val="nil"/>
            </w:tcBorders>
            <w:shd w:val="clear" w:color="auto" w:fill="C4BC96" w:themeFill="background2" w:themeFillShade="BF"/>
            <w:vAlign w:val="center"/>
          </w:tcPr>
          <w:p w14:paraId="0408748A" w14:textId="77777777" w:rsidR="009A45C4" w:rsidRPr="00EE111C" w:rsidRDefault="009A45C4" w:rsidP="00617E2B">
            <w:pPr>
              <w:numPr>
                <w:ilvl w:val="1"/>
                <w:numId w:val="0"/>
              </w:numPr>
              <w:contextualSpacing/>
              <w:rPr>
                <w:rFonts w:ascii="Arial" w:eastAsia="SimHei" w:hAnsi="Arial" w:cs="Arial"/>
                <w:b/>
                <w:bCs/>
                <w:caps/>
                <w:color w:val="auto"/>
                <w:szCs w:val="20"/>
              </w:rPr>
            </w:pPr>
            <w:r w:rsidRPr="00EE111C">
              <w:rPr>
                <w:rFonts w:ascii="Arial" w:eastAsia="SimHei" w:hAnsi="Arial" w:cs="Arial"/>
                <w:b/>
                <w:bCs/>
                <w:caps/>
                <w:color w:val="auto"/>
                <w:szCs w:val="20"/>
              </w:rPr>
              <w:t>programme</w:t>
            </w:r>
          </w:p>
        </w:tc>
      </w:tr>
      <w:tr w:rsidR="009A45C4" w:rsidRPr="00EE111C" w14:paraId="6D21EB82" w14:textId="77777777" w:rsidTr="00617E2B">
        <w:trPr>
          <w:trHeight w:val="337"/>
        </w:trPr>
        <w:tc>
          <w:tcPr>
            <w:tcW w:w="1064" w:type="dxa"/>
            <w:vAlign w:val="center"/>
          </w:tcPr>
          <w:p w14:paraId="5F561ED1" w14:textId="77777777" w:rsidR="009A45C4" w:rsidRPr="00EE111C" w:rsidRDefault="009A45C4" w:rsidP="00617E2B">
            <w:pPr>
              <w:numPr>
                <w:ilvl w:val="1"/>
                <w:numId w:val="0"/>
              </w:numPr>
              <w:contextualSpacing/>
              <w:jc w:val="center"/>
              <w:rPr>
                <w:rFonts w:ascii="Arial" w:eastAsia="SimHei" w:hAnsi="Arial" w:cs="Arial"/>
                <w:caps/>
                <w:color w:val="auto"/>
                <w:szCs w:val="20"/>
              </w:rPr>
            </w:pPr>
            <w:r w:rsidRPr="00EE111C">
              <w:rPr>
                <w:rFonts w:ascii="Arial" w:eastAsia="SimHei" w:hAnsi="Arial" w:cs="Arial"/>
                <w:caps/>
                <w:szCs w:val="20"/>
              </w:rPr>
              <w:lastRenderedPageBreak/>
              <w:t>Q3</w:t>
            </w:r>
          </w:p>
        </w:tc>
        <w:tc>
          <w:tcPr>
            <w:tcW w:w="5032" w:type="dxa"/>
            <w:vAlign w:val="center"/>
          </w:tcPr>
          <w:p w14:paraId="05E91A89" w14:textId="4FCFD159" w:rsidR="009A45C4" w:rsidRPr="00EE111C" w:rsidRDefault="009A45C4" w:rsidP="00617E2B">
            <w:pPr>
              <w:pStyle w:val="Parasubclause1"/>
              <w:ind w:left="0"/>
              <w:rPr>
                <w:color w:val="auto"/>
              </w:rPr>
            </w:pPr>
            <w:r w:rsidRPr="00EE111C">
              <w:rPr>
                <w:color w:val="auto"/>
              </w:rPr>
              <w:t xml:space="preserve">Please provide examples of  delivering works within a tight </w:t>
            </w:r>
            <w:proofErr w:type="spellStart"/>
            <w:r w:rsidRPr="00EE111C">
              <w:rPr>
                <w:color w:val="auto"/>
              </w:rPr>
              <w:t>programme</w:t>
            </w:r>
            <w:proofErr w:type="spellEnd"/>
            <w:r w:rsidRPr="00EE111C">
              <w:rPr>
                <w:color w:val="auto"/>
              </w:rPr>
              <w:t xml:space="preserve"> for other clients, including contract period illustrating design sign off, lead in periods and on site construction activities to completion.</w:t>
            </w:r>
          </w:p>
          <w:p w14:paraId="5AABAEBE" w14:textId="77777777" w:rsidR="009A45C4" w:rsidRPr="00EE111C" w:rsidRDefault="009A45C4" w:rsidP="00617E2B">
            <w:pPr>
              <w:rPr>
                <w:rFonts w:ascii="Arial" w:eastAsia="SimHei" w:hAnsi="Arial" w:cs="Arial"/>
                <w:caps/>
                <w:color w:val="auto"/>
                <w:szCs w:val="20"/>
              </w:rPr>
            </w:pPr>
          </w:p>
        </w:tc>
        <w:tc>
          <w:tcPr>
            <w:tcW w:w="1333" w:type="dxa"/>
            <w:vAlign w:val="center"/>
          </w:tcPr>
          <w:p w14:paraId="075B98FA" w14:textId="77777777" w:rsidR="009A45C4" w:rsidRPr="00EE111C" w:rsidRDefault="009A45C4" w:rsidP="00617E2B">
            <w:pPr>
              <w:contextualSpacing/>
              <w:jc w:val="center"/>
              <w:rPr>
                <w:rFonts w:ascii="Arial" w:eastAsia="SimHei" w:hAnsi="Arial" w:cs="Arial"/>
                <w:caps/>
                <w:color w:val="auto"/>
                <w:szCs w:val="20"/>
              </w:rPr>
            </w:pPr>
            <w:r w:rsidRPr="00EE111C">
              <w:rPr>
                <w:rFonts w:ascii="Arial" w:eastAsia="SimHei" w:hAnsi="Arial" w:cs="Arial"/>
                <w:caps/>
                <w:szCs w:val="20"/>
              </w:rPr>
              <w:t>[20%]</w:t>
            </w:r>
          </w:p>
        </w:tc>
        <w:tc>
          <w:tcPr>
            <w:tcW w:w="1238" w:type="dxa"/>
            <w:vAlign w:val="center"/>
          </w:tcPr>
          <w:p w14:paraId="60085C26" w14:textId="77777777" w:rsidR="009A45C4" w:rsidRPr="00EE111C" w:rsidRDefault="009A45C4" w:rsidP="00617E2B">
            <w:pPr>
              <w:numPr>
                <w:ilvl w:val="1"/>
                <w:numId w:val="0"/>
              </w:numPr>
              <w:contextualSpacing/>
              <w:jc w:val="center"/>
              <w:rPr>
                <w:rFonts w:ascii="Arial" w:eastAsia="SimHei" w:hAnsi="Arial" w:cs="Arial"/>
                <w:caps/>
                <w:color w:val="auto"/>
                <w:szCs w:val="20"/>
              </w:rPr>
            </w:pPr>
          </w:p>
        </w:tc>
        <w:tc>
          <w:tcPr>
            <w:tcW w:w="1256" w:type="dxa"/>
            <w:vAlign w:val="center"/>
          </w:tcPr>
          <w:p w14:paraId="3BC419E3" w14:textId="77777777" w:rsidR="009A45C4" w:rsidRPr="00EE111C" w:rsidRDefault="009A45C4" w:rsidP="00617E2B">
            <w:pPr>
              <w:numPr>
                <w:ilvl w:val="1"/>
                <w:numId w:val="0"/>
              </w:numPr>
              <w:contextualSpacing/>
              <w:jc w:val="center"/>
              <w:rPr>
                <w:rFonts w:ascii="Arial" w:eastAsia="SimHei" w:hAnsi="Arial" w:cs="Arial"/>
                <w:caps/>
                <w:color w:val="auto"/>
                <w:szCs w:val="20"/>
              </w:rPr>
            </w:pPr>
          </w:p>
        </w:tc>
      </w:tr>
      <w:tr w:rsidR="009A45C4" w:rsidRPr="00EE111C" w14:paraId="583B16C7" w14:textId="77777777" w:rsidTr="00617E2B">
        <w:trPr>
          <w:trHeight w:val="473"/>
        </w:trPr>
        <w:tc>
          <w:tcPr>
            <w:tcW w:w="1064" w:type="dxa"/>
            <w:shd w:val="clear" w:color="auto" w:fill="C4BC96" w:themeFill="background2" w:themeFillShade="BF"/>
            <w:vAlign w:val="center"/>
          </w:tcPr>
          <w:p w14:paraId="4954D675" w14:textId="77777777" w:rsidR="009A45C4" w:rsidRPr="00EE111C" w:rsidRDefault="009A45C4" w:rsidP="00617E2B">
            <w:pPr>
              <w:numPr>
                <w:ilvl w:val="1"/>
                <w:numId w:val="0"/>
              </w:numPr>
              <w:contextualSpacing/>
              <w:jc w:val="center"/>
              <w:rPr>
                <w:rFonts w:ascii="Arial" w:eastAsia="SimHei" w:hAnsi="Arial" w:cs="Arial"/>
                <w:caps/>
                <w:color w:val="auto"/>
                <w:szCs w:val="20"/>
              </w:rPr>
            </w:pPr>
            <w:r w:rsidRPr="00EE111C">
              <w:rPr>
                <w:rFonts w:ascii="Arial" w:eastAsia="SimHei" w:hAnsi="Arial" w:cs="Arial"/>
                <w:b/>
                <w:bCs/>
                <w:caps/>
                <w:color w:val="auto"/>
                <w:szCs w:val="20"/>
              </w:rPr>
              <w:t>PART 4</w:t>
            </w:r>
          </w:p>
        </w:tc>
        <w:tc>
          <w:tcPr>
            <w:tcW w:w="8859" w:type="dxa"/>
            <w:gridSpan w:val="4"/>
            <w:shd w:val="clear" w:color="auto" w:fill="C4BC96" w:themeFill="background2" w:themeFillShade="BF"/>
            <w:vAlign w:val="center"/>
          </w:tcPr>
          <w:p w14:paraId="56B426A3" w14:textId="77777777" w:rsidR="009A45C4" w:rsidRPr="00EE111C" w:rsidRDefault="009A45C4" w:rsidP="00617E2B">
            <w:pPr>
              <w:numPr>
                <w:ilvl w:val="1"/>
                <w:numId w:val="0"/>
              </w:numPr>
              <w:contextualSpacing/>
              <w:rPr>
                <w:rFonts w:ascii="Arial" w:eastAsia="SimHei" w:hAnsi="Arial" w:cs="Arial"/>
                <w:caps/>
                <w:color w:val="auto"/>
                <w:szCs w:val="20"/>
              </w:rPr>
            </w:pPr>
            <w:r w:rsidRPr="00EE111C">
              <w:rPr>
                <w:rFonts w:ascii="Arial" w:eastAsia="SimHei" w:hAnsi="Arial" w:cs="Arial"/>
                <w:b/>
                <w:bCs/>
                <w:caps/>
                <w:color w:val="auto"/>
                <w:szCs w:val="20"/>
              </w:rPr>
              <w:t>health &amp; safety</w:t>
            </w:r>
          </w:p>
        </w:tc>
      </w:tr>
      <w:tr w:rsidR="009A45C4" w:rsidRPr="00DF41D7" w14:paraId="71D6BA3D" w14:textId="77777777" w:rsidTr="00617E2B">
        <w:trPr>
          <w:trHeight w:val="267"/>
        </w:trPr>
        <w:tc>
          <w:tcPr>
            <w:tcW w:w="1064" w:type="dxa"/>
            <w:vAlign w:val="center"/>
          </w:tcPr>
          <w:p w14:paraId="6DE5A8C8" w14:textId="77777777" w:rsidR="009A45C4" w:rsidRPr="00EE111C" w:rsidRDefault="009A45C4" w:rsidP="00617E2B">
            <w:pPr>
              <w:numPr>
                <w:ilvl w:val="1"/>
                <w:numId w:val="0"/>
              </w:numPr>
              <w:contextualSpacing/>
              <w:jc w:val="center"/>
              <w:rPr>
                <w:rFonts w:ascii="Arial" w:eastAsia="SimHei" w:hAnsi="Arial" w:cs="Arial"/>
                <w:caps/>
                <w:color w:val="auto"/>
                <w:szCs w:val="20"/>
              </w:rPr>
            </w:pPr>
            <w:r w:rsidRPr="00EE111C">
              <w:rPr>
                <w:rFonts w:ascii="Arial" w:eastAsia="SimHei" w:hAnsi="Arial" w:cs="Arial"/>
                <w:caps/>
                <w:szCs w:val="20"/>
              </w:rPr>
              <w:t>Q4</w:t>
            </w:r>
          </w:p>
        </w:tc>
        <w:tc>
          <w:tcPr>
            <w:tcW w:w="5032" w:type="dxa"/>
            <w:vAlign w:val="center"/>
          </w:tcPr>
          <w:p w14:paraId="1E88EE5B" w14:textId="5E850344" w:rsidR="009A45C4" w:rsidRPr="00EE111C" w:rsidRDefault="009A45C4" w:rsidP="00617E2B">
            <w:pPr>
              <w:pStyle w:val="Parasubclause1"/>
              <w:ind w:left="0"/>
              <w:rPr>
                <w:color w:val="auto"/>
              </w:rPr>
            </w:pPr>
            <w:r w:rsidRPr="00EE111C">
              <w:rPr>
                <w:color w:val="auto"/>
              </w:rPr>
              <w:t>Please describe how Health and Safety is managed within you company, to cover all the aspects required by this Tender and all associated Health &amp; Safety Legislation.  Please provide copies of any documentation you may have which provides evidence of the Health &amp; Safety Management employed within the company.  It is anticipated that the supplier will have ISO45001 or is working towards achieving this. This will be a ‘live’ college environment and the college needs comfort that the works will be segregated and carried out safely from students, staff and visitors.</w:t>
            </w:r>
          </w:p>
        </w:tc>
        <w:tc>
          <w:tcPr>
            <w:tcW w:w="1333" w:type="dxa"/>
            <w:vAlign w:val="center"/>
          </w:tcPr>
          <w:p w14:paraId="062CC98B" w14:textId="77777777" w:rsidR="009A45C4" w:rsidRPr="00150692" w:rsidRDefault="009A45C4" w:rsidP="00617E2B">
            <w:pPr>
              <w:contextualSpacing/>
              <w:jc w:val="center"/>
              <w:rPr>
                <w:rFonts w:ascii="Arial" w:eastAsia="SimHei" w:hAnsi="Arial" w:cs="Arial"/>
                <w:caps/>
                <w:color w:val="auto"/>
                <w:szCs w:val="20"/>
              </w:rPr>
            </w:pPr>
            <w:r w:rsidRPr="00EE111C">
              <w:rPr>
                <w:rFonts w:ascii="Arial" w:eastAsia="SimHei" w:hAnsi="Arial" w:cs="Arial"/>
                <w:caps/>
                <w:szCs w:val="20"/>
              </w:rPr>
              <w:t>[10%]</w:t>
            </w:r>
          </w:p>
        </w:tc>
        <w:tc>
          <w:tcPr>
            <w:tcW w:w="1238" w:type="dxa"/>
            <w:vAlign w:val="center"/>
          </w:tcPr>
          <w:p w14:paraId="7F3C7A9C" w14:textId="77777777" w:rsidR="009A45C4" w:rsidRPr="00150692" w:rsidRDefault="009A45C4" w:rsidP="00617E2B">
            <w:pPr>
              <w:numPr>
                <w:ilvl w:val="1"/>
                <w:numId w:val="0"/>
              </w:numPr>
              <w:contextualSpacing/>
              <w:jc w:val="center"/>
              <w:rPr>
                <w:rFonts w:ascii="Arial" w:eastAsia="SimHei" w:hAnsi="Arial" w:cs="Arial"/>
                <w:caps/>
                <w:color w:val="auto"/>
                <w:szCs w:val="20"/>
              </w:rPr>
            </w:pPr>
          </w:p>
        </w:tc>
        <w:tc>
          <w:tcPr>
            <w:tcW w:w="1256" w:type="dxa"/>
            <w:vAlign w:val="center"/>
          </w:tcPr>
          <w:p w14:paraId="4E38BDD0" w14:textId="77777777" w:rsidR="009A45C4" w:rsidRPr="00150692" w:rsidRDefault="009A45C4" w:rsidP="00617E2B">
            <w:pPr>
              <w:numPr>
                <w:ilvl w:val="1"/>
                <w:numId w:val="0"/>
              </w:numPr>
              <w:contextualSpacing/>
              <w:jc w:val="center"/>
              <w:rPr>
                <w:rFonts w:ascii="Arial" w:eastAsia="SimHei" w:hAnsi="Arial" w:cs="Arial"/>
                <w:caps/>
                <w:color w:val="auto"/>
                <w:szCs w:val="20"/>
              </w:rPr>
            </w:pPr>
          </w:p>
        </w:tc>
      </w:tr>
    </w:tbl>
    <w:p w14:paraId="264A8ACE" w14:textId="470EFD40" w:rsidR="00596837" w:rsidRDefault="00596837" w:rsidP="00BA3942">
      <w:pPr>
        <w:pStyle w:val="TitleClause"/>
      </w:pPr>
      <w:r>
        <w:t>Applicable Policies</w:t>
      </w:r>
    </w:p>
    <w:p w14:paraId="168C2C19" w14:textId="32238C66" w:rsidR="00596837" w:rsidRPr="00CD500E" w:rsidRDefault="00596837" w:rsidP="00CD500E">
      <w:pPr>
        <w:pStyle w:val="TitleClause"/>
        <w:numPr>
          <w:ilvl w:val="0"/>
          <w:numId w:val="0"/>
        </w:numPr>
        <w:ind w:left="720"/>
        <w:rPr>
          <w:b w:val="0"/>
          <w:bCs/>
        </w:rPr>
      </w:pPr>
      <w:r w:rsidRPr="00CD500E">
        <w:rPr>
          <w:b w:val="0"/>
          <w:bCs/>
        </w:rPr>
        <w:t xml:space="preserve">The </w:t>
      </w:r>
      <w:r w:rsidR="003B1C82">
        <w:rPr>
          <w:b w:val="0"/>
          <w:bCs/>
        </w:rPr>
        <w:t>Tenderer</w:t>
      </w:r>
      <w:r w:rsidR="003B1C82" w:rsidRPr="00CD500E">
        <w:rPr>
          <w:b w:val="0"/>
          <w:bCs/>
        </w:rPr>
        <w:t xml:space="preserve"> </w:t>
      </w:r>
      <w:r w:rsidRPr="00CD500E">
        <w:rPr>
          <w:b w:val="0"/>
          <w:bCs/>
        </w:rPr>
        <w:t xml:space="preserve">shall comply with the </w:t>
      </w:r>
      <w:r>
        <w:rPr>
          <w:b w:val="0"/>
          <w:bCs/>
        </w:rPr>
        <w:t xml:space="preserve">Applicable Policies </w:t>
      </w:r>
      <w:r w:rsidRPr="00CD500E">
        <w:rPr>
          <w:b w:val="0"/>
          <w:bCs/>
        </w:rPr>
        <w:t xml:space="preserve">as set out at Schedule </w:t>
      </w:r>
      <w:r>
        <w:rPr>
          <w:b w:val="0"/>
          <w:bCs/>
        </w:rPr>
        <w:t>4</w:t>
      </w:r>
      <w:r w:rsidRPr="00CD500E">
        <w:rPr>
          <w:b w:val="0"/>
          <w:bCs/>
        </w:rPr>
        <w:t>.</w:t>
      </w:r>
    </w:p>
    <w:p w14:paraId="31181DCF" w14:textId="0A3820AF" w:rsidR="00BA3942" w:rsidRDefault="00BA3942" w:rsidP="00BA3942">
      <w:pPr>
        <w:pStyle w:val="TitleClause"/>
      </w:pPr>
      <w:r>
        <w:t>Construction Specific Requirements</w:t>
      </w:r>
      <w:bookmarkEnd w:id="37"/>
      <w:r>
        <w:t xml:space="preserve"> </w:t>
      </w:r>
    </w:p>
    <w:p w14:paraId="053C674B" w14:textId="59F7741D" w:rsidR="00BA3942" w:rsidRPr="00C516B0" w:rsidRDefault="00BA3942" w:rsidP="00BA3942">
      <w:pPr>
        <w:pStyle w:val="Parasubclause1"/>
      </w:pPr>
      <w:r>
        <w:t xml:space="preserve">The </w:t>
      </w:r>
      <w:r w:rsidR="003B1C82">
        <w:t xml:space="preserve">Tenderer </w:t>
      </w:r>
      <w:r>
        <w:t xml:space="preserve">shall comply with the construction specific requirements as set out at Schedule </w:t>
      </w:r>
      <w:r w:rsidR="60654993">
        <w:t>9</w:t>
      </w:r>
      <w:r w:rsidR="002C7D90">
        <w:t>.</w:t>
      </w:r>
    </w:p>
    <w:p w14:paraId="0BD5C2A2" w14:textId="052E6E35" w:rsidR="00CC52C0" w:rsidRDefault="0056680E" w:rsidP="00C516B0">
      <w:pPr>
        <w:pStyle w:val="Schedule"/>
        <w:numPr>
          <w:ilvl w:val="0"/>
          <w:numId w:val="22"/>
        </w:numPr>
        <w:rPr>
          <w:rFonts w:ascii="Arial" w:hAnsi="Arial" w:cs="Arial"/>
          <w:color w:val="000000"/>
        </w:rPr>
      </w:pPr>
      <w:r>
        <w:rPr>
          <w:rFonts w:ascii="Arial" w:hAnsi="Arial" w:cs="Arial"/>
          <w:color w:val="000000"/>
        </w:rPr>
        <w:lastRenderedPageBreak/>
        <w:t xml:space="preserve">Draft </w:t>
      </w:r>
      <w:r w:rsidR="00516A4A">
        <w:rPr>
          <w:rFonts w:ascii="Arial" w:hAnsi="Arial" w:cs="Arial"/>
          <w:color w:val="000000"/>
        </w:rPr>
        <w:t>Framework</w:t>
      </w:r>
      <w:r w:rsidR="00EA042E">
        <w:rPr>
          <w:rFonts w:ascii="Arial" w:hAnsi="Arial" w:cs="Arial"/>
          <w:color w:val="000000"/>
        </w:rPr>
        <w:t>, including draft Call-Off Contract</w:t>
      </w:r>
      <w:bookmarkEnd w:id="38"/>
    </w:p>
    <w:bookmarkStart w:id="39" w:name="_MON_1840701729"/>
    <w:bookmarkEnd w:id="39"/>
    <w:p w14:paraId="5B6ABA6A" w14:textId="5A3EA538" w:rsidR="0037395B" w:rsidRPr="0037395B" w:rsidRDefault="00356839" w:rsidP="0037395B">
      <w:pPr>
        <w:pStyle w:val="Part"/>
        <w:numPr>
          <w:ilvl w:val="0"/>
          <w:numId w:val="0"/>
        </w:numPr>
      </w:pPr>
      <w:r>
        <w:object w:dxaOrig="1543" w:dyaOrig="998" w14:anchorId="4D9860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5pt;height:49.6pt" o:ole="">
            <v:imagedata r:id="rId16" o:title=""/>
          </v:shape>
          <o:OLEObject Type="Embed" ProgID="Word.Document.12" ShapeID="_x0000_i1025" DrawAspect="Icon" ObjectID="_1840702045" r:id="rId17">
            <o:FieldCodes>\s</o:FieldCodes>
          </o:OLEObject>
        </w:object>
      </w:r>
      <w:bookmarkStart w:id="40" w:name="_MON_1840701733"/>
      <w:bookmarkEnd w:id="40"/>
      <w:r>
        <w:object w:dxaOrig="1543" w:dyaOrig="998" w14:anchorId="30553DDF">
          <v:shape id="_x0000_i1026" type="#_x0000_t75" style="width:77.45pt;height:49.6pt" o:ole="">
            <v:imagedata r:id="rId18" o:title=""/>
          </v:shape>
          <o:OLEObject Type="Embed" ProgID="Word.Document.12" ShapeID="_x0000_i1026" DrawAspect="Icon" ObjectID="_1840702046" r:id="rId19">
            <o:FieldCodes>\s</o:FieldCodes>
          </o:OLEObject>
        </w:object>
      </w:r>
    </w:p>
    <w:p w14:paraId="69C8FBA3" w14:textId="77777777" w:rsidR="00CC52C0" w:rsidRDefault="00A01C2C" w:rsidP="00C516B0">
      <w:pPr>
        <w:pStyle w:val="Schedule"/>
        <w:numPr>
          <w:ilvl w:val="0"/>
          <w:numId w:val="22"/>
        </w:numPr>
        <w:rPr>
          <w:rFonts w:ascii="Arial" w:hAnsi="Arial" w:cs="Arial"/>
          <w:color w:val="000000"/>
        </w:rPr>
      </w:pPr>
      <w:bookmarkStart w:id="41" w:name="a150328"/>
      <w:r w:rsidRPr="00C516B0">
        <w:rPr>
          <w:rFonts w:ascii="Arial" w:hAnsi="Arial" w:cs="Arial"/>
          <w:color w:val="000000"/>
        </w:rPr>
        <w:lastRenderedPageBreak/>
        <w:t>Applicable policies</w:t>
      </w:r>
      <w:bookmarkEnd w:id="41"/>
    </w:p>
    <w:p w14:paraId="162D2540" w14:textId="65E0AAFE" w:rsidR="00350335" w:rsidRPr="00350335" w:rsidRDefault="00D04FA5" w:rsidP="00D04FA5">
      <w:pPr>
        <w:pStyle w:val="Part"/>
        <w:numPr>
          <w:ilvl w:val="0"/>
          <w:numId w:val="0"/>
        </w:numPr>
      </w:pPr>
      <w:hyperlink r:id="rId20" w:history="1">
        <w:r w:rsidRPr="00D04FA5">
          <w:rPr>
            <w:rStyle w:val="Hyperlink"/>
            <w:rFonts w:asciiTheme="minorHAnsi" w:hAnsiTheme="minorHAnsi"/>
          </w:rPr>
          <w:t>https://www.cymoedd.ac.uk/wp-content/uploads/2022/01/Safeguarding-and-PREVENT-Policy.pdf</w:t>
        </w:r>
      </w:hyperlink>
    </w:p>
    <w:p w14:paraId="5E6A9825" w14:textId="77777777" w:rsidR="00CC52C0" w:rsidRPr="00C516B0" w:rsidRDefault="00A01C2C" w:rsidP="00C516B0">
      <w:pPr>
        <w:pStyle w:val="Schedule"/>
        <w:numPr>
          <w:ilvl w:val="0"/>
          <w:numId w:val="22"/>
        </w:numPr>
        <w:rPr>
          <w:rFonts w:ascii="Arial" w:hAnsi="Arial" w:cs="Arial"/>
        </w:rPr>
      </w:pPr>
      <w:bookmarkStart w:id="42" w:name="a823738"/>
      <w:r w:rsidRPr="00C516B0">
        <w:rPr>
          <w:rFonts w:ascii="Arial" w:hAnsi="Arial" w:cs="Arial"/>
          <w:color w:val="000000"/>
        </w:rPr>
        <w:lastRenderedPageBreak/>
        <w:t>Commercially sensitive information.</w:t>
      </w:r>
      <w:bookmarkEnd w:id="42"/>
    </w:p>
    <w:p w14:paraId="3A5BADEA" w14:textId="77777777" w:rsidR="00CC52C0" w:rsidRPr="00C516B0" w:rsidRDefault="00A01C2C">
      <w:pPr>
        <w:pStyle w:val="Paragraph"/>
        <w:rPr>
          <w:b/>
        </w:rPr>
      </w:pPr>
      <w:r w:rsidRPr="00C516B0">
        <w:rPr>
          <w:b/>
        </w:rPr>
        <w:t>Commercially sensitive information</w:t>
      </w:r>
    </w:p>
    <w:p w14:paraId="6A2BC81E" w14:textId="25C171FA" w:rsidR="00CC52C0" w:rsidRPr="00C516B0" w:rsidRDefault="00A01C2C">
      <w:pPr>
        <w:pStyle w:val="Paragraph"/>
      </w:pPr>
      <w:r w:rsidRPr="00C516B0">
        <w:t>I declare that I wish the following information to be designated as commercially sensitive.</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0"/>
      </w:tblGrid>
      <w:tr w:rsidR="00492069" w:rsidRPr="00C516B0" w14:paraId="6B5D1B05" w14:textId="77777777">
        <w:tc>
          <w:tcPr>
            <w:tcW w:w="5000" w:type="pct"/>
            <w:tcBorders>
              <w:top w:val="single" w:sz="8" w:space="0" w:color="000000"/>
              <w:left w:val="single" w:sz="8" w:space="0" w:color="000000"/>
              <w:bottom w:val="single" w:sz="8" w:space="0" w:color="000000"/>
              <w:right w:val="single" w:sz="8" w:space="0" w:color="000000"/>
            </w:tcBorders>
          </w:tcPr>
          <w:p w14:paraId="2CA90622" w14:textId="77777777" w:rsidR="00CC52C0" w:rsidRPr="00C516B0" w:rsidRDefault="00A01C2C">
            <w:pPr>
              <w:pStyle w:val="Paragraph"/>
              <w:jc w:val="left"/>
            </w:pPr>
            <w:r w:rsidRPr="00C516B0">
              <w:t> </w:t>
            </w:r>
          </w:p>
        </w:tc>
      </w:tr>
    </w:tbl>
    <w:p w14:paraId="6DE27265" w14:textId="77777777" w:rsidR="00CC52C0" w:rsidRPr="00C516B0" w:rsidRDefault="00A01C2C">
      <w:pPr>
        <w:pStyle w:val="Paragraph"/>
      </w:pPr>
      <w:r w:rsidRPr="00C516B0">
        <w:t>The reason(s) it is considered that this information should be exempt under FOIA is: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0"/>
      </w:tblGrid>
      <w:tr w:rsidR="00492069" w:rsidRPr="00C516B0" w14:paraId="20F96684" w14:textId="77777777">
        <w:tc>
          <w:tcPr>
            <w:tcW w:w="5000" w:type="pct"/>
            <w:tcBorders>
              <w:top w:val="single" w:sz="8" w:space="0" w:color="000000"/>
              <w:left w:val="single" w:sz="8" w:space="0" w:color="000000"/>
              <w:bottom w:val="single" w:sz="8" w:space="0" w:color="000000"/>
              <w:right w:val="single" w:sz="8" w:space="0" w:color="000000"/>
            </w:tcBorders>
          </w:tcPr>
          <w:p w14:paraId="234B75F8" w14:textId="77777777" w:rsidR="00CC52C0" w:rsidRPr="00C516B0" w:rsidRDefault="00A01C2C">
            <w:pPr>
              <w:pStyle w:val="Paragraph"/>
              <w:jc w:val="left"/>
            </w:pPr>
            <w:r w:rsidRPr="00C516B0">
              <w:t> </w:t>
            </w:r>
          </w:p>
        </w:tc>
      </w:tr>
    </w:tbl>
    <w:p w14:paraId="1ADE8B01" w14:textId="6146896B" w:rsidR="00CC52C0" w:rsidRPr="00C516B0" w:rsidRDefault="00A01C2C">
      <w:pPr>
        <w:pStyle w:val="Paragraph"/>
      </w:pPr>
      <w:r w:rsidRPr="00C516B0">
        <w:t xml:space="preserve">The period of time for which it is considered this information should be exempt is [during the period of the </w:t>
      </w:r>
      <w:r w:rsidR="00516A4A">
        <w:t>Framework</w:t>
      </w:r>
      <w:r w:rsidRPr="00C516B0">
        <w:t xml:space="preserve"> </w:t>
      </w:r>
      <w:r w:rsidRPr="00C516B0">
        <w:rPr>
          <w:b/>
        </w:rPr>
        <w:t>OR</w:t>
      </w:r>
      <w:r w:rsidRPr="00C516B0">
        <w:t xml:space="preserve"> for a period of [NUMBER] years until [MONTH], [YEAR]].</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789"/>
        <w:gridCol w:w="13"/>
        <w:gridCol w:w="6512"/>
        <w:gridCol w:w="26"/>
      </w:tblGrid>
      <w:tr w:rsidR="00492069" w:rsidRPr="00C516B0" w14:paraId="74DD59F1" w14:textId="77777777" w:rsidTr="004B7409">
        <w:trPr>
          <w:gridAfter w:val="1"/>
          <w:wAfter w:w="14" w:type="pct"/>
        </w:trPr>
        <w:tc>
          <w:tcPr>
            <w:tcW w:w="4986" w:type="pct"/>
            <w:gridSpan w:val="3"/>
            <w:tcBorders>
              <w:top w:val="single" w:sz="8" w:space="0" w:color="000000"/>
              <w:left w:val="single" w:sz="8" w:space="0" w:color="000000"/>
              <w:bottom w:val="single" w:sz="8" w:space="0" w:color="000000"/>
              <w:right w:val="single" w:sz="8" w:space="0" w:color="000000"/>
            </w:tcBorders>
          </w:tcPr>
          <w:p w14:paraId="66876FEA" w14:textId="77777777" w:rsidR="00CC52C0" w:rsidRPr="00C516B0" w:rsidRDefault="00A01C2C">
            <w:pPr>
              <w:pStyle w:val="Paragraph"/>
              <w:jc w:val="left"/>
            </w:pPr>
            <w:r w:rsidRPr="00C516B0">
              <w:t> </w:t>
            </w:r>
          </w:p>
        </w:tc>
      </w:tr>
      <w:tr w:rsidR="00492069" w:rsidRPr="00C516B0" w14:paraId="717854D2" w14:textId="77777777" w:rsidTr="004B7409">
        <w:tblPrEx>
          <w:tblBorders>
            <w:top w:val="nil"/>
            <w:left w:val="nil"/>
            <w:bottom w:val="nil"/>
            <w:right w:val="nil"/>
            <w:insideH w:val="nil"/>
            <w:insideV w:val="nil"/>
          </w:tblBorders>
        </w:tblPrEx>
        <w:tc>
          <w:tcPr>
            <w:tcW w:w="1493" w:type="pct"/>
            <w:tcBorders>
              <w:top w:val="nil"/>
              <w:left w:val="nil"/>
              <w:bottom w:val="nil"/>
              <w:right w:val="nil"/>
            </w:tcBorders>
          </w:tcPr>
          <w:p w14:paraId="6AD06F01" w14:textId="77777777" w:rsidR="00CC52C0" w:rsidRPr="00C516B0" w:rsidRDefault="00A01C2C">
            <w:pPr>
              <w:pStyle w:val="Paragraph"/>
              <w:jc w:val="left"/>
            </w:pPr>
            <w:r w:rsidRPr="00C516B0">
              <w:t>SIGNATURE:</w:t>
            </w:r>
          </w:p>
        </w:tc>
        <w:tc>
          <w:tcPr>
            <w:tcW w:w="3507" w:type="pct"/>
            <w:gridSpan w:val="3"/>
            <w:tcBorders>
              <w:top w:val="nil"/>
              <w:left w:val="nil"/>
              <w:bottom w:val="nil"/>
              <w:right w:val="nil"/>
            </w:tcBorders>
          </w:tcPr>
          <w:p w14:paraId="593F6E53" w14:textId="77777777" w:rsidR="00CC52C0" w:rsidRPr="00C516B0" w:rsidRDefault="00A01C2C">
            <w:pPr>
              <w:pStyle w:val="Paragraph"/>
              <w:jc w:val="left"/>
            </w:pPr>
            <w:r w:rsidRPr="00C516B0">
              <w:t>_________________________________________</w:t>
            </w:r>
          </w:p>
        </w:tc>
      </w:tr>
      <w:tr w:rsidR="00492069" w:rsidRPr="00C516B0" w14:paraId="3ABE03EE" w14:textId="77777777" w:rsidTr="004B7409">
        <w:tblPrEx>
          <w:tblBorders>
            <w:top w:val="nil"/>
            <w:left w:val="nil"/>
            <w:bottom w:val="nil"/>
            <w:right w:val="nil"/>
            <w:insideH w:val="nil"/>
            <w:insideV w:val="nil"/>
          </w:tblBorders>
        </w:tblPrEx>
        <w:tc>
          <w:tcPr>
            <w:tcW w:w="1493" w:type="pct"/>
            <w:tcBorders>
              <w:top w:val="nil"/>
              <w:left w:val="nil"/>
              <w:bottom w:val="nil"/>
              <w:right w:val="nil"/>
            </w:tcBorders>
          </w:tcPr>
          <w:p w14:paraId="305AE0FE" w14:textId="77777777" w:rsidR="00CC52C0" w:rsidRPr="00C516B0" w:rsidRDefault="00A01C2C">
            <w:pPr>
              <w:pStyle w:val="Paragraph"/>
              <w:jc w:val="left"/>
            </w:pPr>
            <w:r w:rsidRPr="00C516B0">
              <w:t>NAME (PRINT):</w:t>
            </w:r>
          </w:p>
        </w:tc>
        <w:tc>
          <w:tcPr>
            <w:tcW w:w="3507" w:type="pct"/>
            <w:gridSpan w:val="3"/>
            <w:tcBorders>
              <w:top w:val="nil"/>
              <w:left w:val="nil"/>
              <w:bottom w:val="nil"/>
              <w:right w:val="nil"/>
            </w:tcBorders>
          </w:tcPr>
          <w:p w14:paraId="29764EE9" w14:textId="77777777" w:rsidR="00CC52C0" w:rsidRPr="00C516B0" w:rsidRDefault="00A01C2C">
            <w:pPr>
              <w:pStyle w:val="Paragraph"/>
              <w:jc w:val="left"/>
            </w:pPr>
            <w:r w:rsidRPr="00C516B0">
              <w:t>_________________________________________</w:t>
            </w:r>
          </w:p>
        </w:tc>
      </w:tr>
      <w:tr w:rsidR="00492069" w:rsidRPr="00C516B0" w14:paraId="440E52FD" w14:textId="77777777" w:rsidTr="004B7409">
        <w:tblPrEx>
          <w:tblBorders>
            <w:top w:val="nil"/>
            <w:left w:val="nil"/>
            <w:bottom w:val="nil"/>
            <w:right w:val="nil"/>
            <w:insideH w:val="nil"/>
            <w:insideV w:val="nil"/>
          </w:tblBorders>
        </w:tblPrEx>
        <w:tc>
          <w:tcPr>
            <w:tcW w:w="1493" w:type="pct"/>
            <w:tcBorders>
              <w:top w:val="nil"/>
              <w:left w:val="nil"/>
              <w:bottom w:val="nil"/>
              <w:right w:val="nil"/>
            </w:tcBorders>
          </w:tcPr>
          <w:p w14:paraId="26A99FA6" w14:textId="77777777" w:rsidR="00CC52C0" w:rsidRPr="00C516B0" w:rsidRDefault="00A01C2C">
            <w:pPr>
              <w:pStyle w:val="Paragraph"/>
              <w:jc w:val="left"/>
            </w:pPr>
            <w:r w:rsidRPr="00C516B0">
              <w:t>POSITION:</w:t>
            </w:r>
          </w:p>
        </w:tc>
        <w:tc>
          <w:tcPr>
            <w:tcW w:w="3507" w:type="pct"/>
            <w:gridSpan w:val="3"/>
            <w:tcBorders>
              <w:top w:val="nil"/>
              <w:left w:val="nil"/>
              <w:bottom w:val="nil"/>
              <w:right w:val="nil"/>
            </w:tcBorders>
          </w:tcPr>
          <w:p w14:paraId="545E6325" w14:textId="77777777" w:rsidR="00CC52C0" w:rsidRPr="00C516B0" w:rsidRDefault="00A01C2C">
            <w:pPr>
              <w:pStyle w:val="Paragraph"/>
              <w:jc w:val="left"/>
            </w:pPr>
            <w:r w:rsidRPr="00C516B0">
              <w:t>_________________________________________</w:t>
            </w:r>
          </w:p>
        </w:tc>
      </w:tr>
      <w:tr w:rsidR="00492069" w:rsidRPr="00C516B0" w14:paraId="38EE6FF0" w14:textId="77777777" w:rsidTr="004B7409">
        <w:tblPrEx>
          <w:tblBorders>
            <w:top w:val="nil"/>
            <w:left w:val="nil"/>
            <w:bottom w:val="nil"/>
            <w:right w:val="nil"/>
            <w:insideH w:val="nil"/>
            <w:insideV w:val="nil"/>
          </w:tblBorders>
        </w:tblPrEx>
        <w:tc>
          <w:tcPr>
            <w:tcW w:w="1493" w:type="pct"/>
            <w:tcBorders>
              <w:top w:val="nil"/>
              <w:left w:val="nil"/>
              <w:bottom w:val="nil"/>
              <w:right w:val="nil"/>
            </w:tcBorders>
          </w:tcPr>
          <w:p w14:paraId="749297DD" w14:textId="77777777" w:rsidR="00CC52C0" w:rsidRPr="00C516B0" w:rsidRDefault="00A01C2C">
            <w:pPr>
              <w:pStyle w:val="Paragraph"/>
              <w:jc w:val="left"/>
            </w:pPr>
            <w:r w:rsidRPr="00C516B0">
              <w:t>COMPANY:</w:t>
            </w:r>
          </w:p>
        </w:tc>
        <w:tc>
          <w:tcPr>
            <w:tcW w:w="3507" w:type="pct"/>
            <w:gridSpan w:val="3"/>
            <w:tcBorders>
              <w:top w:val="nil"/>
              <w:left w:val="nil"/>
              <w:bottom w:val="nil"/>
              <w:right w:val="nil"/>
            </w:tcBorders>
          </w:tcPr>
          <w:p w14:paraId="36D8DEF7" w14:textId="77777777" w:rsidR="00CC52C0" w:rsidRPr="00C516B0" w:rsidRDefault="00A01C2C">
            <w:pPr>
              <w:pStyle w:val="Paragraph"/>
              <w:jc w:val="left"/>
            </w:pPr>
            <w:r w:rsidRPr="00C516B0">
              <w:t>_________________________________________</w:t>
            </w:r>
          </w:p>
        </w:tc>
      </w:tr>
      <w:tr w:rsidR="00492069" w:rsidRPr="00C516B0" w14:paraId="32DBC854" w14:textId="77777777" w:rsidTr="004B7409">
        <w:tblPrEx>
          <w:tblBorders>
            <w:top w:val="nil"/>
            <w:left w:val="nil"/>
            <w:bottom w:val="nil"/>
            <w:right w:val="nil"/>
            <w:insideH w:val="nil"/>
            <w:insideV w:val="nil"/>
          </w:tblBorders>
        </w:tblPrEx>
        <w:tc>
          <w:tcPr>
            <w:tcW w:w="1493" w:type="pct"/>
            <w:tcBorders>
              <w:top w:val="nil"/>
              <w:left w:val="nil"/>
              <w:bottom w:val="nil"/>
              <w:right w:val="nil"/>
            </w:tcBorders>
          </w:tcPr>
          <w:p w14:paraId="2E492B98" w14:textId="77777777" w:rsidR="00CC52C0" w:rsidRPr="00C516B0" w:rsidRDefault="00A01C2C">
            <w:pPr>
              <w:pStyle w:val="Paragraph"/>
              <w:jc w:val="left"/>
            </w:pPr>
            <w:r w:rsidRPr="00C516B0">
              <w:t>DATE:</w:t>
            </w:r>
          </w:p>
        </w:tc>
        <w:tc>
          <w:tcPr>
            <w:tcW w:w="3507" w:type="pct"/>
            <w:gridSpan w:val="3"/>
            <w:tcBorders>
              <w:top w:val="nil"/>
              <w:left w:val="nil"/>
              <w:bottom w:val="nil"/>
              <w:right w:val="nil"/>
            </w:tcBorders>
          </w:tcPr>
          <w:p w14:paraId="481A4527" w14:textId="77777777" w:rsidR="00CC52C0" w:rsidRPr="00C516B0" w:rsidRDefault="00A01C2C">
            <w:pPr>
              <w:pStyle w:val="Paragraph"/>
              <w:jc w:val="left"/>
            </w:pPr>
            <w:r w:rsidRPr="00C516B0">
              <w:t>_________________________________________</w:t>
            </w:r>
          </w:p>
        </w:tc>
      </w:tr>
      <w:tr w:rsidR="00492069" w:rsidRPr="00C516B0" w14:paraId="38EF896A" w14:textId="77777777">
        <w:tblPrEx>
          <w:tblBorders>
            <w:top w:val="nil"/>
            <w:left w:val="nil"/>
            <w:bottom w:val="nil"/>
            <w:right w:val="nil"/>
            <w:insideH w:val="nil"/>
            <w:insideV w:val="nil"/>
          </w:tblBorders>
        </w:tblPrEx>
        <w:tc>
          <w:tcPr>
            <w:tcW w:w="1500" w:type="pct"/>
            <w:gridSpan w:val="2"/>
            <w:tcBorders>
              <w:top w:val="nil"/>
              <w:left w:val="nil"/>
              <w:bottom w:val="nil"/>
              <w:right w:val="nil"/>
            </w:tcBorders>
          </w:tcPr>
          <w:p w14:paraId="5D13F7D4" w14:textId="77777777" w:rsidR="00CC52C0" w:rsidRPr="00C516B0" w:rsidRDefault="00A01C2C">
            <w:pPr>
              <w:pStyle w:val="Paragraph"/>
              <w:jc w:val="left"/>
            </w:pPr>
            <w:r w:rsidRPr="00C516B0">
              <w:t>COMPANY:</w:t>
            </w:r>
          </w:p>
        </w:tc>
        <w:tc>
          <w:tcPr>
            <w:tcW w:w="3500" w:type="pct"/>
            <w:gridSpan w:val="2"/>
            <w:tcBorders>
              <w:top w:val="nil"/>
              <w:left w:val="nil"/>
              <w:bottom w:val="nil"/>
              <w:right w:val="nil"/>
            </w:tcBorders>
          </w:tcPr>
          <w:p w14:paraId="621774FA" w14:textId="77777777" w:rsidR="00CC52C0" w:rsidRPr="00C516B0" w:rsidRDefault="00A01C2C">
            <w:pPr>
              <w:pStyle w:val="Paragraph"/>
              <w:jc w:val="left"/>
            </w:pPr>
            <w:r w:rsidRPr="00C516B0">
              <w:t>_________________________________________</w:t>
            </w:r>
          </w:p>
        </w:tc>
      </w:tr>
      <w:tr w:rsidR="00492069" w:rsidRPr="00C516B0" w14:paraId="2ADC5312" w14:textId="77777777">
        <w:tblPrEx>
          <w:tblBorders>
            <w:top w:val="nil"/>
            <w:left w:val="nil"/>
            <w:bottom w:val="nil"/>
            <w:right w:val="nil"/>
            <w:insideH w:val="nil"/>
            <w:insideV w:val="nil"/>
          </w:tblBorders>
        </w:tblPrEx>
        <w:tc>
          <w:tcPr>
            <w:tcW w:w="1500" w:type="pct"/>
            <w:gridSpan w:val="2"/>
            <w:tcBorders>
              <w:top w:val="nil"/>
              <w:left w:val="nil"/>
              <w:bottom w:val="nil"/>
              <w:right w:val="nil"/>
            </w:tcBorders>
          </w:tcPr>
          <w:p w14:paraId="5877853E" w14:textId="77777777" w:rsidR="00CC52C0" w:rsidRPr="00C516B0" w:rsidRDefault="00A01C2C">
            <w:pPr>
              <w:pStyle w:val="Paragraph"/>
              <w:jc w:val="left"/>
            </w:pPr>
            <w:r w:rsidRPr="00C516B0">
              <w:t>DATE:</w:t>
            </w:r>
          </w:p>
        </w:tc>
        <w:tc>
          <w:tcPr>
            <w:tcW w:w="3500" w:type="pct"/>
            <w:gridSpan w:val="2"/>
            <w:tcBorders>
              <w:top w:val="nil"/>
              <w:left w:val="nil"/>
              <w:bottom w:val="nil"/>
              <w:right w:val="nil"/>
            </w:tcBorders>
          </w:tcPr>
          <w:p w14:paraId="7C3F7E47" w14:textId="77777777" w:rsidR="00CC52C0" w:rsidRPr="00C516B0" w:rsidRDefault="00A01C2C">
            <w:pPr>
              <w:pStyle w:val="Paragraph"/>
              <w:jc w:val="left"/>
            </w:pPr>
            <w:r w:rsidRPr="00C516B0">
              <w:t>_________________________________________</w:t>
            </w:r>
          </w:p>
        </w:tc>
      </w:tr>
    </w:tbl>
    <w:p w14:paraId="6C039658" w14:textId="2C484BC1" w:rsidR="00D174E6" w:rsidRDefault="00D174E6" w:rsidP="00D174E6">
      <w:pPr>
        <w:pStyle w:val="Schedule"/>
        <w:numPr>
          <w:ilvl w:val="0"/>
          <w:numId w:val="22"/>
        </w:numPr>
        <w:rPr>
          <w:rFonts w:ascii="Arial" w:hAnsi="Arial" w:cs="Arial"/>
          <w:color w:val="000000"/>
        </w:rPr>
      </w:pPr>
      <w:bookmarkStart w:id="43" w:name="a737736"/>
      <w:r>
        <w:rPr>
          <w:rFonts w:ascii="Arial" w:hAnsi="Arial" w:cs="Arial"/>
          <w:color w:val="000000"/>
        </w:rPr>
        <w:lastRenderedPageBreak/>
        <w:t>Tender Response Form</w:t>
      </w:r>
    </w:p>
    <w:p w14:paraId="51411793" w14:textId="77777777" w:rsidR="009F1432" w:rsidRPr="00090355" w:rsidRDefault="009F1432" w:rsidP="009F1432">
      <w:pPr>
        <w:jc w:val="both"/>
        <w:rPr>
          <w:rFonts w:ascii="Arial" w:hAnsi="Arial" w:cs="Arial"/>
          <w:b/>
          <w:szCs w:val="20"/>
        </w:rPr>
      </w:pPr>
      <w:r w:rsidRPr="00090355">
        <w:rPr>
          <w:rFonts w:ascii="Arial" w:hAnsi="Arial" w:cs="Arial"/>
          <w:b/>
          <w:szCs w:val="20"/>
        </w:rPr>
        <w:t>Tenderers are required to respond to each of the items below, by inserting their response to the question within the box provided on this Tender Response Form.  The College may only score the information provided within the Tender Response Form.</w:t>
      </w:r>
    </w:p>
    <w:p w14:paraId="49324442" w14:textId="77777777" w:rsidR="009F1432" w:rsidRPr="00090355" w:rsidRDefault="009F1432" w:rsidP="009F1432">
      <w:pPr>
        <w:jc w:val="both"/>
        <w:rPr>
          <w:rFonts w:ascii="Arial" w:hAnsi="Arial" w:cs="Arial"/>
          <w:b/>
          <w:szCs w:val="20"/>
        </w:rPr>
      </w:pPr>
    </w:p>
    <w:p w14:paraId="28717A5C" w14:textId="77777777" w:rsidR="009F1432" w:rsidRPr="00090355" w:rsidRDefault="009F1432" w:rsidP="009F1432">
      <w:pPr>
        <w:jc w:val="both"/>
        <w:rPr>
          <w:rFonts w:ascii="Arial" w:hAnsi="Arial" w:cs="Arial"/>
          <w:b/>
          <w:szCs w:val="20"/>
        </w:rPr>
      </w:pPr>
      <w:r w:rsidRPr="00090355">
        <w:rPr>
          <w:rFonts w:ascii="Arial" w:hAnsi="Arial" w:cs="Arial"/>
          <w:b/>
          <w:szCs w:val="20"/>
        </w:rPr>
        <w:t>Tenderers may attach additional documentation in support of the response provided in the Tender Response Form such as diagrams, certificates or spreadsheets, although this should be clearly referenced.</w:t>
      </w:r>
    </w:p>
    <w:p w14:paraId="246FE1DB" w14:textId="77777777" w:rsidR="009F1432" w:rsidRPr="00090355" w:rsidRDefault="009F1432" w:rsidP="009F1432">
      <w:pPr>
        <w:jc w:val="both"/>
        <w:rPr>
          <w:rFonts w:ascii="Arial" w:hAnsi="Arial" w:cs="Arial"/>
          <w:szCs w:val="20"/>
        </w:rPr>
      </w:pPr>
    </w:p>
    <w:p w14:paraId="73385E81" w14:textId="236B24FD" w:rsidR="009F1432" w:rsidRPr="00090355" w:rsidRDefault="009F1432" w:rsidP="009F1432">
      <w:pPr>
        <w:jc w:val="both"/>
        <w:rPr>
          <w:rFonts w:ascii="Arial" w:hAnsi="Arial" w:cs="Arial"/>
          <w:szCs w:val="20"/>
        </w:rPr>
      </w:pPr>
      <w:r w:rsidRPr="00090355">
        <w:rPr>
          <w:rFonts w:ascii="Arial" w:hAnsi="Arial" w:cs="Arial"/>
          <w:szCs w:val="20"/>
        </w:rPr>
        <w:t>Suitability Assessment Questions</w:t>
      </w:r>
    </w:p>
    <w:p w14:paraId="548E73CC" w14:textId="77777777" w:rsidR="009F1432" w:rsidRPr="00090355" w:rsidRDefault="009F1432" w:rsidP="009F1432">
      <w:pPr>
        <w:jc w:val="both"/>
        <w:rPr>
          <w:rFonts w:ascii="Arial" w:hAnsi="Arial" w:cs="Arial"/>
          <w:szCs w:val="20"/>
        </w:rPr>
      </w:pPr>
    </w:p>
    <w:p w14:paraId="77FD398A" w14:textId="6A12C77A" w:rsidR="009F1432" w:rsidRPr="00090355" w:rsidRDefault="009F1432" w:rsidP="009F1432">
      <w:pPr>
        <w:jc w:val="both"/>
        <w:rPr>
          <w:rFonts w:ascii="Arial" w:hAnsi="Arial" w:cs="Arial"/>
          <w:szCs w:val="20"/>
        </w:rPr>
      </w:pPr>
      <w:r w:rsidRPr="00090355">
        <w:rPr>
          <w:rFonts w:ascii="Arial" w:hAnsi="Arial" w:cs="Arial"/>
          <w:szCs w:val="20"/>
        </w:rPr>
        <w:t xml:space="preserve">All information will be verified at </w:t>
      </w:r>
      <w:r w:rsidR="00516A4A">
        <w:rPr>
          <w:rFonts w:ascii="Arial" w:hAnsi="Arial" w:cs="Arial"/>
          <w:szCs w:val="20"/>
        </w:rPr>
        <w:t>Framework</w:t>
      </w:r>
      <w:r w:rsidRPr="00090355">
        <w:rPr>
          <w:rFonts w:ascii="Arial" w:hAnsi="Arial" w:cs="Arial"/>
          <w:szCs w:val="20"/>
        </w:rPr>
        <w:t xml:space="preserve"> award stage.  If the Tenderer fails to supply evidence to demonstrate its compliance with any of the following questions at award stage, then its bid may be excluded.  </w:t>
      </w:r>
    </w:p>
    <w:p w14:paraId="48955A91" w14:textId="77777777" w:rsidR="009F1432" w:rsidRPr="00090355" w:rsidRDefault="009F1432" w:rsidP="009F1432">
      <w:pPr>
        <w:jc w:val="both"/>
        <w:rPr>
          <w:rFonts w:ascii="Arial" w:hAnsi="Arial" w:cs="Arial"/>
          <w:szCs w:val="20"/>
        </w:rPr>
      </w:pPr>
    </w:p>
    <w:p w14:paraId="24C05B32" w14:textId="77777777" w:rsidR="009F1432" w:rsidRPr="00090355" w:rsidRDefault="009F1432" w:rsidP="009F1432">
      <w:pPr>
        <w:pStyle w:val="ListParagraph"/>
        <w:numPr>
          <w:ilvl w:val="0"/>
          <w:numId w:val="70"/>
        </w:numPr>
        <w:spacing w:after="0"/>
        <w:ind w:hanging="720"/>
        <w:jc w:val="both"/>
        <w:rPr>
          <w:rFonts w:ascii="Arial" w:hAnsi="Arial" w:cs="Arial"/>
          <w:b/>
          <w:szCs w:val="20"/>
        </w:rPr>
      </w:pPr>
      <w:r w:rsidRPr="00090355">
        <w:rPr>
          <w:rFonts w:ascii="Arial" w:hAnsi="Arial" w:cs="Arial"/>
          <w:b/>
          <w:szCs w:val="20"/>
        </w:rPr>
        <w:t>Safeguarding Young People and Adults</w:t>
      </w:r>
    </w:p>
    <w:p w14:paraId="027763EF" w14:textId="77777777" w:rsidR="009F1432" w:rsidRPr="00090355" w:rsidRDefault="009F1432" w:rsidP="009F1432">
      <w:pPr>
        <w:jc w:val="both"/>
        <w:rPr>
          <w:rFonts w:ascii="Arial" w:hAnsi="Arial" w:cs="Arial"/>
          <w:b/>
          <w:szCs w:val="20"/>
        </w:rPr>
      </w:pP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5010"/>
        <w:gridCol w:w="4330"/>
      </w:tblGrid>
      <w:tr w:rsidR="009F1432" w:rsidRPr="00090355" w14:paraId="7AE34F42" w14:textId="77777777">
        <w:tc>
          <w:tcPr>
            <w:tcW w:w="2682" w:type="pct"/>
          </w:tcPr>
          <w:p w14:paraId="39418857" w14:textId="6D7B8BF4" w:rsidR="009F1432" w:rsidRPr="00090355" w:rsidRDefault="009F1432">
            <w:pPr>
              <w:pStyle w:val="ListParagraph"/>
              <w:tabs>
                <w:tab w:val="num" w:pos="0"/>
              </w:tabs>
              <w:ind w:left="35"/>
              <w:jc w:val="both"/>
              <w:rPr>
                <w:rFonts w:ascii="Arial" w:hAnsi="Arial" w:cs="Arial"/>
                <w:szCs w:val="20"/>
              </w:rPr>
            </w:pPr>
            <w:r w:rsidRPr="00090355">
              <w:rPr>
                <w:rFonts w:ascii="Arial" w:hAnsi="Arial" w:cs="Arial"/>
                <w:szCs w:val="20"/>
              </w:rPr>
              <w:t xml:space="preserve">Please confirm that all staff that will be working onsite during this </w:t>
            </w:r>
            <w:r w:rsidR="00516A4A">
              <w:rPr>
                <w:rFonts w:ascii="Arial" w:hAnsi="Arial" w:cs="Arial"/>
                <w:szCs w:val="20"/>
              </w:rPr>
              <w:t>Framework</w:t>
            </w:r>
            <w:r w:rsidR="00271930">
              <w:rPr>
                <w:rFonts w:ascii="Arial" w:hAnsi="Arial" w:cs="Arial"/>
                <w:szCs w:val="20"/>
              </w:rPr>
              <w:t xml:space="preserve"> and any Call-Off Contract awarded under it</w:t>
            </w:r>
            <w:r w:rsidRPr="00090355">
              <w:rPr>
                <w:rFonts w:ascii="Arial" w:hAnsi="Arial" w:cs="Arial"/>
                <w:szCs w:val="20"/>
              </w:rPr>
              <w:t xml:space="preserve"> have enhanced DBS clearance.  </w:t>
            </w:r>
          </w:p>
          <w:p w14:paraId="22183425" w14:textId="77777777" w:rsidR="009F1432" w:rsidRPr="00090355" w:rsidRDefault="009F1432">
            <w:pPr>
              <w:pStyle w:val="ListParagraph"/>
              <w:tabs>
                <w:tab w:val="num" w:pos="0"/>
              </w:tabs>
              <w:ind w:left="35"/>
              <w:jc w:val="both"/>
              <w:rPr>
                <w:rFonts w:ascii="Arial" w:hAnsi="Arial" w:cs="Arial"/>
                <w:szCs w:val="20"/>
              </w:rPr>
            </w:pPr>
            <w:r w:rsidRPr="00090355">
              <w:rPr>
                <w:rFonts w:ascii="Arial" w:hAnsi="Arial" w:cs="Arial"/>
                <w:szCs w:val="20"/>
              </w:rPr>
              <w:t xml:space="preserve">If not, they </w:t>
            </w:r>
            <w:r w:rsidRPr="00090355">
              <w:rPr>
                <w:rFonts w:ascii="Arial" w:hAnsi="Arial" w:cs="Arial"/>
                <w:b/>
                <w:bCs/>
                <w:szCs w:val="20"/>
              </w:rPr>
              <w:t xml:space="preserve">may </w:t>
            </w:r>
            <w:r w:rsidRPr="00090355">
              <w:rPr>
                <w:rFonts w:ascii="Arial" w:hAnsi="Arial" w:cs="Arial"/>
                <w:b/>
                <w:szCs w:val="20"/>
              </w:rPr>
              <w:t>be</w:t>
            </w:r>
            <w:r w:rsidRPr="00090355">
              <w:rPr>
                <w:rFonts w:ascii="Arial" w:hAnsi="Arial" w:cs="Arial"/>
                <w:szCs w:val="20"/>
              </w:rPr>
              <w:t xml:space="preserve"> refused entry to site.</w:t>
            </w:r>
          </w:p>
        </w:tc>
        <w:tc>
          <w:tcPr>
            <w:tcW w:w="2318" w:type="pct"/>
          </w:tcPr>
          <w:p w14:paraId="15954550" w14:textId="77777777" w:rsidR="009F1432" w:rsidRPr="00090355" w:rsidRDefault="009F1432">
            <w:pPr>
              <w:pStyle w:val="Normal1"/>
              <w:jc w:val="both"/>
              <w:rPr>
                <w:rFonts w:ascii="Arial" w:hAnsi="Arial" w:cs="Arial"/>
                <w:sz w:val="20"/>
                <w:szCs w:val="20"/>
              </w:rPr>
            </w:pPr>
            <w:r w:rsidRPr="00090355">
              <w:rPr>
                <w:rFonts w:ascii="Arial" w:eastAsia="Arial" w:hAnsi="Arial" w:cs="Arial"/>
                <w:sz w:val="20"/>
                <w:szCs w:val="20"/>
              </w:rPr>
              <w:t xml:space="preserve">Yes </w:t>
            </w:r>
            <w:r w:rsidRPr="00090355">
              <w:rPr>
                <w:rFonts w:ascii="Segoe UI Symbol" w:eastAsia="Menlo Regular" w:hAnsi="Segoe UI Symbol" w:cs="Segoe UI Symbol"/>
                <w:sz w:val="20"/>
                <w:szCs w:val="20"/>
              </w:rPr>
              <w:t>☐</w:t>
            </w:r>
          </w:p>
          <w:p w14:paraId="1A90C7AF" w14:textId="77777777" w:rsidR="009F1432" w:rsidRPr="00090355" w:rsidRDefault="009F1432">
            <w:pPr>
              <w:pStyle w:val="Normal1"/>
              <w:jc w:val="both"/>
              <w:rPr>
                <w:rFonts w:ascii="Arial" w:hAnsi="Arial" w:cs="Arial"/>
                <w:sz w:val="20"/>
                <w:szCs w:val="20"/>
              </w:rPr>
            </w:pPr>
            <w:r w:rsidRPr="00090355">
              <w:rPr>
                <w:rFonts w:ascii="Arial" w:eastAsia="Arial" w:hAnsi="Arial" w:cs="Arial"/>
                <w:sz w:val="20"/>
                <w:szCs w:val="20"/>
              </w:rPr>
              <w:t xml:space="preserve">No   </w:t>
            </w:r>
            <w:r w:rsidRPr="00090355">
              <w:rPr>
                <w:rFonts w:ascii="Segoe UI Symbol" w:eastAsia="Menlo Regular" w:hAnsi="Segoe UI Symbol" w:cs="Segoe UI Symbol"/>
                <w:sz w:val="20"/>
                <w:szCs w:val="20"/>
              </w:rPr>
              <w:t>☐</w:t>
            </w:r>
          </w:p>
          <w:p w14:paraId="3F495233" w14:textId="77777777" w:rsidR="009F1432" w:rsidRPr="00090355" w:rsidRDefault="009F1432">
            <w:pPr>
              <w:pStyle w:val="Normal1"/>
              <w:jc w:val="both"/>
              <w:rPr>
                <w:rFonts w:ascii="Arial" w:hAnsi="Arial" w:cs="Arial"/>
                <w:sz w:val="20"/>
                <w:szCs w:val="20"/>
              </w:rPr>
            </w:pPr>
            <w:r w:rsidRPr="00090355">
              <w:rPr>
                <w:rFonts w:ascii="Arial" w:eastAsia="Arial" w:hAnsi="Arial" w:cs="Arial"/>
                <w:sz w:val="20"/>
                <w:szCs w:val="20"/>
              </w:rPr>
              <w:t>If No please provide details below</w:t>
            </w:r>
          </w:p>
        </w:tc>
      </w:tr>
    </w:tbl>
    <w:p w14:paraId="7D6483EB" w14:textId="77777777" w:rsidR="009F1432" w:rsidRPr="00090355" w:rsidRDefault="009F1432" w:rsidP="009F1432">
      <w:pPr>
        <w:rPr>
          <w:rFonts w:ascii="Arial" w:hAnsi="Arial" w:cs="Arial"/>
          <w:szCs w:val="20"/>
        </w:rPr>
      </w:pPr>
    </w:p>
    <w:p w14:paraId="1425D2C6" w14:textId="77777777" w:rsidR="009F1432" w:rsidRPr="00090355" w:rsidRDefault="009F1432" w:rsidP="009F1432">
      <w:pPr>
        <w:ind w:left="709"/>
        <w:jc w:val="both"/>
        <w:rPr>
          <w:rFonts w:ascii="Arial" w:hAnsi="Arial" w:cs="Arial"/>
          <w:szCs w:val="20"/>
        </w:rPr>
      </w:pPr>
      <w:r w:rsidRPr="00090355">
        <w:rPr>
          <w:rFonts w:ascii="Arial" w:hAnsi="Arial" w:cs="Arial"/>
          <w:szCs w:val="20"/>
        </w:rPr>
        <w:t>If you answer No to the above question, without giving suitable evidence, your Tender may be excluded.</w:t>
      </w:r>
    </w:p>
    <w:p w14:paraId="0A13A7E9" w14:textId="77777777" w:rsidR="009F1432" w:rsidRPr="00090355" w:rsidRDefault="009F1432" w:rsidP="009F1432">
      <w:pPr>
        <w:jc w:val="both"/>
        <w:rPr>
          <w:rFonts w:ascii="Arial" w:hAnsi="Arial" w:cs="Arial"/>
          <w:b/>
          <w:szCs w:val="20"/>
          <w:u w:val="single"/>
        </w:rPr>
      </w:pPr>
    </w:p>
    <w:p w14:paraId="2F1D4F0A" w14:textId="77777777" w:rsidR="009F1432" w:rsidRPr="00090355" w:rsidRDefault="009F1432" w:rsidP="009F1432">
      <w:pPr>
        <w:pStyle w:val="Normal1"/>
        <w:widowControl w:val="0"/>
        <w:numPr>
          <w:ilvl w:val="0"/>
          <w:numId w:val="70"/>
        </w:numPr>
        <w:ind w:left="709" w:hanging="709"/>
        <w:rPr>
          <w:rFonts w:ascii="Arial" w:hAnsi="Arial" w:cs="Arial"/>
          <w:b/>
          <w:sz w:val="20"/>
          <w:szCs w:val="20"/>
        </w:rPr>
      </w:pPr>
      <w:r w:rsidRPr="00090355">
        <w:rPr>
          <w:rFonts w:ascii="Arial" w:hAnsi="Arial" w:cs="Arial"/>
          <w:b/>
          <w:sz w:val="20"/>
          <w:szCs w:val="20"/>
        </w:rPr>
        <w:t>Health &amp; Safety</w:t>
      </w:r>
    </w:p>
    <w:p w14:paraId="126E11B8" w14:textId="77777777" w:rsidR="009F1432" w:rsidRPr="00090355" w:rsidRDefault="009F1432" w:rsidP="009F1432">
      <w:pPr>
        <w:pStyle w:val="Normal1"/>
        <w:widowControl w:val="0"/>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3"/>
        <w:gridCol w:w="1414"/>
        <w:gridCol w:w="1113"/>
      </w:tblGrid>
      <w:tr w:rsidR="009F1432" w:rsidRPr="00090355" w14:paraId="063E8A86" w14:textId="77777777">
        <w:trPr>
          <w:trHeight w:val="270"/>
        </w:trPr>
        <w:tc>
          <w:tcPr>
            <w:tcW w:w="3649" w:type="pct"/>
            <w:vMerge w:val="restart"/>
          </w:tcPr>
          <w:p w14:paraId="23AA8694" w14:textId="77777777" w:rsidR="009F1432" w:rsidRPr="00090355" w:rsidRDefault="009F1432">
            <w:pPr>
              <w:jc w:val="both"/>
              <w:rPr>
                <w:rFonts w:ascii="Arial" w:eastAsia="MS Mincho" w:hAnsi="Arial" w:cs="Arial"/>
                <w:szCs w:val="20"/>
              </w:rPr>
            </w:pPr>
            <w:r w:rsidRPr="00090355">
              <w:rPr>
                <w:rFonts w:ascii="Arial" w:eastAsia="MS Mincho" w:hAnsi="Arial" w:cs="Arial"/>
                <w:szCs w:val="20"/>
              </w:rPr>
              <w:t>Please self-certify that your organisation has a Health and Safety Policy that complies with current legislative requirements.</w:t>
            </w:r>
          </w:p>
          <w:p w14:paraId="5FF9A139" w14:textId="77777777" w:rsidR="009F1432" w:rsidRPr="00090355" w:rsidRDefault="009F1432">
            <w:pPr>
              <w:jc w:val="both"/>
              <w:rPr>
                <w:rFonts w:ascii="Arial" w:eastAsia="MS Mincho" w:hAnsi="Arial" w:cs="Arial"/>
                <w:szCs w:val="20"/>
              </w:rPr>
            </w:pPr>
          </w:p>
          <w:p w14:paraId="06AAF029" w14:textId="77777777" w:rsidR="009F1432" w:rsidRPr="00090355" w:rsidRDefault="009F1432">
            <w:pPr>
              <w:rPr>
                <w:rFonts w:ascii="Arial" w:hAnsi="Arial" w:cs="Arial"/>
                <w:i/>
                <w:szCs w:val="20"/>
              </w:rPr>
            </w:pPr>
            <w:r w:rsidRPr="00090355">
              <w:rPr>
                <w:rFonts w:ascii="Arial" w:hAnsi="Arial" w:cs="Arial"/>
                <w:i/>
                <w:szCs w:val="20"/>
              </w:rPr>
              <w:t>Answering no may result in a fail and your Tender being excluded.</w:t>
            </w:r>
          </w:p>
          <w:p w14:paraId="66CC1050" w14:textId="77777777" w:rsidR="009F1432" w:rsidRPr="00090355" w:rsidRDefault="009F1432">
            <w:pPr>
              <w:jc w:val="both"/>
              <w:rPr>
                <w:rFonts w:ascii="Arial" w:eastAsia="MS Mincho" w:hAnsi="Arial" w:cs="Arial"/>
                <w:szCs w:val="20"/>
              </w:rPr>
            </w:pPr>
          </w:p>
        </w:tc>
        <w:tc>
          <w:tcPr>
            <w:tcW w:w="756" w:type="pct"/>
            <w:tcBorders>
              <w:bottom w:val="nil"/>
              <w:right w:val="nil"/>
            </w:tcBorders>
          </w:tcPr>
          <w:p w14:paraId="3D9AA87A" w14:textId="77777777" w:rsidR="009F1432" w:rsidRPr="00090355" w:rsidRDefault="009F1432">
            <w:pPr>
              <w:jc w:val="center"/>
              <w:rPr>
                <w:rFonts w:ascii="Arial" w:eastAsia="MS Mincho" w:hAnsi="Arial" w:cs="Arial"/>
                <w:szCs w:val="20"/>
              </w:rPr>
            </w:pPr>
            <w:r w:rsidRPr="00090355">
              <w:rPr>
                <w:rFonts w:ascii="Arial" w:eastAsia="MS Mincho" w:hAnsi="Arial" w:cs="Arial"/>
                <w:szCs w:val="20"/>
              </w:rPr>
              <w:t>Yes</w:t>
            </w:r>
          </w:p>
          <w:p w14:paraId="713E1ADF" w14:textId="77777777" w:rsidR="009F1432" w:rsidRPr="00090355" w:rsidRDefault="009F1432">
            <w:pPr>
              <w:jc w:val="center"/>
              <w:rPr>
                <w:rFonts w:ascii="Arial" w:eastAsia="MS Mincho" w:hAnsi="Arial" w:cs="Arial"/>
                <w:szCs w:val="20"/>
              </w:rPr>
            </w:pPr>
          </w:p>
        </w:tc>
        <w:tc>
          <w:tcPr>
            <w:tcW w:w="595" w:type="pct"/>
            <w:tcBorders>
              <w:left w:val="nil"/>
              <w:bottom w:val="nil"/>
            </w:tcBorders>
          </w:tcPr>
          <w:p w14:paraId="7699D2F2" w14:textId="77777777" w:rsidR="009F1432" w:rsidRPr="00090355" w:rsidRDefault="009F1432">
            <w:pPr>
              <w:jc w:val="center"/>
              <w:rPr>
                <w:rFonts w:ascii="Arial" w:eastAsia="MS Mincho" w:hAnsi="Arial" w:cs="Arial"/>
                <w:szCs w:val="20"/>
              </w:rPr>
            </w:pPr>
            <w:r w:rsidRPr="00090355">
              <w:rPr>
                <w:rFonts w:ascii="Segoe UI Symbol" w:eastAsia="MS Gothic" w:hAnsi="Segoe UI Symbol" w:cs="Segoe UI Symbol"/>
                <w:szCs w:val="20"/>
              </w:rPr>
              <w:t>☐</w:t>
            </w:r>
          </w:p>
        </w:tc>
      </w:tr>
      <w:tr w:rsidR="009F1432" w:rsidRPr="00090355" w14:paraId="3F7BDAA3" w14:textId="77777777">
        <w:trPr>
          <w:trHeight w:val="606"/>
        </w:trPr>
        <w:tc>
          <w:tcPr>
            <w:tcW w:w="3649" w:type="pct"/>
            <w:vMerge/>
          </w:tcPr>
          <w:p w14:paraId="2854ECDB" w14:textId="77777777" w:rsidR="009F1432" w:rsidRPr="00090355" w:rsidRDefault="009F1432">
            <w:pPr>
              <w:jc w:val="both"/>
              <w:rPr>
                <w:rFonts w:ascii="Arial" w:eastAsia="MS Mincho" w:hAnsi="Arial" w:cs="Arial"/>
                <w:szCs w:val="20"/>
              </w:rPr>
            </w:pPr>
          </w:p>
        </w:tc>
        <w:tc>
          <w:tcPr>
            <w:tcW w:w="756" w:type="pct"/>
            <w:tcBorders>
              <w:top w:val="nil"/>
              <w:bottom w:val="single" w:sz="4" w:space="0" w:color="auto"/>
              <w:right w:val="nil"/>
            </w:tcBorders>
          </w:tcPr>
          <w:p w14:paraId="5D0F4D8C" w14:textId="77777777" w:rsidR="009F1432" w:rsidRPr="00090355" w:rsidRDefault="009F1432">
            <w:pPr>
              <w:jc w:val="center"/>
              <w:rPr>
                <w:rFonts w:ascii="Arial" w:eastAsia="MS Mincho" w:hAnsi="Arial" w:cs="Arial"/>
                <w:szCs w:val="20"/>
              </w:rPr>
            </w:pPr>
            <w:r w:rsidRPr="00090355">
              <w:rPr>
                <w:rFonts w:ascii="Arial" w:eastAsia="MS Mincho" w:hAnsi="Arial" w:cs="Arial"/>
                <w:szCs w:val="20"/>
              </w:rPr>
              <w:t>No</w:t>
            </w:r>
          </w:p>
          <w:p w14:paraId="2F1ED258" w14:textId="77777777" w:rsidR="009F1432" w:rsidRPr="00090355" w:rsidRDefault="009F1432">
            <w:pPr>
              <w:jc w:val="center"/>
              <w:rPr>
                <w:rFonts w:ascii="Arial" w:eastAsia="MS Mincho" w:hAnsi="Arial" w:cs="Arial"/>
                <w:szCs w:val="20"/>
              </w:rPr>
            </w:pPr>
          </w:p>
        </w:tc>
        <w:tc>
          <w:tcPr>
            <w:tcW w:w="595" w:type="pct"/>
            <w:tcBorders>
              <w:top w:val="nil"/>
              <w:left w:val="nil"/>
            </w:tcBorders>
          </w:tcPr>
          <w:p w14:paraId="4C7855AE" w14:textId="77777777" w:rsidR="009F1432" w:rsidRPr="00090355" w:rsidRDefault="009F1432">
            <w:pPr>
              <w:jc w:val="center"/>
              <w:rPr>
                <w:rFonts w:ascii="Arial" w:eastAsia="MS Mincho" w:hAnsi="Arial" w:cs="Arial"/>
                <w:szCs w:val="20"/>
              </w:rPr>
            </w:pPr>
            <w:r w:rsidRPr="00090355">
              <w:rPr>
                <w:rFonts w:ascii="Segoe UI Symbol" w:eastAsia="MS Gothic" w:hAnsi="Segoe UI Symbol" w:cs="Segoe UI Symbol"/>
                <w:szCs w:val="20"/>
              </w:rPr>
              <w:t>☐</w:t>
            </w:r>
          </w:p>
        </w:tc>
      </w:tr>
      <w:tr w:rsidR="009F1432" w:rsidRPr="00090355" w14:paraId="6FBD42C8" w14:textId="77777777">
        <w:trPr>
          <w:trHeight w:val="693"/>
        </w:trPr>
        <w:tc>
          <w:tcPr>
            <w:tcW w:w="3649" w:type="pct"/>
            <w:vMerge w:val="restart"/>
          </w:tcPr>
          <w:p w14:paraId="0D7F84AC" w14:textId="77777777" w:rsidR="009F1432" w:rsidRPr="00090355" w:rsidRDefault="009F1432">
            <w:pPr>
              <w:jc w:val="both"/>
              <w:rPr>
                <w:rFonts w:ascii="Arial" w:eastAsia="MS Mincho" w:hAnsi="Arial" w:cs="Arial"/>
                <w:szCs w:val="20"/>
              </w:rPr>
            </w:pPr>
            <w:r w:rsidRPr="00090355">
              <w:rPr>
                <w:rFonts w:ascii="Arial" w:eastAsia="MS Mincho" w:hAnsi="Arial" w:cs="Arial"/>
                <w:szCs w:val="20"/>
              </w:rPr>
              <w:t>Has your organisation or any of its Directors or Executive Officers been in receipt of enforcement / remedial orders in relation to the Health and Safety Executive (or equivalent body) in the last three years?</w:t>
            </w:r>
          </w:p>
          <w:p w14:paraId="70116BB6" w14:textId="77777777" w:rsidR="009F1432" w:rsidRPr="00090355" w:rsidRDefault="009F1432">
            <w:pPr>
              <w:jc w:val="both"/>
              <w:rPr>
                <w:rFonts w:ascii="Arial" w:eastAsia="MS Mincho" w:hAnsi="Arial" w:cs="Arial"/>
                <w:szCs w:val="20"/>
              </w:rPr>
            </w:pPr>
          </w:p>
          <w:p w14:paraId="675E0BEB" w14:textId="77777777" w:rsidR="009F1432" w:rsidRPr="00090355" w:rsidRDefault="009F1432">
            <w:pPr>
              <w:jc w:val="both"/>
              <w:rPr>
                <w:rFonts w:ascii="Arial" w:eastAsia="MS Mincho" w:hAnsi="Arial" w:cs="Arial"/>
                <w:szCs w:val="20"/>
              </w:rPr>
            </w:pPr>
            <w:r w:rsidRPr="00090355">
              <w:rPr>
                <w:rFonts w:ascii="Arial" w:eastAsia="MS Mincho" w:hAnsi="Arial" w:cs="Arial"/>
                <w:szCs w:val="20"/>
              </w:rPr>
              <w:t>If your answer to the question was “yes”, please provide details in a separate Appendix of any enforcement / remedial orders served and give details of any remedial action or changes to procedures you have made as a result.</w:t>
            </w:r>
          </w:p>
          <w:p w14:paraId="1DFC184E" w14:textId="77777777" w:rsidR="009F1432" w:rsidRPr="00090355" w:rsidRDefault="009F1432">
            <w:pPr>
              <w:jc w:val="both"/>
              <w:rPr>
                <w:rFonts w:ascii="Arial" w:eastAsia="MS Mincho" w:hAnsi="Arial" w:cs="Arial"/>
                <w:szCs w:val="20"/>
              </w:rPr>
            </w:pPr>
          </w:p>
          <w:p w14:paraId="6B3D2B52" w14:textId="77777777" w:rsidR="009F1432" w:rsidRPr="00090355" w:rsidRDefault="009F1432">
            <w:pPr>
              <w:jc w:val="both"/>
              <w:rPr>
                <w:rFonts w:ascii="Arial" w:eastAsia="MS Mincho" w:hAnsi="Arial" w:cs="Arial"/>
                <w:i/>
                <w:szCs w:val="20"/>
              </w:rPr>
            </w:pPr>
            <w:r w:rsidRPr="00090355">
              <w:rPr>
                <w:rFonts w:ascii="Arial" w:eastAsia="MS Mincho" w:hAnsi="Arial" w:cs="Arial"/>
                <w:i/>
                <w:szCs w:val="20"/>
              </w:rPr>
              <w:t>The College will exclude Tenderer(s) that have been in receipt of enforcement / remedial action orders unless the Tenderer(s) can demonstrate to the authority’s satisfaction that appropriate remedial action has been taken to prevent future occurrences or breaches.</w:t>
            </w:r>
          </w:p>
        </w:tc>
        <w:tc>
          <w:tcPr>
            <w:tcW w:w="756" w:type="pct"/>
            <w:tcBorders>
              <w:bottom w:val="nil"/>
              <w:right w:val="nil"/>
            </w:tcBorders>
          </w:tcPr>
          <w:p w14:paraId="24B3D177" w14:textId="77777777" w:rsidR="009F1432" w:rsidRPr="00090355" w:rsidRDefault="009F1432">
            <w:pPr>
              <w:jc w:val="center"/>
              <w:rPr>
                <w:rFonts w:ascii="Arial" w:eastAsia="MS Mincho" w:hAnsi="Arial" w:cs="Arial"/>
                <w:szCs w:val="20"/>
              </w:rPr>
            </w:pPr>
            <w:r w:rsidRPr="00090355">
              <w:rPr>
                <w:rFonts w:ascii="Arial" w:eastAsia="MS Mincho" w:hAnsi="Arial" w:cs="Arial"/>
                <w:szCs w:val="20"/>
              </w:rPr>
              <w:t>Yes</w:t>
            </w:r>
          </w:p>
          <w:p w14:paraId="217792A1" w14:textId="77777777" w:rsidR="009F1432" w:rsidRPr="00090355" w:rsidRDefault="009F1432">
            <w:pPr>
              <w:jc w:val="center"/>
              <w:rPr>
                <w:rFonts w:ascii="Arial" w:eastAsia="MS Mincho" w:hAnsi="Arial" w:cs="Arial"/>
                <w:szCs w:val="20"/>
              </w:rPr>
            </w:pPr>
          </w:p>
        </w:tc>
        <w:tc>
          <w:tcPr>
            <w:tcW w:w="595" w:type="pct"/>
            <w:tcBorders>
              <w:left w:val="nil"/>
              <w:bottom w:val="nil"/>
            </w:tcBorders>
          </w:tcPr>
          <w:p w14:paraId="03410083" w14:textId="77777777" w:rsidR="009F1432" w:rsidRPr="00090355" w:rsidRDefault="009F1432">
            <w:pPr>
              <w:jc w:val="center"/>
              <w:rPr>
                <w:rFonts w:ascii="Arial" w:eastAsia="MS Mincho" w:hAnsi="Arial" w:cs="Arial"/>
                <w:szCs w:val="20"/>
              </w:rPr>
            </w:pPr>
            <w:r w:rsidRPr="00090355">
              <w:rPr>
                <w:rFonts w:ascii="Segoe UI Symbol" w:eastAsia="MS Gothic" w:hAnsi="Segoe UI Symbol" w:cs="Segoe UI Symbol"/>
                <w:szCs w:val="20"/>
              </w:rPr>
              <w:t>☐</w:t>
            </w:r>
          </w:p>
        </w:tc>
      </w:tr>
      <w:tr w:rsidR="009F1432" w:rsidRPr="00090355" w14:paraId="7302EB05" w14:textId="77777777">
        <w:trPr>
          <w:trHeight w:val="285"/>
        </w:trPr>
        <w:tc>
          <w:tcPr>
            <w:tcW w:w="3649" w:type="pct"/>
            <w:vMerge/>
          </w:tcPr>
          <w:p w14:paraId="4AB7DE68" w14:textId="77777777" w:rsidR="009F1432" w:rsidRPr="00090355" w:rsidRDefault="009F1432">
            <w:pPr>
              <w:jc w:val="both"/>
              <w:rPr>
                <w:rFonts w:ascii="Arial" w:eastAsia="MS Mincho" w:hAnsi="Arial" w:cs="Arial"/>
                <w:szCs w:val="20"/>
              </w:rPr>
            </w:pPr>
          </w:p>
        </w:tc>
        <w:tc>
          <w:tcPr>
            <w:tcW w:w="756" w:type="pct"/>
            <w:tcBorders>
              <w:top w:val="nil"/>
              <w:bottom w:val="nil"/>
              <w:right w:val="nil"/>
            </w:tcBorders>
          </w:tcPr>
          <w:p w14:paraId="0ADC0DFB" w14:textId="77777777" w:rsidR="009F1432" w:rsidRPr="00090355" w:rsidRDefault="009F1432">
            <w:pPr>
              <w:jc w:val="center"/>
              <w:rPr>
                <w:rFonts w:ascii="Arial" w:eastAsia="MS Mincho" w:hAnsi="Arial" w:cs="Arial"/>
                <w:szCs w:val="20"/>
              </w:rPr>
            </w:pPr>
            <w:r w:rsidRPr="00090355">
              <w:rPr>
                <w:rFonts w:ascii="Arial" w:eastAsia="MS Mincho" w:hAnsi="Arial" w:cs="Arial"/>
                <w:szCs w:val="20"/>
              </w:rPr>
              <w:t>No</w:t>
            </w:r>
          </w:p>
          <w:p w14:paraId="371113A0" w14:textId="77777777" w:rsidR="009F1432" w:rsidRPr="00090355" w:rsidRDefault="009F1432">
            <w:pPr>
              <w:jc w:val="center"/>
              <w:rPr>
                <w:rFonts w:ascii="Arial" w:eastAsia="MS Mincho" w:hAnsi="Arial" w:cs="Arial"/>
                <w:szCs w:val="20"/>
              </w:rPr>
            </w:pPr>
          </w:p>
        </w:tc>
        <w:tc>
          <w:tcPr>
            <w:tcW w:w="595" w:type="pct"/>
            <w:tcBorders>
              <w:top w:val="nil"/>
              <w:left w:val="nil"/>
              <w:bottom w:val="nil"/>
            </w:tcBorders>
          </w:tcPr>
          <w:p w14:paraId="252AB8DE" w14:textId="77777777" w:rsidR="009F1432" w:rsidRPr="00090355" w:rsidRDefault="009F1432">
            <w:pPr>
              <w:jc w:val="center"/>
              <w:rPr>
                <w:rFonts w:ascii="Arial" w:eastAsia="MS Mincho" w:hAnsi="Arial" w:cs="Arial"/>
                <w:szCs w:val="20"/>
              </w:rPr>
            </w:pPr>
            <w:r w:rsidRPr="00090355">
              <w:rPr>
                <w:rFonts w:ascii="Segoe UI Symbol" w:eastAsia="MS Gothic" w:hAnsi="Segoe UI Symbol" w:cs="Segoe UI Symbol"/>
                <w:szCs w:val="20"/>
              </w:rPr>
              <w:t>☐</w:t>
            </w:r>
          </w:p>
        </w:tc>
      </w:tr>
      <w:tr w:rsidR="009F1432" w:rsidRPr="00090355" w14:paraId="723BA4E3" w14:textId="77777777">
        <w:trPr>
          <w:trHeight w:val="1760"/>
        </w:trPr>
        <w:tc>
          <w:tcPr>
            <w:tcW w:w="3649" w:type="pct"/>
            <w:vMerge/>
          </w:tcPr>
          <w:p w14:paraId="51FF1EDE" w14:textId="77777777" w:rsidR="009F1432" w:rsidRPr="00090355" w:rsidRDefault="009F1432">
            <w:pPr>
              <w:jc w:val="both"/>
              <w:rPr>
                <w:rFonts w:ascii="Arial" w:eastAsia="MS Mincho" w:hAnsi="Arial" w:cs="Arial"/>
                <w:szCs w:val="20"/>
              </w:rPr>
            </w:pPr>
          </w:p>
        </w:tc>
        <w:tc>
          <w:tcPr>
            <w:tcW w:w="1351" w:type="pct"/>
            <w:gridSpan w:val="2"/>
            <w:tcBorders>
              <w:top w:val="nil"/>
            </w:tcBorders>
          </w:tcPr>
          <w:p w14:paraId="435014D2" w14:textId="77777777" w:rsidR="009F1432" w:rsidRPr="00090355" w:rsidRDefault="009F1432">
            <w:pPr>
              <w:rPr>
                <w:rFonts w:ascii="Arial" w:eastAsia="MS Mincho" w:hAnsi="Arial" w:cs="Arial"/>
                <w:szCs w:val="20"/>
              </w:rPr>
            </w:pPr>
          </w:p>
        </w:tc>
      </w:tr>
      <w:tr w:rsidR="009F1432" w:rsidRPr="00090355" w14:paraId="463F408F" w14:textId="77777777">
        <w:trPr>
          <w:trHeight w:val="360"/>
        </w:trPr>
        <w:tc>
          <w:tcPr>
            <w:tcW w:w="3649" w:type="pct"/>
            <w:vMerge w:val="restart"/>
          </w:tcPr>
          <w:p w14:paraId="7531882E" w14:textId="77777777" w:rsidR="009F1432" w:rsidRPr="00090355" w:rsidRDefault="009F1432">
            <w:pPr>
              <w:jc w:val="both"/>
              <w:rPr>
                <w:rFonts w:ascii="Arial" w:eastAsia="MS Mincho" w:hAnsi="Arial" w:cs="Arial"/>
                <w:szCs w:val="20"/>
              </w:rPr>
            </w:pPr>
            <w:r w:rsidRPr="00090355">
              <w:rPr>
                <w:rFonts w:ascii="Arial" w:eastAsia="MS Mincho" w:hAnsi="Arial" w:cs="Arial"/>
                <w:szCs w:val="20"/>
              </w:rPr>
              <w:t>If you use sub-contractors, do you have processes in place to check whether any of the above circumstances apply to these other organisations?</w:t>
            </w:r>
          </w:p>
          <w:p w14:paraId="08424653" w14:textId="77777777" w:rsidR="009F1432" w:rsidRPr="00090355" w:rsidRDefault="009F1432">
            <w:pPr>
              <w:jc w:val="both"/>
              <w:rPr>
                <w:rFonts w:ascii="Arial" w:eastAsia="MS Mincho" w:hAnsi="Arial" w:cs="Arial"/>
                <w:szCs w:val="20"/>
              </w:rPr>
            </w:pPr>
          </w:p>
          <w:p w14:paraId="71908A22" w14:textId="77777777" w:rsidR="009F1432" w:rsidRPr="00090355" w:rsidRDefault="009F1432">
            <w:pPr>
              <w:rPr>
                <w:rFonts w:ascii="Arial" w:hAnsi="Arial" w:cs="Arial"/>
                <w:i/>
                <w:szCs w:val="20"/>
              </w:rPr>
            </w:pPr>
            <w:r w:rsidRPr="00090355">
              <w:rPr>
                <w:rFonts w:ascii="Arial" w:hAnsi="Arial" w:cs="Arial"/>
                <w:i/>
                <w:szCs w:val="20"/>
              </w:rPr>
              <w:t>Answering no may result in a fail and your Tender being excluded.</w:t>
            </w:r>
          </w:p>
          <w:p w14:paraId="51102C18" w14:textId="77777777" w:rsidR="009F1432" w:rsidRPr="00090355" w:rsidRDefault="009F1432">
            <w:pPr>
              <w:jc w:val="both"/>
              <w:rPr>
                <w:rFonts w:ascii="Arial" w:eastAsia="MS Mincho" w:hAnsi="Arial" w:cs="Arial"/>
                <w:szCs w:val="20"/>
              </w:rPr>
            </w:pPr>
          </w:p>
        </w:tc>
        <w:tc>
          <w:tcPr>
            <w:tcW w:w="756" w:type="pct"/>
            <w:tcBorders>
              <w:bottom w:val="nil"/>
              <w:right w:val="nil"/>
            </w:tcBorders>
          </w:tcPr>
          <w:p w14:paraId="7478645D" w14:textId="77777777" w:rsidR="009F1432" w:rsidRPr="00090355" w:rsidRDefault="009F1432">
            <w:pPr>
              <w:jc w:val="center"/>
              <w:rPr>
                <w:rFonts w:ascii="Arial" w:eastAsia="MS Mincho" w:hAnsi="Arial" w:cs="Arial"/>
                <w:szCs w:val="20"/>
              </w:rPr>
            </w:pPr>
            <w:r w:rsidRPr="00090355">
              <w:rPr>
                <w:rFonts w:ascii="Arial" w:eastAsia="MS Mincho" w:hAnsi="Arial" w:cs="Arial"/>
                <w:szCs w:val="20"/>
              </w:rPr>
              <w:t>Yes</w:t>
            </w:r>
          </w:p>
          <w:p w14:paraId="49AF4736" w14:textId="77777777" w:rsidR="009F1432" w:rsidRPr="00090355" w:rsidRDefault="009F1432">
            <w:pPr>
              <w:jc w:val="center"/>
              <w:rPr>
                <w:rFonts w:ascii="Arial" w:eastAsia="MS Mincho" w:hAnsi="Arial" w:cs="Arial"/>
                <w:szCs w:val="20"/>
              </w:rPr>
            </w:pPr>
          </w:p>
        </w:tc>
        <w:tc>
          <w:tcPr>
            <w:tcW w:w="595" w:type="pct"/>
            <w:tcBorders>
              <w:left w:val="nil"/>
              <w:bottom w:val="nil"/>
            </w:tcBorders>
          </w:tcPr>
          <w:p w14:paraId="644BAD2B" w14:textId="77777777" w:rsidR="009F1432" w:rsidRPr="00090355" w:rsidRDefault="009F1432">
            <w:pPr>
              <w:jc w:val="center"/>
              <w:rPr>
                <w:rFonts w:ascii="Arial" w:eastAsia="MS Mincho" w:hAnsi="Arial" w:cs="Arial"/>
                <w:szCs w:val="20"/>
              </w:rPr>
            </w:pPr>
            <w:r w:rsidRPr="00090355">
              <w:rPr>
                <w:rFonts w:ascii="Segoe UI Symbol" w:eastAsia="MS Gothic" w:hAnsi="Segoe UI Symbol" w:cs="Segoe UI Symbol"/>
                <w:szCs w:val="20"/>
              </w:rPr>
              <w:t>☐</w:t>
            </w:r>
          </w:p>
        </w:tc>
      </w:tr>
      <w:tr w:rsidR="009F1432" w:rsidRPr="00090355" w14:paraId="10976051" w14:textId="77777777">
        <w:trPr>
          <w:trHeight w:val="360"/>
        </w:trPr>
        <w:tc>
          <w:tcPr>
            <w:tcW w:w="3649" w:type="pct"/>
            <w:vMerge/>
          </w:tcPr>
          <w:p w14:paraId="039C840C" w14:textId="77777777" w:rsidR="009F1432" w:rsidRPr="00090355" w:rsidRDefault="009F1432">
            <w:pPr>
              <w:jc w:val="both"/>
              <w:rPr>
                <w:rFonts w:ascii="Arial" w:eastAsia="MS Mincho" w:hAnsi="Arial" w:cs="Arial"/>
                <w:szCs w:val="20"/>
              </w:rPr>
            </w:pPr>
          </w:p>
        </w:tc>
        <w:tc>
          <w:tcPr>
            <w:tcW w:w="756" w:type="pct"/>
            <w:tcBorders>
              <w:top w:val="nil"/>
              <w:bottom w:val="nil"/>
              <w:right w:val="nil"/>
            </w:tcBorders>
          </w:tcPr>
          <w:p w14:paraId="26826886" w14:textId="77777777" w:rsidR="009F1432" w:rsidRPr="00090355" w:rsidRDefault="009F1432">
            <w:pPr>
              <w:jc w:val="center"/>
              <w:rPr>
                <w:rFonts w:ascii="Arial" w:eastAsia="MS Mincho" w:hAnsi="Arial" w:cs="Arial"/>
                <w:szCs w:val="20"/>
              </w:rPr>
            </w:pPr>
            <w:r w:rsidRPr="00090355">
              <w:rPr>
                <w:rFonts w:ascii="Arial" w:eastAsia="MS Mincho" w:hAnsi="Arial" w:cs="Arial"/>
                <w:szCs w:val="20"/>
              </w:rPr>
              <w:t>No</w:t>
            </w:r>
          </w:p>
          <w:p w14:paraId="73F09DF0" w14:textId="77777777" w:rsidR="009F1432" w:rsidRPr="00090355" w:rsidRDefault="009F1432">
            <w:pPr>
              <w:jc w:val="center"/>
              <w:rPr>
                <w:rFonts w:ascii="Arial" w:eastAsia="MS Mincho" w:hAnsi="Arial" w:cs="Arial"/>
                <w:szCs w:val="20"/>
              </w:rPr>
            </w:pPr>
          </w:p>
        </w:tc>
        <w:tc>
          <w:tcPr>
            <w:tcW w:w="595" w:type="pct"/>
            <w:tcBorders>
              <w:top w:val="nil"/>
              <w:left w:val="nil"/>
              <w:bottom w:val="nil"/>
            </w:tcBorders>
          </w:tcPr>
          <w:p w14:paraId="70E80868" w14:textId="77777777" w:rsidR="009F1432" w:rsidRPr="00090355" w:rsidRDefault="009F1432">
            <w:pPr>
              <w:jc w:val="center"/>
              <w:rPr>
                <w:rFonts w:ascii="Arial" w:eastAsia="MS Mincho" w:hAnsi="Arial" w:cs="Arial"/>
                <w:szCs w:val="20"/>
              </w:rPr>
            </w:pPr>
            <w:r w:rsidRPr="00090355">
              <w:rPr>
                <w:rFonts w:ascii="Segoe UI Symbol" w:eastAsia="MS Gothic" w:hAnsi="Segoe UI Symbol" w:cs="Segoe UI Symbol"/>
                <w:szCs w:val="20"/>
              </w:rPr>
              <w:t>☐</w:t>
            </w:r>
          </w:p>
        </w:tc>
      </w:tr>
      <w:tr w:rsidR="009F1432" w:rsidRPr="00090355" w14:paraId="1FD9FFB9" w14:textId="77777777">
        <w:trPr>
          <w:trHeight w:val="360"/>
        </w:trPr>
        <w:tc>
          <w:tcPr>
            <w:tcW w:w="3649" w:type="pct"/>
            <w:vMerge/>
          </w:tcPr>
          <w:p w14:paraId="1A56B182" w14:textId="77777777" w:rsidR="009F1432" w:rsidRPr="00090355" w:rsidRDefault="009F1432">
            <w:pPr>
              <w:jc w:val="both"/>
              <w:rPr>
                <w:rFonts w:ascii="Arial" w:eastAsia="MS Mincho" w:hAnsi="Arial" w:cs="Arial"/>
                <w:szCs w:val="20"/>
              </w:rPr>
            </w:pPr>
          </w:p>
        </w:tc>
        <w:tc>
          <w:tcPr>
            <w:tcW w:w="756" w:type="pct"/>
            <w:tcBorders>
              <w:top w:val="nil"/>
              <w:right w:val="nil"/>
            </w:tcBorders>
          </w:tcPr>
          <w:p w14:paraId="0AE496E8" w14:textId="77777777" w:rsidR="009F1432" w:rsidRPr="00090355" w:rsidRDefault="009F1432">
            <w:pPr>
              <w:jc w:val="center"/>
              <w:rPr>
                <w:rFonts w:ascii="Arial" w:eastAsia="MS Mincho" w:hAnsi="Arial" w:cs="Arial"/>
                <w:szCs w:val="20"/>
              </w:rPr>
            </w:pPr>
            <w:r w:rsidRPr="00090355">
              <w:rPr>
                <w:rFonts w:ascii="Arial" w:eastAsia="MS Mincho" w:hAnsi="Arial" w:cs="Arial"/>
                <w:szCs w:val="20"/>
              </w:rPr>
              <w:t>Sub-contractors not used</w:t>
            </w:r>
          </w:p>
          <w:p w14:paraId="7E7DEB1D" w14:textId="77777777" w:rsidR="009F1432" w:rsidRPr="00090355" w:rsidRDefault="009F1432">
            <w:pPr>
              <w:jc w:val="center"/>
              <w:rPr>
                <w:rFonts w:ascii="Arial" w:eastAsia="MS Mincho" w:hAnsi="Arial" w:cs="Arial"/>
                <w:szCs w:val="20"/>
              </w:rPr>
            </w:pPr>
          </w:p>
        </w:tc>
        <w:tc>
          <w:tcPr>
            <w:tcW w:w="595" w:type="pct"/>
            <w:tcBorders>
              <w:top w:val="nil"/>
              <w:left w:val="nil"/>
            </w:tcBorders>
          </w:tcPr>
          <w:p w14:paraId="3FB1B783" w14:textId="77777777" w:rsidR="009F1432" w:rsidRPr="00090355" w:rsidRDefault="009F1432">
            <w:pPr>
              <w:jc w:val="center"/>
              <w:rPr>
                <w:rFonts w:ascii="Arial" w:eastAsia="MS Mincho" w:hAnsi="Arial" w:cs="Arial"/>
                <w:szCs w:val="20"/>
              </w:rPr>
            </w:pPr>
            <w:r w:rsidRPr="00090355">
              <w:rPr>
                <w:rFonts w:ascii="Segoe UI Symbol" w:eastAsia="MS Gothic" w:hAnsi="Segoe UI Symbol" w:cs="Segoe UI Symbol"/>
                <w:szCs w:val="20"/>
              </w:rPr>
              <w:t>☐</w:t>
            </w:r>
          </w:p>
        </w:tc>
      </w:tr>
    </w:tbl>
    <w:p w14:paraId="68F58722" w14:textId="77777777" w:rsidR="00D174E6" w:rsidRPr="00090355" w:rsidRDefault="00D174E6" w:rsidP="00090355">
      <w:pPr>
        <w:pStyle w:val="Part"/>
        <w:sectPr w:rsidR="00D174E6" w:rsidRPr="00090355">
          <w:pgSz w:w="12240" w:h="15840"/>
          <w:pgMar w:top="1440" w:right="1440" w:bottom="1440" w:left="1440" w:header="720" w:footer="720" w:gutter="0"/>
          <w:cols w:space="720"/>
        </w:sectPr>
      </w:pPr>
    </w:p>
    <w:p w14:paraId="773E566A" w14:textId="77777777" w:rsidR="00CC52C0" w:rsidRPr="00C516B0" w:rsidRDefault="00A01C2C" w:rsidP="00C516B0">
      <w:pPr>
        <w:pStyle w:val="Schedule"/>
        <w:numPr>
          <w:ilvl w:val="0"/>
          <w:numId w:val="22"/>
        </w:numPr>
        <w:rPr>
          <w:rFonts w:ascii="Arial" w:hAnsi="Arial" w:cs="Arial"/>
        </w:rPr>
      </w:pPr>
      <w:r w:rsidRPr="00C516B0">
        <w:rPr>
          <w:rFonts w:ascii="Arial" w:hAnsi="Arial" w:cs="Arial"/>
          <w:color w:val="000000"/>
        </w:rPr>
        <w:lastRenderedPageBreak/>
        <w:t>Form of Tender</w:t>
      </w:r>
      <w:bookmarkEnd w:id="43"/>
    </w:p>
    <w:tbl>
      <w:tblPr>
        <w:tblW w:w="5000" w:type="pct"/>
        <w:tblBorders>
          <w:top w:val="nil"/>
          <w:left w:val="nil"/>
          <w:bottom w:val="nil"/>
          <w:right w:val="nil"/>
          <w:insideH w:val="nil"/>
          <w:insideV w:val="nil"/>
        </w:tblBorders>
        <w:tblLook w:val="04A0" w:firstRow="1" w:lastRow="0" w:firstColumn="1" w:lastColumn="0" w:noHBand="0" w:noVBand="1"/>
      </w:tblPr>
      <w:tblGrid>
        <w:gridCol w:w="2808"/>
        <w:gridCol w:w="6552"/>
      </w:tblGrid>
      <w:tr w:rsidR="00492069" w:rsidRPr="00C516B0" w14:paraId="0B575240" w14:textId="77777777">
        <w:tc>
          <w:tcPr>
            <w:tcW w:w="5000" w:type="pct"/>
            <w:gridSpan w:val="2"/>
            <w:tcBorders>
              <w:top w:val="nil"/>
              <w:left w:val="nil"/>
              <w:bottom w:val="nil"/>
              <w:right w:val="nil"/>
            </w:tcBorders>
          </w:tcPr>
          <w:p w14:paraId="2D86116D" w14:textId="77777777" w:rsidR="00CC52C0" w:rsidRPr="00C516B0" w:rsidRDefault="00A01C2C">
            <w:pPr>
              <w:pStyle w:val="Paragraph"/>
              <w:jc w:val="center"/>
              <w:rPr>
                <w:b/>
              </w:rPr>
            </w:pPr>
            <w:r w:rsidRPr="00C516B0">
              <w:rPr>
                <w:b/>
              </w:rPr>
              <w:t>FORM OF TENDER: TENDER CERTIFICATE</w:t>
            </w:r>
          </w:p>
        </w:tc>
      </w:tr>
      <w:tr w:rsidR="00492069" w:rsidRPr="00C516B0" w14:paraId="4ED28FAE" w14:textId="77777777">
        <w:tc>
          <w:tcPr>
            <w:tcW w:w="5000" w:type="pct"/>
            <w:gridSpan w:val="2"/>
            <w:tcBorders>
              <w:top w:val="nil"/>
              <w:left w:val="nil"/>
              <w:bottom w:val="nil"/>
              <w:right w:val="nil"/>
            </w:tcBorders>
          </w:tcPr>
          <w:p w14:paraId="2FFB17F3" w14:textId="6D0277BF" w:rsidR="00CC52C0" w:rsidRPr="00C516B0" w:rsidRDefault="00A01C2C">
            <w:pPr>
              <w:pStyle w:val="Paragraph"/>
              <w:jc w:val="left"/>
            </w:pPr>
            <w:r w:rsidRPr="00C516B0">
              <w:t xml:space="preserve">TO: </w:t>
            </w:r>
            <w:r w:rsidR="005B2521">
              <w:t xml:space="preserve">Coleg y </w:t>
            </w:r>
            <w:proofErr w:type="spellStart"/>
            <w:r w:rsidR="005B2521">
              <w:t>Cymoedd</w:t>
            </w:r>
            <w:proofErr w:type="spellEnd"/>
          </w:p>
        </w:tc>
      </w:tr>
      <w:tr w:rsidR="00492069" w:rsidRPr="00C516B0" w14:paraId="49656BF4" w14:textId="77777777">
        <w:tc>
          <w:tcPr>
            <w:tcW w:w="5000" w:type="pct"/>
            <w:gridSpan w:val="2"/>
            <w:tcBorders>
              <w:top w:val="nil"/>
              <w:left w:val="nil"/>
              <w:bottom w:val="nil"/>
              <w:right w:val="nil"/>
            </w:tcBorders>
          </w:tcPr>
          <w:p w14:paraId="7EDEEE35" w14:textId="5DE3C593" w:rsidR="00CC52C0" w:rsidRPr="00C516B0" w:rsidRDefault="00A01C2C">
            <w:pPr>
              <w:pStyle w:val="Paragraph"/>
              <w:jc w:val="left"/>
            </w:pPr>
            <w:r w:rsidRPr="00C516B0">
              <w:t xml:space="preserve">DATE: </w:t>
            </w:r>
            <w:r w:rsidRPr="00087314">
              <w:t>[</w:t>
            </w:r>
            <w:r w:rsidR="003A12E5" w:rsidRPr="00087314">
              <w:t>Insert date</w:t>
            </w:r>
            <w:r w:rsidRPr="00087314">
              <w:t>]</w:t>
            </w:r>
          </w:p>
        </w:tc>
      </w:tr>
      <w:tr w:rsidR="00492069" w:rsidRPr="00C516B0" w14:paraId="25A2DA0D" w14:textId="77777777">
        <w:tc>
          <w:tcPr>
            <w:tcW w:w="5000" w:type="pct"/>
            <w:gridSpan w:val="2"/>
            <w:tcBorders>
              <w:top w:val="nil"/>
              <w:left w:val="nil"/>
              <w:bottom w:val="nil"/>
              <w:right w:val="nil"/>
            </w:tcBorders>
          </w:tcPr>
          <w:p w14:paraId="52EB3D7E" w14:textId="37B4FA6A" w:rsidR="00CC52C0" w:rsidRPr="00087314" w:rsidRDefault="00A01C2C">
            <w:pPr>
              <w:pStyle w:val="Paragraph"/>
              <w:jc w:val="left"/>
            </w:pPr>
            <w:r w:rsidRPr="00087314">
              <w:t xml:space="preserve">PROVISION OF: </w:t>
            </w:r>
            <w:r w:rsidR="007F7795" w:rsidRPr="007F7795">
              <w:t>Mini-</w:t>
            </w:r>
            <w:r w:rsidR="00516A4A">
              <w:t>Framework</w:t>
            </w:r>
            <w:r w:rsidR="007F7795" w:rsidRPr="007F7795">
              <w:t xml:space="preserve"> relating to the provision of small construction projects up to £35,000</w:t>
            </w:r>
          </w:p>
        </w:tc>
      </w:tr>
      <w:tr w:rsidR="00492069" w:rsidRPr="00C516B0" w14:paraId="0ADCA290" w14:textId="77777777">
        <w:tc>
          <w:tcPr>
            <w:tcW w:w="5000" w:type="pct"/>
            <w:gridSpan w:val="2"/>
            <w:tcBorders>
              <w:top w:val="nil"/>
              <w:left w:val="nil"/>
              <w:bottom w:val="nil"/>
              <w:right w:val="nil"/>
            </w:tcBorders>
          </w:tcPr>
          <w:p w14:paraId="7393DEF0" w14:textId="4B967033" w:rsidR="00CC52C0" w:rsidRPr="00087314" w:rsidRDefault="00A01C2C">
            <w:pPr>
              <w:pStyle w:val="Paragraph"/>
              <w:jc w:val="left"/>
            </w:pPr>
            <w:r w:rsidRPr="00087314">
              <w:t>REFERENCE NUMBER: [</w:t>
            </w:r>
            <w:r w:rsidR="00841592" w:rsidRPr="00087314">
              <w:t>Unique identifier for the Procurement</w:t>
            </w:r>
            <w:r w:rsidRPr="00087314">
              <w:t>]</w:t>
            </w:r>
          </w:p>
        </w:tc>
      </w:tr>
      <w:tr w:rsidR="00492069" w:rsidRPr="00C516B0" w14:paraId="43D48E4E" w14:textId="77777777">
        <w:tc>
          <w:tcPr>
            <w:tcW w:w="5000" w:type="pct"/>
            <w:gridSpan w:val="2"/>
            <w:tcBorders>
              <w:top w:val="nil"/>
              <w:left w:val="nil"/>
              <w:bottom w:val="nil"/>
              <w:right w:val="nil"/>
            </w:tcBorders>
          </w:tcPr>
          <w:p w14:paraId="4D552E13" w14:textId="34F78834" w:rsidR="00CC52C0" w:rsidRPr="00C516B0" w:rsidRDefault="00A01C2C">
            <w:pPr>
              <w:pStyle w:val="Paragraph"/>
              <w:jc w:val="left"/>
            </w:pPr>
            <w:r w:rsidRPr="00C516B0">
              <w:t xml:space="preserve">We [INSERT NAME[S]] the undersigned, having examined the ITT and all other schedules, do hereby offer to </w:t>
            </w:r>
            <w:r w:rsidR="000B5CF8">
              <w:t xml:space="preserve">enter into the </w:t>
            </w:r>
            <w:r w:rsidR="00516A4A">
              <w:t>Framework</w:t>
            </w:r>
            <w:r w:rsidR="000B5CF8">
              <w:t xml:space="preserve"> to </w:t>
            </w:r>
            <w:r w:rsidRPr="00C516B0">
              <w:t xml:space="preserve">provide </w:t>
            </w:r>
            <w:r w:rsidR="00B325D6">
              <w:t xml:space="preserve">the provision of small construction projects up to £35,000 </w:t>
            </w:r>
            <w:r w:rsidRPr="00C516B0">
              <w:t xml:space="preserve">as specified in those documents and in accordance with the attached documentation to the </w:t>
            </w:r>
            <w:r w:rsidR="00C516B0">
              <w:t>College</w:t>
            </w:r>
            <w:r w:rsidRPr="00C516B0">
              <w:t xml:space="preserve"> commencing [DATE] and continuing for the period specified in the Contract.</w:t>
            </w:r>
          </w:p>
          <w:p w14:paraId="57D57ED8" w14:textId="1731089D" w:rsidR="00CC52C0" w:rsidRPr="00C516B0" w:rsidRDefault="00A01C2C">
            <w:pPr>
              <w:pStyle w:val="Paragraph"/>
              <w:jc w:val="left"/>
            </w:pPr>
            <w:r w:rsidRPr="00C516B0">
              <w:t xml:space="preserve">If this offer is accepted, we will execute such documents in the form of the </w:t>
            </w:r>
            <w:r w:rsidR="00516A4A">
              <w:t>Framework</w:t>
            </w:r>
            <w:r w:rsidR="00BB651B">
              <w:t xml:space="preserve"> </w:t>
            </w:r>
            <w:r w:rsidRPr="00C516B0">
              <w:t xml:space="preserve"> within [NUMBER] days of being called on to do so.</w:t>
            </w:r>
          </w:p>
          <w:p w14:paraId="34700C8C" w14:textId="4F241AB8" w:rsidR="00CC52C0" w:rsidRPr="00C516B0" w:rsidRDefault="00A01C2C">
            <w:pPr>
              <w:pStyle w:val="Paragraph"/>
              <w:jc w:val="left"/>
            </w:pPr>
            <w:r w:rsidRPr="00C516B0">
              <w:t xml:space="preserve">We agree that before executing the </w:t>
            </w:r>
            <w:r w:rsidR="00516A4A">
              <w:t>Framework</w:t>
            </w:r>
            <w:r w:rsidRPr="00C516B0">
              <w:t xml:space="preserve"> (and associated schedules) substantially in the form set out in the ITT, the formal acceptance of this Tender in writing by the </w:t>
            </w:r>
            <w:r w:rsidR="00C516B0">
              <w:t>College</w:t>
            </w:r>
            <w:r w:rsidR="00646D9B">
              <w:t xml:space="preserve">, </w:t>
            </w:r>
            <w:r w:rsidRPr="00C516B0">
              <w:t xml:space="preserve">together with the </w:t>
            </w:r>
            <w:r w:rsidR="00BB651B">
              <w:t xml:space="preserve">attached draft Call-Off Agreement and other </w:t>
            </w:r>
            <w:r w:rsidRPr="00C516B0">
              <w:t xml:space="preserve"> documents attached hereto shall comprise a binding contract between the </w:t>
            </w:r>
            <w:r w:rsidR="00C516B0">
              <w:t>College</w:t>
            </w:r>
            <w:r w:rsidRPr="00C516B0">
              <w:t xml:space="preserve"> and the Tenderer.</w:t>
            </w:r>
          </w:p>
          <w:p w14:paraId="499E15CD" w14:textId="14C9E426" w:rsidR="00CC52C0" w:rsidRDefault="00A01C2C">
            <w:pPr>
              <w:pStyle w:val="Paragraph"/>
              <w:jc w:val="left"/>
            </w:pPr>
            <w:r w:rsidRPr="00C516B0">
              <w:t xml:space="preserve">We agree with the </w:t>
            </w:r>
            <w:r w:rsidR="00C516B0">
              <w:t>College</w:t>
            </w:r>
            <w:r w:rsidRPr="00C516B0">
              <w:t xml:space="preserve"> in legally binding terms to comply with the provisions of confidentiality set out in </w:t>
            </w:r>
            <w:r w:rsidRPr="00C516B0">
              <w:fldChar w:fldCharType="begin"/>
            </w:r>
            <w:r w:rsidRPr="00C516B0">
              <w:instrText>PAGEREF a447638\# "'paragraph '"  \h</w:instrText>
            </w:r>
            <w:r w:rsidRPr="00C516B0">
              <w:fldChar w:fldCharType="separate"/>
            </w:r>
            <w:r w:rsidRPr="00C516B0">
              <w:t xml:space="preserve">paragraph </w:t>
            </w:r>
            <w:r w:rsidRPr="00C516B0">
              <w:fldChar w:fldCharType="end"/>
            </w:r>
            <w:r w:rsidRPr="00C516B0">
              <w:fldChar w:fldCharType="begin"/>
            </w:r>
            <w:r w:rsidRPr="00C516B0">
              <w:rPr>
                <w:highlight w:val="lightGray"/>
              </w:rPr>
              <w:instrText>REF a447638 \h \w</w:instrText>
            </w:r>
            <w:r w:rsidR="00C516B0">
              <w:instrText xml:space="preserve"> \* MERGEFORMAT </w:instrText>
            </w:r>
            <w:r w:rsidRPr="00C516B0">
              <w:fldChar w:fldCharType="separate"/>
            </w:r>
            <w:r w:rsidRPr="00C516B0">
              <w:t>4.2</w:t>
            </w:r>
            <w:r w:rsidRPr="00C516B0">
              <w:fldChar w:fldCharType="end"/>
            </w:r>
            <w:r w:rsidRPr="00C516B0">
              <w:t xml:space="preserve"> of the ITT.</w:t>
            </w:r>
          </w:p>
          <w:p w14:paraId="6E6D723B" w14:textId="6E3580F4" w:rsidR="002E6B10" w:rsidRPr="00C516B0" w:rsidRDefault="002E6B10">
            <w:pPr>
              <w:pStyle w:val="Paragraph"/>
              <w:jc w:val="left"/>
            </w:pPr>
            <w:r>
              <w:t xml:space="preserve">We agree that if we have used Artificial Intelligence to produce any part of our Tender, that the information has been checked and verified as correct by us. We </w:t>
            </w:r>
            <w:r w:rsidR="004D435E">
              <w:t>accept that anything written in our Tender is considered true and accurate.</w:t>
            </w:r>
          </w:p>
          <w:p w14:paraId="1CCB71AC" w14:textId="77777777" w:rsidR="00CC52C0" w:rsidRPr="00C516B0" w:rsidRDefault="00A01C2C">
            <w:pPr>
              <w:pStyle w:val="Paragraph"/>
              <w:jc w:val="left"/>
            </w:pPr>
            <w:r w:rsidRPr="00C516B0">
              <w:t>We warrant that we have all requisite authority to sign this Tender and confirm that we have complied with all the requirements of the ITT.</w:t>
            </w:r>
          </w:p>
        </w:tc>
      </w:tr>
      <w:tr w:rsidR="00492069" w:rsidRPr="00C516B0" w14:paraId="3ABCC247" w14:textId="77777777">
        <w:tc>
          <w:tcPr>
            <w:tcW w:w="1500" w:type="pct"/>
            <w:tcBorders>
              <w:top w:val="nil"/>
              <w:left w:val="nil"/>
              <w:bottom w:val="nil"/>
              <w:right w:val="nil"/>
            </w:tcBorders>
          </w:tcPr>
          <w:p w14:paraId="4C64105D" w14:textId="77777777" w:rsidR="00CC52C0" w:rsidRPr="00C516B0" w:rsidRDefault="00A01C2C">
            <w:pPr>
              <w:pStyle w:val="Paragraph"/>
              <w:jc w:val="left"/>
            </w:pPr>
            <w:r w:rsidRPr="00C516B0">
              <w:t>Signature</w:t>
            </w:r>
          </w:p>
        </w:tc>
        <w:tc>
          <w:tcPr>
            <w:tcW w:w="3500" w:type="pct"/>
            <w:tcBorders>
              <w:top w:val="nil"/>
              <w:left w:val="nil"/>
              <w:bottom w:val="nil"/>
              <w:right w:val="nil"/>
            </w:tcBorders>
          </w:tcPr>
          <w:p w14:paraId="35D4AB4F" w14:textId="77777777" w:rsidR="00CC52C0" w:rsidRPr="00C516B0" w:rsidRDefault="00A01C2C">
            <w:pPr>
              <w:pStyle w:val="Paragraph"/>
              <w:jc w:val="left"/>
            </w:pPr>
            <w:r w:rsidRPr="00C516B0">
              <w:t>_________________________________________</w:t>
            </w:r>
          </w:p>
        </w:tc>
      </w:tr>
      <w:tr w:rsidR="00492069" w:rsidRPr="00C516B0" w14:paraId="3CFBA568" w14:textId="77777777">
        <w:tc>
          <w:tcPr>
            <w:tcW w:w="1500" w:type="pct"/>
            <w:tcBorders>
              <w:top w:val="nil"/>
              <w:left w:val="nil"/>
              <w:bottom w:val="nil"/>
              <w:right w:val="nil"/>
            </w:tcBorders>
          </w:tcPr>
          <w:p w14:paraId="7675E9B1" w14:textId="77777777" w:rsidR="00CC52C0" w:rsidRPr="00C516B0" w:rsidRDefault="00A01C2C">
            <w:pPr>
              <w:pStyle w:val="Paragraph"/>
              <w:jc w:val="left"/>
            </w:pPr>
            <w:r w:rsidRPr="00C516B0">
              <w:t>Name and status</w:t>
            </w:r>
          </w:p>
        </w:tc>
        <w:tc>
          <w:tcPr>
            <w:tcW w:w="3500" w:type="pct"/>
            <w:tcBorders>
              <w:top w:val="nil"/>
              <w:left w:val="nil"/>
              <w:bottom w:val="nil"/>
              <w:right w:val="nil"/>
            </w:tcBorders>
          </w:tcPr>
          <w:p w14:paraId="24932B94" w14:textId="77777777" w:rsidR="00CC52C0" w:rsidRPr="00C516B0" w:rsidRDefault="00A01C2C">
            <w:pPr>
              <w:pStyle w:val="Paragraph"/>
              <w:jc w:val="left"/>
            </w:pPr>
            <w:r w:rsidRPr="00C516B0">
              <w:t>_________________________________________</w:t>
            </w:r>
          </w:p>
        </w:tc>
      </w:tr>
      <w:tr w:rsidR="00492069" w:rsidRPr="00C516B0" w14:paraId="023C9163" w14:textId="77777777">
        <w:tc>
          <w:tcPr>
            <w:tcW w:w="1500" w:type="pct"/>
            <w:tcBorders>
              <w:top w:val="nil"/>
              <w:left w:val="nil"/>
              <w:bottom w:val="nil"/>
              <w:right w:val="nil"/>
            </w:tcBorders>
          </w:tcPr>
          <w:p w14:paraId="1D055C0D" w14:textId="77777777" w:rsidR="00CC52C0" w:rsidRPr="00C516B0" w:rsidRDefault="00A01C2C">
            <w:pPr>
              <w:pStyle w:val="Paragraph"/>
              <w:jc w:val="left"/>
            </w:pPr>
            <w:r w:rsidRPr="00C516B0">
              <w:t>Signature</w:t>
            </w:r>
          </w:p>
        </w:tc>
        <w:tc>
          <w:tcPr>
            <w:tcW w:w="3500" w:type="pct"/>
            <w:tcBorders>
              <w:top w:val="nil"/>
              <w:left w:val="nil"/>
              <w:bottom w:val="nil"/>
              <w:right w:val="nil"/>
            </w:tcBorders>
          </w:tcPr>
          <w:p w14:paraId="71A92D52" w14:textId="77777777" w:rsidR="00CC52C0" w:rsidRPr="00C516B0" w:rsidRDefault="00A01C2C">
            <w:pPr>
              <w:pStyle w:val="Paragraph"/>
              <w:jc w:val="left"/>
            </w:pPr>
            <w:r w:rsidRPr="00C516B0">
              <w:t>_________________________________________</w:t>
            </w:r>
          </w:p>
        </w:tc>
      </w:tr>
      <w:tr w:rsidR="00492069" w:rsidRPr="00C516B0" w14:paraId="78FF51E9" w14:textId="77777777">
        <w:tc>
          <w:tcPr>
            <w:tcW w:w="1500" w:type="pct"/>
            <w:tcBorders>
              <w:top w:val="nil"/>
              <w:left w:val="nil"/>
              <w:bottom w:val="nil"/>
              <w:right w:val="nil"/>
            </w:tcBorders>
          </w:tcPr>
          <w:p w14:paraId="68A23A56" w14:textId="77777777" w:rsidR="00CC52C0" w:rsidRPr="00C516B0" w:rsidRDefault="00A01C2C">
            <w:pPr>
              <w:pStyle w:val="Paragraph"/>
              <w:jc w:val="left"/>
            </w:pPr>
            <w:r w:rsidRPr="00C516B0">
              <w:t>Name and status</w:t>
            </w:r>
          </w:p>
        </w:tc>
        <w:tc>
          <w:tcPr>
            <w:tcW w:w="3500" w:type="pct"/>
            <w:tcBorders>
              <w:top w:val="nil"/>
              <w:left w:val="nil"/>
              <w:bottom w:val="nil"/>
              <w:right w:val="nil"/>
            </w:tcBorders>
          </w:tcPr>
          <w:p w14:paraId="32A4D800" w14:textId="77777777" w:rsidR="00CC52C0" w:rsidRPr="00C516B0" w:rsidRDefault="00A01C2C">
            <w:pPr>
              <w:pStyle w:val="Paragraph"/>
              <w:jc w:val="left"/>
            </w:pPr>
            <w:r w:rsidRPr="00C516B0">
              <w:t>_________________________________________</w:t>
            </w:r>
          </w:p>
        </w:tc>
      </w:tr>
      <w:tr w:rsidR="00492069" w:rsidRPr="00C516B0" w14:paraId="369DFCF3" w14:textId="77777777">
        <w:tc>
          <w:tcPr>
            <w:tcW w:w="1500" w:type="pct"/>
            <w:tcBorders>
              <w:top w:val="nil"/>
              <w:left w:val="nil"/>
              <w:bottom w:val="nil"/>
              <w:right w:val="nil"/>
            </w:tcBorders>
          </w:tcPr>
          <w:p w14:paraId="75F656A5" w14:textId="77777777" w:rsidR="00CC52C0" w:rsidRPr="00C516B0" w:rsidRDefault="00A01C2C">
            <w:pPr>
              <w:pStyle w:val="Paragraph"/>
              <w:jc w:val="left"/>
            </w:pPr>
            <w:r w:rsidRPr="00C516B0">
              <w:t>For and on behalf of</w:t>
            </w:r>
          </w:p>
        </w:tc>
        <w:tc>
          <w:tcPr>
            <w:tcW w:w="3500" w:type="pct"/>
            <w:tcBorders>
              <w:top w:val="nil"/>
              <w:left w:val="nil"/>
              <w:bottom w:val="nil"/>
              <w:right w:val="nil"/>
            </w:tcBorders>
          </w:tcPr>
          <w:p w14:paraId="0666F3A7" w14:textId="77777777" w:rsidR="00CC52C0" w:rsidRPr="00C516B0" w:rsidRDefault="00A01C2C">
            <w:pPr>
              <w:pStyle w:val="Paragraph"/>
              <w:jc w:val="left"/>
            </w:pPr>
            <w:r w:rsidRPr="00C516B0">
              <w:t>[NAME OF COMPANY, PARTNERS OR CONSORTIUM]</w:t>
            </w:r>
          </w:p>
        </w:tc>
      </w:tr>
    </w:tbl>
    <w:p w14:paraId="74D11F59" w14:textId="77777777" w:rsidR="00A33097" w:rsidRDefault="00A33097">
      <w:pPr>
        <w:pStyle w:val="Paragraph"/>
        <w:rPr>
          <w:lang w:val="en-US"/>
        </w:rPr>
      </w:pPr>
    </w:p>
    <w:p w14:paraId="1BD8C8D6" w14:textId="77777777" w:rsidR="00A33097" w:rsidRDefault="00A33097">
      <w:pPr>
        <w:pStyle w:val="Paragraph"/>
        <w:rPr>
          <w:lang w:val="en-US"/>
        </w:rPr>
      </w:pPr>
    </w:p>
    <w:p w14:paraId="1D4D2C6F" w14:textId="77777777" w:rsidR="00A33097" w:rsidRDefault="00A33097">
      <w:pPr>
        <w:pStyle w:val="Paragraph"/>
        <w:rPr>
          <w:lang w:val="en-US"/>
        </w:rPr>
      </w:pPr>
    </w:p>
    <w:p w14:paraId="7E7E9EB4" w14:textId="77777777" w:rsidR="005F62CC" w:rsidRDefault="005F62CC" w:rsidP="00F660D7">
      <w:pPr>
        <w:pStyle w:val="Schedule"/>
        <w:numPr>
          <w:ilvl w:val="0"/>
          <w:numId w:val="22"/>
        </w:numPr>
        <w:rPr>
          <w:rFonts w:ascii="Arial" w:hAnsi="Arial" w:cs="Arial"/>
          <w:color w:val="000000"/>
        </w:rPr>
        <w:sectPr w:rsidR="005F62CC">
          <w:pgSz w:w="12240" w:h="15840"/>
          <w:pgMar w:top="1440" w:right="1440" w:bottom="1440" w:left="1440" w:header="720" w:footer="720" w:gutter="0"/>
          <w:cols w:space="720"/>
        </w:sectPr>
      </w:pPr>
    </w:p>
    <w:p w14:paraId="10F75AB7" w14:textId="4F6484EA" w:rsidR="005F62CC" w:rsidRDefault="005F62CC" w:rsidP="005F62CC">
      <w:pPr>
        <w:pStyle w:val="Schedule"/>
        <w:numPr>
          <w:ilvl w:val="0"/>
          <w:numId w:val="22"/>
        </w:numPr>
        <w:rPr>
          <w:rFonts w:ascii="Arial" w:hAnsi="Arial" w:cs="Arial"/>
          <w:color w:val="000000"/>
        </w:rPr>
      </w:pPr>
      <w:r>
        <w:rPr>
          <w:rFonts w:ascii="Arial" w:hAnsi="Arial" w:cs="Arial"/>
          <w:color w:val="000000"/>
        </w:rPr>
        <w:lastRenderedPageBreak/>
        <w:t>Conflict of Interest Declaration</w:t>
      </w:r>
    </w:p>
    <w:p w14:paraId="6249D2C7" w14:textId="77777777" w:rsidR="00D82165" w:rsidRPr="00090355" w:rsidRDefault="00D82165" w:rsidP="00D82165">
      <w:pPr>
        <w:jc w:val="both"/>
        <w:rPr>
          <w:rFonts w:ascii="Arial" w:hAnsi="Arial" w:cs="Arial"/>
          <w:szCs w:val="20"/>
        </w:rPr>
      </w:pPr>
      <w:r w:rsidRPr="00090355">
        <w:rPr>
          <w:rFonts w:ascii="Arial" w:hAnsi="Arial" w:cs="Arial"/>
          <w:szCs w:val="20"/>
        </w:rPr>
        <w:t>I/We warrant that:</w:t>
      </w:r>
    </w:p>
    <w:p w14:paraId="45281980" w14:textId="77777777" w:rsidR="00D82165" w:rsidRPr="00090355" w:rsidRDefault="00D82165" w:rsidP="00D82165">
      <w:pPr>
        <w:jc w:val="both"/>
        <w:rPr>
          <w:rFonts w:ascii="Arial" w:hAnsi="Arial" w:cs="Arial"/>
          <w:szCs w:val="20"/>
        </w:rPr>
      </w:pPr>
    </w:p>
    <w:p w14:paraId="2E670AFC" w14:textId="3721DAB6" w:rsidR="00D82165" w:rsidRPr="00090355" w:rsidRDefault="00D82165" w:rsidP="00D82165">
      <w:pPr>
        <w:pStyle w:val="ListParagraph"/>
        <w:numPr>
          <w:ilvl w:val="3"/>
          <w:numId w:val="69"/>
        </w:numPr>
        <w:spacing w:after="0"/>
        <w:ind w:left="567" w:hanging="567"/>
        <w:jc w:val="both"/>
        <w:rPr>
          <w:rFonts w:ascii="Arial" w:hAnsi="Arial" w:cs="Arial"/>
          <w:szCs w:val="20"/>
        </w:rPr>
      </w:pPr>
      <w:r w:rsidRPr="00090355">
        <w:rPr>
          <w:rFonts w:ascii="Arial" w:hAnsi="Arial" w:cs="Arial"/>
          <w:szCs w:val="20"/>
        </w:rPr>
        <w:t xml:space="preserve">There </w:t>
      </w:r>
      <w:r w:rsidRPr="00090355">
        <w:rPr>
          <w:rFonts w:ascii="Arial" w:hAnsi="Arial" w:cs="Arial"/>
          <w:b/>
          <w:szCs w:val="20"/>
        </w:rPr>
        <w:t>would be no</w:t>
      </w:r>
      <w:r w:rsidRPr="00090355">
        <w:rPr>
          <w:rFonts w:ascii="Arial" w:hAnsi="Arial" w:cs="Arial"/>
          <w:szCs w:val="20"/>
        </w:rPr>
        <w:t xml:space="preserve"> conflict or perceived conflict of interest in relation to the personnel or type of work involved in this </w:t>
      </w:r>
      <w:r w:rsidR="00516A4A">
        <w:rPr>
          <w:rFonts w:ascii="Arial" w:hAnsi="Arial" w:cs="Arial"/>
          <w:szCs w:val="20"/>
        </w:rPr>
        <w:t>Framework</w:t>
      </w:r>
      <w:r w:rsidRPr="00090355">
        <w:rPr>
          <w:rFonts w:ascii="Arial" w:hAnsi="Arial" w:cs="Arial"/>
          <w:szCs w:val="20"/>
        </w:rPr>
        <w:t>.</w:t>
      </w:r>
    </w:p>
    <w:p w14:paraId="421D23F6" w14:textId="77777777" w:rsidR="00D82165" w:rsidRPr="00090355" w:rsidRDefault="00D82165" w:rsidP="00D82165">
      <w:pPr>
        <w:jc w:val="both"/>
        <w:rPr>
          <w:rFonts w:ascii="Arial" w:hAnsi="Arial" w:cs="Arial"/>
          <w:szCs w:val="20"/>
        </w:rPr>
      </w:pPr>
    </w:p>
    <w:p w14:paraId="25C32666" w14:textId="77777777" w:rsidR="00D82165" w:rsidRPr="00090355" w:rsidRDefault="00D82165" w:rsidP="00D82165">
      <w:pPr>
        <w:jc w:val="both"/>
        <w:rPr>
          <w:rFonts w:ascii="Arial" w:hAnsi="Arial" w:cs="Arial"/>
          <w:szCs w:val="20"/>
          <w:u w:val="single"/>
        </w:rPr>
      </w:pPr>
      <w:r w:rsidRPr="00090355">
        <w:rPr>
          <w:rFonts w:ascii="Arial" w:hAnsi="Arial" w:cs="Arial"/>
          <w:szCs w:val="20"/>
        </w:rPr>
        <w:t>Signed:</w:t>
      </w:r>
      <w:r w:rsidRPr="00090355">
        <w:rPr>
          <w:rFonts w:ascii="Arial" w:hAnsi="Arial" w:cs="Arial"/>
          <w:szCs w:val="20"/>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p>
    <w:p w14:paraId="4AA4DA57" w14:textId="77777777" w:rsidR="00D82165" w:rsidRPr="00090355" w:rsidRDefault="00D82165" w:rsidP="00D82165">
      <w:pPr>
        <w:jc w:val="both"/>
        <w:rPr>
          <w:rFonts w:ascii="Arial" w:hAnsi="Arial" w:cs="Arial"/>
          <w:szCs w:val="20"/>
        </w:rPr>
      </w:pPr>
    </w:p>
    <w:p w14:paraId="315919CB" w14:textId="77777777" w:rsidR="00D82165" w:rsidRPr="00090355" w:rsidRDefault="00D82165" w:rsidP="00D82165">
      <w:pPr>
        <w:jc w:val="both"/>
        <w:rPr>
          <w:rFonts w:ascii="Arial" w:hAnsi="Arial" w:cs="Arial"/>
          <w:szCs w:val="20"/>
          <w:u w:val="single"/>
        </w:rPr>
      </w:pPr>
      <w:r w:rsidRPr="00090355">
        <w:rPr>
          <w:rFonts w:ascii="Arial" w:hAnsi="Arial" w:cs="Arial"/>
          <w:szCs w:val="20"/>
        </w:rPr>
        <w:t>Position/Status:</w:t>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p>
    <w:p w14:paraId="423F4096" w14:textId="77777777" w:rsidR="00D82165" w:rsidRPr="00090355" w:rsidRDefault="00D82165" w:rsidP="00D82165">
      <w:pPr>
        <w:jc w:val="both"/>
        <w:rPr>
          <w:rFonts w:ascii="Arial" w:hAnsi="Arial" w:cs="Arial"/>
          <w:szCs w:val="20"/>
        </w:rPr>
      </w:pPr>
    </w:p>
    <w:p w14:paraId="0F9D8B0B" w14:textId="77777777" w:rsidR="00D82165" w:rsidRPr="00090355" w:rsidRDefault="00D82165" w:rsidP="00D82165">
      <w:pPr>
        <w:jc w:val="both"/>
        <w:rPr>
          <w:rFonts w:ascii="Arial" w:hAnsi="Arial" w:cs="Arial"/>
          <w:szCs w:val="20"/>
          <w:u w:val="single"/>
        </w:rPr>
      </w:pPr>
      <w:r w:rsidRPr="00090355">
        <w:rPr>
          <w:rFonts w:ascii="Arial" w:hAnsi="Arial" w:cs="Arial"/>
          <w:szCs w:val="20"/>
        </w:rPr>
        <w:t>Company Name:</w:t>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p>
    <w:p w14:paraId="29EBE297" w14:textId="77777777" w:rsidR="00D82165" w:rsidRPr="00090355" w:rsidRDefault="00D82165" w:rsidP="00D82165">
      <w:pPr>
        <w:jc w:val="both"/>
        <w:rPr>
          <w:rFonts w:ascii="Arial" w:hAnsi="Arial" w:cs="Arial"/>
          <w:szCs w:val="20"/>
        </w:rPr>
      </w:pPr>
    </w:p>
    <w:p w14:paraId="59607A2B" w14:textId="77777777" w:rsidR="00D82165" w:rsidRPr="00090355" w:rsidRDefault="00D82165" w:rsidP="00D82165">
      <w:pPr>
        <w:jc w:val="both"/>
        <w:rPr>
          <w:rFonts w:ascii="Arial" w:hAnsi="Arial" w:cs="Arial"/>
          <w:szCs w:val="20"/>
          <w:u w:val="single"/>
        </w:rPr>
      </w:pPr>
      <w:r w:rsidRPr="00090355">
        <w:rPr>
          <w:rFonts w:ascii="Arial" w:hAnsi="Arial" w:cs="Arial"/>
          <w:szCs w:val="20"/>
        </w:rPr>
        <w:t>Address:</w:t>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p>
    <w:p w14:paraId="653BB01E" w14:textId="77777777" w:rsidR="00D82165" w:rsidRPr="00090355" w:rsidRDefault="00D82165" w:rsidP="00D82165">
      <w:pPr>
        <w:jc w:val="both"/>
        <w:rPr>
          <w:rFonts w:ascii="Arial" w:hAnsi="Arial" w:cs="Arial"/>
          <w:szCs w:val="20"/>
        </w:rPr>
      </w:pPr>
    </w:p>
    <w:p w14:paraId="3DE04956" w14:textId="77777777" w:rsidR="00D82165" w:rsidRPr="00090355" w:rsidRDefault="00D82165" w:rsidP="00D82165">
      <w:pPr>
        <w:jc w:val="both"/>
        <w:rPr>
          <w:rFonts w:ascii="Arial" w:hAnsi="Arial" w:cs="Arial"/>
          <w:szCs w:val="20"/>
          <w:u w:val="single"/>
        </w:rPr>
      </w:pPr>
      <w:r w:rsidRPr="00090355">
        <w:rPr>
          <w:rFonts w:ascii="Arial" w:hAnsi="Arial" w:cs="Arial"/>
          <w:szCs w:val="20"/>
        </w:rPr>
        <w:t>Date Signed:</w:t>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p>
    <w:p w14:paraId="606A4B4C" w14:textId="77777777" w:rsidR="00D82165" w:rsidRPr="00090355" w:rsidRDefault="00D82165" w:rsidP="00D82165">
      <w:pPr>
        <w:jc w:val="both"/>
        <w:rPr>
          <w:rFonts w:ascii="Arial" w:hAnsi="Arial" w:cs="Arial"/>
          <w:szCs w:val="20"/>
        </w:rPr>
      </w:pPr>
    </w:p>
    <w:p w14:paraId="68D78164" w14:textId="77777777" w:rsidR="00D82165" w:rsidRPr="00090355" w:rsidRDefault="00D82165" w:rsidP="00D82165">
      <w:pPr>
        <w:jc w:val="both"/>
        <w:rPr>
          <w:rFonts w:ascii="Arial" w:hAnsi="Arial" w:cs="Arial"/>
          <w:szCs w:val="20"/>
        </w:rPr>
      </w:pPr>
    </w:p>
    <w:p w14:paraId="44DA76F3" w14:textId="77777777" w:rsidR="00D82165" w:rsidRPr="00090355" w:rsidRDefault="00D82165" w:rsidP="00D82165">
      <w:pPr>
        <w:jc w:val="both"/>
        <w:rPr>
          <w:rFonts w:ascii="Arial" w:hAnsi="Arial" w:cs="Arial"/>
          <w:b/>
          <w:szCs w:val="20"/>
          <w:u w:val="single"/>
        </w:rPr>
      </w:pPr>
      <w:r w:rsidRPr="00090355">
        <w:rPr>
          <w:rFonts w:ascii="Arial" w:hAnsi="Arial" w:cs="Arial"/>
          <w:b/>
          <w:szCs w:val="20"/>
          <w:u w:val="single"/>
        </w:rPr>
        <w:tab/>
      </w:r>
      <w:r w:rsidRPr="00090355">
        <w:rPr>
          <w:rFonts w:ascii="Arial" w:hAnsi="Arial" w:cs="Arial"/>
          <w:b/>
          <w:szCs w:val="20"/>
          <w:u w:val="single"/>
        </w:rPr>
        <w:tab/>
      </w:r>
      <w:r w:rsidRPr="00090355">
        <w:rPr>
          <w:rFonts w:ascii="Arial" w:hAnsi="Arial" w:cs="Arial"/>
          <w:b/>
          <w:szCs w:val="20"/>
          <w:u w:val="single"/>
        </w:rPr>
        <w:tab/>
      </w:r>
      <w:r w:rsidRPr="00090355">
        <w:rPr>
          <w:rFonts w:ascii="Arial" w:hAnsi="Arial" w:cs="Arial"/>
          <w:b/>
          <w:szCs w:val="20"/>
          <w:u w:val="single"/>
        </w:rPr>
        <w:tab/>
      </w:r>
      <w:r w:rsidRPr="00090355">
        <w:rPr>
          <w:rFonts w:ascii="Arial" w:hAnsi="Arial" w:cs="Arial"/>
          <w:b/>
          <w:szCs w:val="20"/>
          <w:u w:val="single"/>
        </w:rPr>
        <w:tab/>
      </w:r>
      <w:r w:rsidRPr="00090355">
        <w:rPr>
          <w:rFonts w:ascii="Arial" w:hAnsi="Arial" w:cs="Arial"/>
          <w:b/>
          <w:szCs w:val="20"/>
          <w:u w:val="single"/>
        </w:rPr>
        <w:tab/>
      </w:r>
      <w:r w:rsidRPr="00090355">
        <w:rPr>
          <w:rFonts w:ascii="Arial" w:hAnsi="Arial" w:cs="Arial"/>
          <w:b/>
          <w:szCs w:val="20"/>
          <w:u w:val="single"/>
        </w:rPr>
        <w:tab/>
      </w:r>
      <w:r w:rsidRPr="00090355">
        <w:rPr>
          <w:rFonts w:ascii="Arial" w:hAnsi="Arial" w:cs="Arial"/>
          <w:b/>
          <w:szCs w:val="20"/>
          <w:u w:val="single"/>
        </w:rPr>
        <w:tab/>
      </w:r>
      <w:r w:rsidRPr="00090355">
        <w:rPr>
          <w:rFonts w:ascii="Arial" w:hAnsi="Arial" w:cs="Arial"/>
          <w:b/>
          <w:szCs w:val="20"/>
          <w:u w:val="single"/>
        </w:rPr>
        <w:tab/>
      </w:r>
      <w:r w:rsidRPr="00090355">
        <w:rPr>
          <w:rFonts w:ascii="Arial" w:hAnsi="Arial" w:cs="Arial"/>
          <w:b/>
          <w:szCs w:val="20"/>
          <w:u w:val="single"/>
        </w:rPr>
        <w:tab/>
      </w:r>
      <w:r w:rsidRPr="00090355">
        <w:rPr>
          <w:rFonts w:ascii="Arial" w:hAnsi="Arial" w:cs="Arial"/>
          <w:b/>
          <w:szCs w:val="20"/>
          <w:u w:val="single"/>
        </w:rPr>
        <w:tab/>
      </w:r>
      <w:r w:rsidRPr="00090355">
        <w:rPr>
          <w:rFonts w:ascii="Arial" w:hAnsi="Arial" w:cs="Arial"/>
          <w:b/>
          <w:szCs w:val="20"/>
          <w:u w:val="single"/>
        </w:rPr>
        <w:tab/>
      </w:r>
    </w:p>
    <w:p w14:paraId="0C122F3B" w14:textId="77777777" w:rsidR="00D82165" w:rsidRPr="00090355" w:rsidRDefault="00D82165" w:rsidP="00D82165">
      <w:pPr>
        <w:jc w:val="both"/>
        <w:rPr>
          <w:rFonts w:ascii="Arial" w:hAnsi="Arial" w:cs="Arial"/>
          <w:szCs w:val="20"/>
        </w:rPr>
      </w:pPr>
    </w:p>
    <w:p w14:paraId="30AAB3F1" w14:textId="77777777" w:rsidR="00D82165" w:rsidRPr="00090355" w:rsidRDefault="00D82165" w:rsidP="00D82165">
      <w:pPr>
        <w:jc w:val="both"/>
        <w:rPr>
          <w:rFonts w:ascii="Arial" w:hAnsi="Arial" w:cs="Arial"/>
          <w:szCs w:val="20"/>
        </w:rPr>
      </w:pPr>
    </w:p>
    <w:p w14:paraId="1FC5DF4C" w14:textId="77777777" w:rsidR="00D82165" w:rsidRPr="00090355" w:rsidRDefault="00D82165" w:rsidP="00D82165">
      <w:pPr>
        <w:jc w:val="both"/>
        <w:rPr>
          <w:rFonts w:ascii="Arial" w:hAnsi="Arial" w:cs="Arial"/>
          <w:szCs w:val="20"/>
        </w:rPr>
      </w:pPr>
      <w:r w:rsidRPr="00090355">
        <w:rPr>
          <w:rFonts w:ascii="Arial" w:hAnsi="Arial" w:cs="Arial"/>
          <w:szCs w:val="20"/>
        </w:rPr>
        <w:t>I / We warrant that:</w:t>
      </w:r>
    </w:p>
    <w:p w14:paraId="051429AD" w14:textId="77777777" w:rsidR="00D82165" w:rsidRPr="00090355" w:rsidRDefault="00D82165" w:rsidP="00D82165">
      <w:pPr>
        <w:jc w:val="both"/>
        <w:rPr>
          <w:rFonts w:ascii="Arial" w:hAnsi="Arial" w:cs="Arial"/>
          <w:szCs w:val="20"/>
        </w:rPr>
      </w:pPr>
    </w:p>
    <w:p w14:paraId="718F74C3" w14:textId="28D0581A" w:rsidR="00D82165" w:rsidRPr="00090355" w:rsidRDefault="00D82165" w:rsidP="00D82165">
      <w:pPr>
        <w:pStyle w:val="ListParagraph"/>
        <w:numPr>
          <w:ilvl w:val="3"/>
          <w:numId w:val="69"/>
        </w:numPr>
        <w:spacing w:after="0"/>
        <w:ind w:left="567" w:hanging="567"/>
        <w:jc w:val="both"/>
        <w:rPr>
          <w:rFonts w:ascii="Arial" w:hAnsi="Arial" w:cs="Arial"/>
          <w:szCs w:val="20"/>
        </w:rPr>
      </w:pPr>
      <w:r w:rsidRPr="00090355">
        <w:rPr>
          <w:rFonts w:ascii="Arial" w:hAnsi="Arial" w:cs="Arial"/>
          <w:szCs w:val="20"/>
        </w:rPr>
        <w:t xml:space="preserve">There could be a possible conflict or perceived conflict of interest in relation to the personnel or type of work involved in this </w:t>
      </w:r>
      <w:r w:rsidR="00516A4A">
        <w:rPr>
          <w:rFonts w:ascii="Arial" w:hAnsi="Arial" w:cs="Arial"/>
          <w:szCs w:val="20"/>
        </w:rPr>
        <w:t>Framework</w:t>
      </w:r>
      <w:r w:rsidRPr="00090355">
        <w:rPr>
          <w:rFonts w:ascii="Arial" w:hAnsi="Arial" w:cs="Arial"/>
          <w:szCs w:val="20"/>
        </w:rPr>
        <w:t>.</w:t>
      </w:r>
    </w:p>
    <w:p w14:paraId="277F4F68" w14:textId="77777777" w:rsidR="00D82165" w:rsidRPr="00090355" w:rsidRDefault="00D82165" w:rsidP="00D82165">
      <w:pPr>
        <w:ind w:left="567"/>
        <w:jc w:val="both"/>
        <w:rPr>
          <w:rFonts w:ascii="Arial" w:hAnsi="Arial" w:cs="Arial"/>
          <w:szCs w:val="20"/>
        </w:rPr>
      </w:pPr>
    </w:p>
    <w:p w14:paraId="5A161847" w14:textId="5BD0AB12" w:rsidR="00D82165" w:rsidRPr="00090355" w:rsidRDefault="00D82165" w:rsidP="00D82165">
      <w:pPr>
        <w:jc w:val="both"/>
        <w:rPr>
          <w:rFonts w:ascii="Arial" w:hAnsi="Arial" w:cs="Arial"/>
          <w:szCs w:val="20"/>
        </w:rPr>
      </w:pPr>
      <w:r w:rsidRPr="00090355">
        <w:rPr>
          <w:rFonts w:ascii="Arial" w:hAnsi="Arial" w:cs="Arial"/>
          <w:szCs w:val="20"/>
        </w:rPr>
        <w:t xml:space="preserve">Please explain what the possible conflict or perceived conflict of interest may be and who it relates to and how it could have an adverse effect on this </w:t>
      </w:r>
      <w:r w:rsidR="00516A4A">
        <w:rPr>
          <w:rFonts w:ascii="Arial" w:hAnsi="Arial" w:cs="Arial"/>
          <w:szCs w:val="20"/>
        </w:rPr>
        <w:t>Framework</w:t>
      </w:r>
      <w:r w:rsidRPr="00090355">
        <w:rPr>
          <w:rFonts w:ascii="Arial" w:hAnsi="Arial" w:cs="Arial"/>
          <w:szCs w:val="20"/>
        </w:rPr>
        <w:t>.</w:t>
      </w:r>
    </w:p>
    <w:p w14:paraId="1CAE5148" w14:textId="77777777" w:rsidR="00D82165" w:rsidRPr="00090355" w:rsidRDefault="00D82165" w:rsidP="00D82165">
      <w:pPr>
        <w:jc w:val="both"/>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7"/>
      </w:tblGrid>
      <w:tr w:rsidR="00D82165" w:rsidRPr="00090355" w14:paraId="6B5FD251" w14:textId="77777777" w:rsidTr="003F209B">
        <w:tc>
          <w:tcPr>
            <w:tcW w:w="9287" w:type="dxa"/>
          </w:tcPr>
          <w:p w14:paraId="667109CD" w14:textId="77777777" w:rsidR="00D82165" w:rsidRPr="00090355" w:rsidRDefault="00D82165" w:rsidP="003F209B">
            <w:pPr>
              <w:jc w:val="both"/>
              <w:rPr>
                <w:rFonts w:ascii="Arial" w:hAnsi="Arial" w:cs="Arial"/>
                <w:szCs w:val="20"/>
              </w:rPr>
            </w:pPr>
          </w:p>
          <w:p w14:paraId="1991E4BA" w14:textId="77777777" w:rsidR="00D82165" w:rsidRPr="00090355" w:rsidRDefault="00D82165" w:rsidP="003F209B">
            <w:pPr>
              <w:jc w:val="both"/>
              <w:rPr>
                <w:rFonts w:ascii="Arial" w:hAnsi="Arial" w:cs="Arial"/>
                <w:szCs w:val="20"/>
              </w:rPr>
            </w:pPr>
          </w:p>
          <w:p w14:paraId="0D007297" w14:textId="77777777" w:rsidR="00D82165" w:rsidRPr="00090355" w:rsidRDefault="00D82165" w:rsidP="003F209B">
            <w:pPr>
              <w:jc w:val="both"/>
              <w:rPr>
                <w:rFonts w:ascii="Arial" w:hAnsi="Arial" w:cs="Arial"/>
                <w:szCs w:val="20"/>
              </w:rPr>
            </w:pPr>
          </w:p>
          <w:p w14:paraId="6538B51D" w14:textId="77777777" w:rsidR="00D82165" w:rsidRPr="00090355" w:rsidRDefault="00D82165" w:rsidP="003F209B">
            <w:pPr>
              <w:jc w:val="both"/>
              <w:rPr>
                <w:rFonts w:ascii="Arial" w:hAnsi="Arial" w:cs="Arial"/>
                <w:szCs w:val="20"/>
              </w:rPr>
            </w:pPr>
          </w:p>
          <w:p w14:paraId="4B890475" w14:textId="77777777" w:rsidR="00D82165" w:rsidRPr="00090355" w:rsidRDefault="00D82165" w:rsidP="003F209B">
            <w:pPr>
              <w:jc w:val="both"/>
              <w:rPr>
                <w:rFonts w:ascii="Arial" w:hAnsi="Arial" w:cs="Arial"/>
                <w:szCs w:val="20"/>
              </w:rPr>
            </w:pPr>
          </w:p>
          <w:p w14:paraId="627CDE0F" w14:textId="77777777" w:rsidR="00D82165" w:rsidRPr="00090355" w:rsidRDefault="00D82165" w:rsidP="003F209B">
            <w:pPr>
              <w:jc w:val="both"/>
              <w:rPr>
                <w:rFonts w:ascii="Arial" w:hAnsi="Arial" w:cs="Arial"/>
                <w:szCs w:val="20"/>
              </w:rPr>
            </w:pPr>
          </w:p>
        </w:tc>
      </w:tr>
    </w:tbl>
    <w:p w14:paraId="56146AB4" w14:textId="77777777" w:rsidR="00D82165" w:rsidRPr="00090355" w:rsidRDefault="00D82165" w:rsidP="00D82165">
      <w:pPr>
        <w:jc w:val="both"/>
        <w:rPr>
          <w:rFonts w:ascii="Arial" w:hAnsi="Arial" w:cs="Arial"/>
          <w:szCs w:val="20"/>
        </w:rPr>
      </w:pPr>
    </w:p>
    <w:p w14:paraId="684E7034" w14:textId="77777777" w:rsidR="00D82165" w:rsidRPr="00090355" w:rsidRDefault="00D82165" w:rsidP="00D82165">
      <w:pPr>
        <w:jc w:val="both"/>
        <w:rPr>
          <w:rFonts w:ascii="Arial" w:hAnsi="Arial" w:cs="Arial"/>
          <w:szCs w:val="20"/>
        </w:rPr>
      </w:pPr>
    </w:p>
    <w:p w14:paraId="24335B8D" w14:textId="77777777" w:rsidR="00D82165" w:rsidRPr="00090355" w:rsidRDefault="00D82165" w:rsidP="00D82165">
      <w:pPr>
        <w:jc w:val="both"/>
        <w:rPr>
          <w:rFonts w:ascii="Arial" w:hAnsi="Arial" w:cs="Arial"/>
          <w:szCs w:val="20"/>
          <w:u w:val="single"/>
        </w:rPr>
      </w:pPr>
      <w:r w:rsidRPr="00090355">
        <w:rPr>
          <w:rFonts w:ascii="Arial" w:hAnsi="Arial" w:cs="Arial"/>
          <w:szCs w:val="20"/>
        </w:rPr>
        <w:t>Signed:</w:t>
      </w:r>
      <w:r w:rsidRPr="00090355">
        <w:rPr>
          <w:rFonts w:ascii="Arial" w:hAnsi="Arial" w:cs="Arial"/>
          <w:szCs w:val="20"/>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p>
    <w:p w14:paraId="614BEFD6" w14:textId="77777777" w:rsidR="00D82165" w:rsidRPr="00090355" w:rsidRDefault="00D82165" w:rsidP="00D82165">
      <w:pPr>
        <w:jc w:val="both"/>
        <w:rPr>
          <w:rFonts w:ascii="Arial" w:hAnsi="Arial" w:cs="Arial"/>
          <w:szCs w:val="20"/>
        </w:rPr>
      </w:pPr>
    </w:p>
    <w:p w14:paraId="393CC6C0" w14:textId="77777777" w:rsidR="00D82165" w:rsidRPr="00090355" w:rsidRDefault="00D82165" w:rsidP="00D82165">
      <w:pPr>
        <w:jc w:val="both"/>
        <w:rPr>
          <w:rFonts w:ascii="Arial" w:hAnsi="Arial" w:cs="Arial"/>
          <w:szCs w:val="20"/>
          <w:u w:val="single"/>
        </w:rPr>
      </w:pPr>
      <w:r w:rsidRPr="00090355">
        <w:rPr>
          <w:rFonts w:ascii="Arial" w:hAnsi="Arial" w:cs="Arial"/>
          <w:szCs w:val="20"/>
        </w:rPr>
        <w:t>Position/Status:</w:t>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p>
    <w:p w14:paraId="6BA17DB4" w14:textId="77777777" w:rsidR="00D82165" w:rsidRPr="00090355" w:rsidRDefault="00D82165" w:rsidP="00D82165">
      <w:pPr>
        <w:jc w:val="both"/>
        <w:rPr>
          <w:rFonts w:ascii="Arial" w:hAnsi="Arial" w:cs="Arial"/>
          <w:szCs w:val="20"/>
        </w:rPr>
      </w:pPr>
    </w:p>
    <w:p w14:paraId="2D6046F2" w14:textId="77777777" w:rsidR="00D82165" w:rsidRPr="00090355" w:rsidRDefault="00D82165" w:rsidP="00D82165">
      <w:pPr>
        <w:jc w:val="both"/>
        <w:rPr>
          <w:rFonts w:ascii="Arial" w:hAnsi="Arial" w:cs="Arial"/>
          <w:szCs w:val="20"/>
          <w:u w:val="single"/>
        </w:rPr>
      </w:pPr>
      <w:r w:rsidRPr="00090355">
        <w:rPr>
          <w:rFonts w:ascii="Arial" w:hAnsi="Arial" w:cs="Arial"/>
          <w:szCs w:val="20"/>
        </w:rPr>
        <w:t>Company Name:</w:t>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p>
    <w:p w14:paraId="618E82C3" w14:textId="77777777" w:rsidR="00D82165" w:rsidRPr="00090355" w:rsidRDefault="00D82165" w:rsidP="00D82165">
      <w:pPr>
        <w:jc w:val="both"/>
        <w:rPr>
          <w:rFonts w:ascii="Arial" w:hAnsi="Arial" w:cs="Arial"/>
          <w:szCs w:val="20"/>
        </w:rPr>
      </w:pPr>
    </w:p>
    <w:p w14:paraId="333B4C4E" w14:textId="77777777" w:rsidR="00D82165" w:rsidRPr="00090355" w:rsidRDefault="00D82165" w:rsidP="00D82165">
      <w:pPr>
        <w:jc w:val="both"/>
        <w:rPr>
          <w:rFonts w:ascii="Arial" w:hAnsi="Arial" w:cs="Arial"/>
          <w:szCs w:val="20"/>
          <w:u w:val="single"/>
        </w:rPr>
      </w:pPr>
      <w:r w:rsidRPr="00090355">
        <w:rPr>
          <w:rFonts w:ascii="Arial" w:hAnsi="Arial" w:cs="Arial"/>
          <w:szCs w:val="20"/>
        </w:rPr>
        <w:t>Address:</w:t>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p>
    <w:p w14:paraId="04EB2189" w14:textId="77777777" w:rsidR="00D82165" w:rsidRPr="00090355" w:rsidRDefault="00D82165" w:rsidP="00D82165">
      <w:pPr>
        <w:jc w:val="both"/>
        <w:rPr>
          <w:rFonts w:ascii="Arial" w:hAnsi="Arial" w:cs="Arial"/>
          <w:szCs w:val="20"/>
        </w:rPr>
      </w:pPr>
    </w:p>
    <w:p w14:paraId="4B72260A" w14:textId="77777777" w:rsidR="00D82165" w:rsidRPr="00090355" w:rsidRDefault="00D82165" w:rsidP="00D82165">
      <w:pPr>
        <w:jc w:val="both"/>
        <w:rPr>
          <w:rFonts w:ascii="Arial" w:hAnsi="Arial" w:cs="Arial"/>
          <w:szCs w:val="20"/>
          <w:u w:val="single"/>
        </w:rPr>
      </w:pPr>
      <w:r w:rsidRPr="00090355">
        <w:rPr>
          <w:rFonts w:ascii="Arial" w:hAnsi="Arial" w:cs="Arial"/>
          <w:szCs w:val="20"/>
        </w:rPr>
        <w:t>Date Signed:</w:t>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r w:rsidRPr="00090355">
        <w:rPr>
          <w:rFonts w:ascii="Arial" w:hAnsi="Arial" w:cs="Arial"/>
          <w:szCs w:val="20"/>
          <w:u w:val="single"/>
        </w:rPr>
        <w:tab/>
      </w:r>
    </w:p>
    <w:p w14:paraId="4FD5BB56" w14:textId="77777777" w:rsidR="005F62CC" w:rsidRDefault="005F62CC" w:rsidP="00090355">
      <w:pPr>
        <w:pStyle w:val="Schedule"/>
        <w:numPr>
          <w:ilvl w:val="0"/>
          <w:numId w:val="0"/>
        </w:numPr>
        <w:rPr>
          <w:rFonts w:ascii="Arial" w:hAnsi="Arial" w:cs="Arial"/>
          <w:color w:val="000000"/>
        </w:rPr>
        <w:sectPr w:rsidR="005F62CC">
          <w:pgSz w:w="12240" w:h="15840"/>
          <w:pgMar w:top="1440" w:right="1440" w:bottom="1440" w:left="1440" w:header="720" w:footer="720" w:gutter="0"/>
          <w:cols w:space="720"/>
        </w:sectPr>
      </w:pPr>
    </w:p>
    <w:p w14:paraId="046C0893" w14:textId="3BE47953" w:rsidR="00F660D7" w:rsidRDefault="00F660D7" w:rsidP="00F660D7">
      <w:pPr>
        <w:pStyle w:val="Schedule"/>
        <w:numPr>
          <w:ilvl w:val="0"/>
          <w:numId w:val="22"/>
        </w:numPr>
        <w:rPr>
          <w:rFonts w:ascii="Arial" w:hAnsi="Arial" w:cs="Arial"/>
          <w:color w:val="000000"/>
        </w:rPr>
      </w:pPr>
      <w:r>
        <w:rPr>
          <w:rFonts w:ascii="Arial" w:hAnsi="Arial" w:cs="Arial"/>
          <w:color w:val="000000"/>
        </w:rPr>
        <w:lastRenderedPageBreak/>
        <w:t>Construction Specific Requirements</w:t>
      </w:r>
      <w:r w:rsidR="00F17E64">
        <w:rPr>
          <w:rFonts w:ascii="Arial" w:hAnsi="Arial" w:cs="Arial"/>
          <w:color w:val="000000"/>
        </w:rPr>
        <w:t xml:space="preserve"> in relation to Call-Off Contracts</w:t>
      </w:r>
    </w:p>
    <w:p w14:paraId="527E33C3" w14:textId="1FEC4CE6" w:rsidR="00F660D7" w:rsidRPr="00DD26CD" w:rsidRDefault="00F660D7" w:rsidP="00A036F6">
      <w:pPr>
        <w:pStyle w:val="ScheduleUntitledClause"/>
      </w:pPr>
      <w:r w:rsidRPr="00DD26CD">
        <w:t xml:space="preserve">The </w:t>
      </w:r>
      <w:r w:rsidR="00876BE7">
        <w:t>Project Manager</w:t>
      </w:r>
      <w:r w:rsidRPr="00DD26CD">
        <w:t xml:space="preserve"> shall have the right to inspect, copy or take extract of any Contractor’s site documentation if the operations or health and safety of the campus and its users is threatened or infringed.  </w:t>
      </w:r>
    </w:p>
    <w:p w14:paraId="4E94994E" w14:textId="00E7E112" w:rsidR="00F660D7" w:rsidRPr="00D8057A" w:rsidRDefault="00F660D7" w:rsidP="00A036F6">
      <w:pPr>
        <w:pStyle w:val="ScheduleUntitledClause"/>
      </w:pPr>
      <w:r w:rsidRPr="009F08AF">
        <w:t xml:space="preserve">The </w:t>
      </w:r>
      <w:r w:rsidR="00876BE7" w:rsidRPr="009F08AF">
        <w:t>Project Manager</w:t>
      </w:r>
      <w:r w:rsidRPr="009F08AF">
        <w:t xml:space="preserve"> may call a meeting with the Contractor’s Site Manager and their line management jointly or severally at any reasonable time or at any time in an emergency likely to affect the operational capability of the sites.</w:t>
      </w:r>
      <w:r w:rsidRPr="00D8057A">
        <w:t xml:space="preserve">  </w:t>
      </w:r>
    </w:p>
    <w:p w14:paraId="35CA1A88" w14:textId="4D40FB55" w:rsidR="00F660D7" w:rsidRPr="00F146DE" w:rsidRDefault="00F660D7" w:rsidP="00A036F6">
      <w:pPr>
        <w:pStyle w:val="ScheduleUntitledClause"/>
      </w:pPr>
      <w:r w:rsidRPr="00F146DE">
        <w:t xml:space="preserve">Only the </w:t>
      </w:r>
      <w:r w:rsidR="00DB336E">
        <w:t xml:space="preserve">Project Manager specified in the </w:t>
      </w:r>
      <w:r w:rsidR="00F17E64">
        <w:t xml:space="preserve">Call-Off </w:t>
      </w:r>
      <w:r w:rsidR="00DB336E">
        <w:t xml:space="preserve">Contract </w:t>
      </w:r>
      <w:r w:rsidRPr="00F146DE">
        <w:t xml:space="preserve">shall have the authority to instruct the Contractor to undertake, cease or vary any activity within or appertaining to the </w:t>
      </w:r>
      <w:r w:rsidR="00726AAB">
        <w:t>W</w:t>
      </w:r>
      <w:r w:rsidRPr="00F146DE">
        <w:t xml:space="preserve">orks.  Any such instruction which gives rise or may give rise to an additional charge outside the terms of the </w:t>
      </w:r>
      <w:r w:rsidR="00EE00BD">
        <w:t>Call-Off C</w:t>
      </w:r>
      <w:r w:rsidRPr="00F146DE">
        <w:t xml:space="preserve">ontract shall be notified immediately verbally and confirmed in writing to the </w:t>
      </w:r>
      <w:r w:rsidR="00726AAB">
        <w:t xml:space="preserve">Project Manager </w:t>
      </w:r>
      <w:r w:rsidRPr="00F146DE">
        <w:t xml:space="preserve">within 48 hours. </w:t>
      </w:r>
    </w:p>
    <w:p w14:paraId="39109AFC" w14:textId="6669BE4D" w:rsidR="00F660D7" w:rsidRPr="00F146DE" w:rsidRDefault="00671516" w:rsidP="00A036F6">
      <w:pPr>
        <w:pStyle w:val="ScheduleUntitledClause"/>
      </w:pPr>
      <w:r>
        <w:t xml:space="preserve">The Contractor shall </w:t>
      </w:r>
      <w:r w:rsidR="004B1F1A">
        <w:t>ensure that</w:t>
      </w:r>
      <w:r w:rsidR="00F660D7" w:rsidRPr="00F146DE">
        <w:t xml:space="preserve"> the management of all health and safety matters </w:t>
      </w:r>
      <w:r w:rsidR="004B1F1A">
        <w:t xml:space="preserve">is in accordance with </w:t>
      </w:r>
      <w:r w:rsidR="00C355D7">
        <w:t xml:space="preserve">the </w:t>
      </w:r>
      <w:r w:rsidR="00EE00BD">
        <w:t xml:space="preserve">Call-Off </w:t>
      </w:r>
      <w:r w:rsidR="00282721">
        <w:t>Contract</w:t>
      </w:r>
      <w:r w:rsidR="00F660D7" w:rsidRPr="00F146DE">
        <w:t xml:space="preserve"> and in accordance with the College’s Health and Safety Policy as set out in Schedule 4</w:t>
      </w:r>
      <w:r w:rsidR="00282721">
        <w:t>.</w:t>
      </w:r>
    </w:p>
    <w:p w14:paraId="17966F43" w14:textId="5492C310" w:rsidR="00A974CD" w:rsidRPr="009F08AF" w:rsidRDefault="00A974CD" w:rsidP="00A036F6">
      <w:pPr>
        <w:pStyle w:val="ScheduleUntitledClause"/>
      </w:pPr>
      <w:r>
        <w:t>The Contractor shall e</w:t>
      </w:r>
      <w:r w:rsidR="00F660D7" w:rsidRPr="00F660D7">
        <w:t xml:space="preserve">ngage as appropriate with the </w:t>
      </w:r>
      <w:r>
        <w:t>Project Manager</w:t>
      </w:r>
      <w:r w:rsidR="00F660D7" w:rsidRPr="00F660D7">
        <w:t xml:space="preserve"> to always accommodate and respect the College’s operational activities during the course of the </w:t>
      </w:r>
      <w:r w:rsidR="00301415">
        <w:t>W</w:t>
      </w:r>
      <w:r w:rsidR="00F660D7" w:rsidRPr="00F660D7">
        <w:t>orks</w:t>
      </w:r>
      <w:r w:rsidR="00282721">
        <w:t>.</w:t>
      </w:r>
    </w:p>
    <w:p w14:paraId="6681EE88" w14:textId="508EFE3D" w:rsidR="00F660D7" w:rsidRDefault="00D27B70" w:rsidP="00D27B70">
      <w:pPr>
        <w:pStyle w:val="ScheduleUntitledsubclause4"/>
        <w:ind w:left="720" w:hanging="720"/>
      </w:pPr>
      <w:r>
        <w:t>6.</w:t>
      </w:r>
      <w:r>
        <w:tab/>
      </w:r>
      <w:r w:rsidR="0049111E" w:rsidRPr="0049111E">
        <w:t xml:space="preserve">The Contractor always needs to maintain an environment conducive to teaching and learning where the work interfaces with normal activity of the College operation.  There should be minimum disruption caused by the Contractor’s staff, noise or other physical activities during these times where practically possible.  </w:t>
      </w:r>
    </w:p>
    <w:p w14:paraId="6D73D10A" w14:textId="0A10EBAC" w:rsidR="008445AB" w:rsidRDefault="00D27B70" w:rsidP="00D27B70">
      <w:pPr>
        <w:pStyle w:val="ScheduleUntitledsubclause4"/>
        <w:ind w:left="720" w:hanging="720"/>
      </w:pPr>
      <w:r>
        <w:t>7.</w:t>
      </w:r>
      <w:r>
        <w:tab/>
      </w:r>
      <w:r w:rsidR="00621D4B" w:rsidRPr="00621D4B">
        <w:t xml:space="preserve">The Contractor shall be responsible for ensuring that </w:t>
      </w:r>
      <w:r w:rsidR="00CB4F0F">
        <w:t>W</w:t>
      </w:r>
      <w:r w:rsidR="00621D4B" w:rsidRPr="00621D4B">
        <w:t xml:space="preserve">orks have the minimum impact to the College’s operations in areas outside of the contracted work area/s and to fully liaise with the </w:t>
      </w:r>
      <w:r w:rsidR="00CB4F0F">
        <w:t xml:space="preserve">Project Manager </w:t>
      </w:r>
      <w:r w:rsidR="00621D4B" w:rsidRPr="00621D4B">
        <w:t xml:space="preserve">ahead of all </w:t>
      </w:r>
      <w:r w:rsidR="00CB4F0F">
        <w:t>W</w:t>
      </w:r>
      <w:r w:rsidR="00621D4B" w:rsidRPr="00621D4B">
        <w:t xml:space="preserve">orks to enable any agreed limitations to services to be fully communicated to the College, </w:t>
      </w:r>
      <w:r w:rsidR="003C3430">
        <w:t xml:space="preserve">it’s Principalship, </w:t>
      </w:r>
      <w:r w:rsidR="00621D4B" w:rsidRPr="00621D4B">
        <w:t xml:space="preserve">staff and students as necessary a minimum of 48 hours in advance.  </w:t>
      </w:r>
    </w:p>
    <w:p w14:paraId="1A535E7C" w14:textId="42E29AE6" w:rsidR="00621D4B" w:rsidRDefault="00D27B70" w:rsidP="00D27B70">
      <w:pPr>
        <w:pStyle w:val="ScheduleUntitledsubclause4"/>
        <w:ind w:left="720" w:hanging="720"/>
      </w:pPr>
      <w:r>
        <w:t>8.</w:t>
      </w:r>
      <w:r>
        <w:tab/>
      </w:r>
      <w:r w:rsidR="00A35138" w:rsidRPr="00A35138">
        <w:t xml:space="preserve">The Contractor shall be responsible for co-ordinating the provision of any temporary plant, equipment systems or operational support to maintain uninterrupted environmental conditions.  </w:t>
      </w:r>
    </w:p>
    <w:p w14:paraId="037D9674" w14:textId="6902DA5D" w:rsidR="00A35138" w:rsidRPr="00AE562D" w:rsidRDefault="00D27B70" w:rsidP="00D27B70">
      <w:pPr>
        <w:pStyle w:val="ScheduleUntitledsubclause4"/>
        <w:ind w:left="720" w:hanging="720"/>
      </w:pPr>
      <w:r>
        <w:t>9.</w:t>
      </w:r>
      <w:r>
        <w:tab/>
      </w:r>
      <w:r w:rsidR="0011468D">
        <w:t xml:space="preserve">The Contractor shall inform the Project Manager </w:t>
      </w:r>
      <w:r w:rsidR="00922A30" w:rsidRPr="00922A30">
        <w:t xml:space="preserve">of any requirement to work outside of the operating hours of the College.  This will require agreement and appropriate arrangements to be implemented for access etc.  </w:t>
      </w:r>
    </w:p>
    <w:p w14:paraId="40DC047B" w14:textId="062ECD21" w:rsidR="00E7714B" w:rsidRDefault="00E7714B" w:rsidP="00B62E0C">
      <w:pPr>
        <w:pStyle w:val="Schedule"/>
        <w:numPr>
          <w:ilvl w:val="0"/>
          <w:numId w:val="0"/>
        </w:numPr>
        <w:rPr>
          <w:rFonts w:ascii="Arial" w:hAnsi="Arial" w:cs="Arial"/>
          <w:color w:val="000000"/>
        </w:rPr>
      </w:pPr>
    </w:p>
    <w:sectPr w:rsidR="00E7714B">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1B5E8" w14:textId="77777777" w:rsidR="0070142B" w:rsidRDefault="0070142B">
      <w:r>
        <w:separator/>
      </w:r>
    </w:p>
  </w:endnote>
  <w:endnote w:type="continuationSeparator" w:id="0">
    <w:p w14:paraId="477B7539" w14:textId="77777777" w:rsidR="0070142B" w:rsidRDefault="00701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Hei">
    <w:panose1 w:val="02010600030101010101"/>
    <w:charset w:val="86"/>
    <w:family w:val="modern"/>
    <w:pitch w:val="fixed"/>
    <w:sig w:usb0="800002BF" w:usb1="38CF7CFA" w:usb2="00000016" w:usb3="00000000" w:csb0="00040001"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C9023" w14:textId="48CDD315" w:rsidR="00C516B0" w:rsidRDefault="00C516B0" w:rsidP="00C516B0">
    <w:pPr>
      <w:pStyle w:val="Footer"/>
      <w:jc w:val="right"/>
    </w:pPr>
    <w:r>
      <w:t xml:space="preserve">Coleg y </w:t>
    </w:r>
    <w:proofErr w:type="spellStart"/>
    <w:r>
      <w:t>Cymoedd</w:t>
    </w:r>
    <w:proofErr w:type="spellEnd"/>
    <w:r>
      <w:t xml:space="preserve"> (202</w:t>
    </w:r>
    <w:r w:rsidR="00267D24">
      <w:t>6</w:t>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EED4B" w14:textId="77777777" w:rsidR="00492069" w:rsidRDefault="00A01C2C">
    <w:pPr>
      <w:jc w:val="center"/>
    </w:pPr>
    <w:r>
      <w:fldChar w:fldCharType="begin"/>
    </w:r>
    <w:r>
      <w:instrText>PAGE</w:instrText>
    </w:r>
    <w:r>
      <w:fldChar w:fldCharType="separate"/>
    </w:r>
    <w:r>
      <w:t>35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A5B05" w14:textId="77777777" w:rsidR="0070142B" w:rsidRDefault="0070142B">
      <w:r>
        <w:separator/>
      </w:r>
    </w:p>
  </w:footnote>
  <w:footnote w:type="continuationSeparator" w:id="0">
    <w:p w14:paraId="3F44D2EB" w14:textId="77777777" w:rsidR="0070142B" w:rsidRDefault="007014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BEE4C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341F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B3070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6B884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BC3A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35C45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6C03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E457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B0CD8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DBC83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1EF9E"/>
    <w:multiLevelType w:val="multilevel"/>
    <w:tmpl w:val="C09CC1CC"/>
    <w:lvl w:ilvl="0">
      <w:start w:val="1"/>
      <w:numFmt w:val="none"/>
      <w:pStyle w:val="DefinitionDescription"/>
      <w:lvlText w:val="%1"/>
      <w:lvlJc w:val="left"/>
      <w:pPr>
        <w:tabs>
          <w:tab w:val="num" w:pos="567"/>
        </w:tabs>
        <w:ind w:left="567" w:hanging="567"/>
      </w:pPr>
      <w:rPr>
        <w:rFonts w:cs="Times New Roman" w:hint="default"/>
      </w:rPr>
    </w:lvl>
    <w:lvl w:ilvl="1">
      <w:start w:val="1"/>
      <w:numFmt w:val="lowerLetter"/>
      <w:pStyle w:val="Definition1"/>
      <w:lvlText w:val="(%2)"/>
      <w:lvlJc w:val="left"/>
      <w:pPr>
        <w:tabs>
          <w:tab w:val="num" w:pos="1247"/>
        </w:tabs>
        <w:ind w:left="1247" w:hanging="680"/>
      </w:pPr>
      <w:rPr>
        <w:rFonts w:ascii="Georgia" w:hAnsi="Georgia" w:cs="Times New Roman" w:hint="default"/>
        <w:b w:val="0"/>
        <w:bCs w:val="0"/>
        <w:i w:val="0"/>
        <w:iCs w:val="0"/>
        <w:caps w:val="0"/>
        <w:smallCaps w:val="0"/>
        <w:strike w:val="0"/>
        <w:dstrike w:val="0"/>
        <w:noProof w:val="0"/>
        <w:vanish w:val="0"/>
        <w:color w:val="000000"/>
        <w:spacing w:val="0"/>
        <w:kern w:val="0"/>
        <w:position w:val="0"/>
        <w:sz w:val="18"/>
        <w:u w:val="none"/>
        <w:effect w:val="none"/>
        <w:vertAlign w:val="baseline"/>
        <w:specVanish w:val="0"/>
      </w:rPr>
    </w:lvl>
    <w:lvl w:ilvl="2">
      <w:start w:val="1"/>
      <w:numFmt w:val="lowerRoman"/>
      <w:pStyle w:val="Definition2"/>
      <w:lvlText w:val="(%3)"/>
      <w:lvlJc w:val="left"/>
      <w:pPr>
        <w:tabs>
          <w:tab w:val="num" w:pos="1673"/>
        </w:tabs>
        <w:ind w:left="1673" w:hanging="426"/>
      </w:pPr>
      <w:rPr>
        <w:rFonts w:ascii="Georgia" w:hAnsi="Georgia" w:hint="default"/>
        <w:b w:val="0"/>
        <w:bCs w:val="0"/>
        <w:i w:val="0"/>
        <w:iCs w:val="0"/>
        <w:caps w:val="0"/>
        <w:smallCaps w:val="0"/>
        <w:strike w:val="0"/>
        <w:dstrike w:val="0"/>
        <w:noProof w:val="0"/>
        <w:vanish w:val="0"/>
        <w:color w:val="000000"/>
        <w:spacing w:val="0"/>
        <w:kern w:val="0"/>
        <w:position w:val="0"/>
        <w:sz w:val="18"/>
        <w:u w:val="none"/>
        <w:effect w:val="none"/>
        <w:vertAlign w:val="baseline"/>
        <w:specVanish w:val="0"/>
      </w:rPr>
    </w:lvl>
    <w:lvl w:ilvl="3">
      <w:start w:val="1"/>
      <w:numFmt w:val="upperLetter"/>
      <w:pStyle w:val="Definition3"/>
      <w:lvlText w:val="(%4)"/>
      <w:lvlJc w:val="left"/>
      <w:pPr>
        <w:tabs>
          <w:tab w:val="num" w:pos="2098"/>
        </w:tabs>
        <w:ind w:left="2098" w:hanging="425"/>
      </w:pPr>
      <w:rPr>
        <w:rFonts w:ascii="Century Gothic" w:hAnsi="Century Gothic" w:cs="Times New Roman" w:hint="default"/>
        <w:b w:val="0"/>
        <w:bCs w:val="0"/>
        <w:i w:val="0"/>
        <w:iCs w:val="0"/>
        <w:caps w:val="0"/>
        <w:smallCaps w:val="0"/>
        <w:strike w:val="0"/>
        <w:dstrike w:val="0"/>
        <w:noProof w:val="0"/>
        <w:vanish w:val="0"/>
        <w:color w:val="000000"/>
        <w:spacing w:val="0"/>
        <w:kern w:val="0"/>
        <w:position w:val="0"/>
        <w:sz w:val="18"/>
        <w:u w:val="none"/>
        <w:effect w:val="none"/>
        <w:vertAlign w:val="baseline"/>
        <w:specVanish w:val="0"/>
      </w:rPr>
    </w:lvl>
    <w:lvl w:ilvl="4">
      <w:start w:val="1"/>
      <w:numFmt w:val="upperRoman"/>
      <w:lvlText w:val="(%5)"/>
      <w:lvlJc w:val="left"/>
      <w:pPr>
        <w:tabs>
          <w:tab w:val="num" w:pos="1247"/>
        </w:tabs>
        <w:ind w:left="1673" w:hanging="426"/>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11"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7253412"/>
    <w:multiLevelType w:val="hybridMultilevel"/>
    <w:tmpl w:val="960CC850"/>
    <w:lvl w:ilvl="0" w:tplc="E2BCFDA0">
      <w:start w:val="1"/>
      <w:numFmt w:val="bullet"/>
      <w:pStyle w:val="DefinedTermBullet"/>
      <w:lvlText w:val=""/>
      <w:lvlJc w:val="left"/>
      <w:pPr>
        <w:ind w:left="1440" w:hanging="360"/>
      </w:pPr>
      <w:rPr>
        <w:rFonts w:ascii="Symbol" w:hAnsi="Symbol" w:hint="default"/>
        <w:color w:val="000000"/>
      </w:rPr>
    </w:lvl>
    <w:lvl w:ilvl="1" w:tplc="964A16A0" w:tentative="1">
      <w:start w:val="1"/>
      <w:numFmt w:val="bullet"/>
      <w:lvlText w:val="o"/>
      <w:lvlJc w:val="left"/>
      <w:pPr>
        <w:ind w:left="2160" w:hanging="360"/>
      </w:pPr>
      <w:rPr>
        <w:rFonts w:ascii="Courier New" w:hAnsi="Courier New" w:cs="Courier New" w:hint="default"/>
      </w:rPr>
    </w:lvl>
    <w:lvl w:ilvl="2" w:tplc="3BEC39EC" w:tentative="1">
      <w:start w:val="1"/>
      <w:numFmt w:val="bullet"/>
      <w:lvlText w:val=""/>
      <w:lvlJc w:val="left"/>
      <w:pPr>
        <w:ind w:left="2880" w:hanging="360"/>
      </w:pPr>
      <w:rPr>
        <w:rFonts w:ascii="Wingdings" w:hAnsi="Wingdings" w:hint="default"/>
      </w:rPr>
    </w:lvl>
    <w:lvl w:ilvl="3" w:tplc="886AEF0A" w:tentative="1">
      <w:start w:val="1"/>
      <w:numFmt w:val="bullet"/>
      <w:lvlText w:val=""/>
      <w:lvlJc w:val="left"/>
      <w:pPr>
        <w:ind w:left="3600" w:hanging="360"/>
      </w:pPr>
      <w:rPr>
        <w:rFonts w:ascii="Symbol" w:hAnsi="Symbol" w:hint="default"/>
      </w:rPr>
    </w:lvl>
    <w:lvl w:ilvl="4" w:tplc="16F29C10" w:tentative="1">
      <w:start w:val="1"/>
      <w:numFmt w:val="bullet"/>
      <w:lvlText w:val="o"/>
      <w:lvlJc w:val="left"/>
      <w:pPr>
        <w:ind w:left="4320" w:hanging="360"/>
      </w:pPr>
      <w:rPr>
        <w:rFonts w:ascii="Courier New" w:hAnsi="Courier New" w:cs="Courier New" w:hint="default"/>
      </w:rPr>
    </w:lvl>
    <w:lvl w:ilvl="5" w:tplc="9EF6E5CE" w:tentative="1">
      <w:start w:val="1"/>
      <w:numFmt w:val="bullet"/>
      <w:lvlText w:val=""/>
      <w:lvlJc w:val="left"/>
      <w:pPr>
        <w:ind w:left="5040" w:hanging="360"/>
      </w:pPr>
      <w:rPr>
        <w:rFonts w:ascii="Wingdings" w:hAnsi="Wingdings" w:hint="default"/>
      </w:rPr>
    </w:lvl>
    <w:lvl w:ilvl="6" w:tplc="A6AA6258" w:tentative="1">
      <w:start w:val="1"/>
      <w:numFmt w:val="bullet"/>
      <w:lvlText w:val=""/>
      <w:lvlJc w:val="left"/>
      <w:pPr>
        <w:ind w:left="5760" w:hanging="360"/>
      </w:pPr>
      <w:rPr>
        <w:rFonts w:ascii="Symbol" w:hAnsi="Symbol" w:hint="default"/>
      </w:rPr>
    </w:lvl>
    <w:lvl w:ilvl="7" w:tplc="3430805E" w:tentative="1">
      <w:start w:val="1"/>
      <w:numFmt w:val="bullet"/>
      <w:lvlText w:val="o"/>
      <w:lvlJc w:val="left"/>
      <w:pPr>
        <w:ind w:left="6480" w:hanging="360"/>
      </w:pPr>
      <w:rPr>
        <w:rFonts w:ascii="Courier New" w:hAnsi="Courier New" w:cs="Courier New" w:hint="default"/>
      </w:rPr>
    </w:lvl>
    <w:lvl w:ilvl="8" w:tplc="13F4D96C" w:tentative="1">
      <w:start w:val="1"/>
      <w:numFmt w:val="bullet"/>
      <w:lvlText w:val=""/>
      <w:lvlJc w:val="left"/>
      <w:pPr>
        <w:ind w:left="7200" w:hanging="360"/>
      </w:pPr>
      <w:rPr>
        <w:rFonts w:ascii="Wingdings" w:hAnsi="Wingdings" w:hint="default"/>
      </w:rPr>
    </w:lvl>
  </w:abstractNum>
  <w:abstractNum w:abstractNumId="13" w15:restartNumberingAfterBreak="0">
    <w:nsid w:val="072E6AA6"/>
    <w:multiLevelType w:val="hybridMultilevel"/>
    <w:tmpl w:val="8BCC9C08"/>
    <w:lvl w:ilvl="0" w:tplc="66DA11E0">
      <w:start w:val="1"/>
      <w:numFmt w:val="bullet"/>
      <w:pStyle w:val="BulletList3"/>
      <w:lvlText w:val=""/>
      <w:lvlJc w:val="left"/>
      <w:pPr>
        <w:tabs>
          <w:tab w:val="num" w:pos="1945"/>
        </w:tabs>
        <w:ind w:left="1945" w:hanging="357"/>
      </w:pPr>
      <w:rPr>
        <w:rFonts w:ascii="Symbol" w:hAnsi="Symbol" w:hint="default"/>
      </w:rPr>
    </w:lvl>
    <w:lvl w:ilvl="1" w:tplc="239A11BA" w:tentative="1">
      <w:start w:val="1"/>
      <w:numFmt w:val="bullet"/>
      <w:lvlText w:val="o"/>
      <w:lvlJc w:val="left"/>
      <w:pPr>
        <w:tabs>
          <w:tab w:val="num" w:pos="1440"/>
        </w:tabs>
        <w:ind w:left="1440" w:hanging="360"/>
      </w:pPr>
      <w:rPr>
        <w:rFonts w:ascii="Courier New" w:hAnsi="Courier New" w:cs="Courier New" w:hint="default"/>
      </w:rPr>
    </w:lvl>
    <w:lvl w:ilvl="2" w:tplc="5D3E7F86" w:tentative="1">
      <w:start w:val="1"/>
      <w:numFmt w:val="bullet"/>
      <w:lvlText w:val=""/>
      <w:lvlJc w:val="left"/>
      <w:pPr>
        <w:tabs>
          <w:tab w:val="num" w:pos="2160"/>
        </w:tabs>
        <w:ind w:left="2160" w:hanging="360"/>
      </w:pPr>
      <w:rPr>
        <w:rFonts w:ascii="Wingdings" w:hAnsi="Wingdings" w:hint="default"/>
      </w:rPr>
    </w:lvl>
    <w:lvl w:ilvl="3" w:tplc="AF32B582" w:tentative="1">
      <w:start w:val="1"/>
      <w:numFmt w:val="bullet"/>
      <w:lvlText w:val=""/>
      <w:lvlJc w:val="left"/>
      <w:pPr>
        <w:tabs>
          <w:tab w:val="num" w:pos="2880"/>
        </w:tabs>
        <w:ind w:left="2880" w:hanging="360"/>
      </w:pPr>
      <w:rPr>
        <w:rFonts w:ascii="Symbol" w:hAnsi="Symbol" w:hint="default"/>
      </w:rPr>
    </w:lvl>
    <w:lvl w:ilvl="4" w:tplc="CD5CF8A4" w:tentative="1">
      <w:start w:val="1"/>
      <w:numFmt w:val="bullet"/>
      <w:lvlText w:val="o"/>
      <w:lvlJc w:val="left"/>
      <w:pPr>
        <w:tabs>
          <w:tab w:val="num" w:pos="3600"/>
        </w:tabs>
        <w:ind w:left="3600" w:hanging="360"/>
      </w:pPr>
      <w:rPr>
        <w:rFonts w:ascii="Courier New" w:hAnsi="Courier New" w:cs="Courier New" w:hint="default"/>
      </w:rPr>
    </w:lvl>
    <w:lvl w:ilvl="5" w:tplc="3C76CBB2" w:tentative="1">
      <w:start w:val="1"/>
      <w:numFmt w:val="bullet"/>
      <w:lvlText w:val=""/>
      <w:lvlJc w:val="left"/>
      <w:pPr>
        <w:tabs>
          <w:tab w:val="num" w:pos="4320"/>
        </w:tabs>
        <w:ind w:left="4320" w:hanging="360"/>
      </w:pPr>
      <w:rPr>
        <w:rFonts w:ascii="Wingdings" w:hAnsi="Wingdings" w:hint="default"/>
      </w:rPr>
    </w:lvl>
    <w:lvl w:ilvl="6" w:tplc="10B8BE4C" w:tentative="1">
      <w:start w:val="1"/>
      <w:numFmt w:val="bullet"/>
      <w:lvlText w:val=""/>
      <w:lvlJc w:val="left"/>
      <w:pPr>
        <w:tabs>
          <w:tab w:val="num" w:pos="5040"/>
        </w:tabs>
        <w:ind w:left="5040" w:hanging="360"/>
      </w:pPr>
      <w:rPr>
        <w:rFonts w:ascii="Symbol" w:hAnsi="Symbol" w:hint="default"/>
      </w:rPr>
    </w:lvl>
    <w:lvl w:ilvl="7" w:tplc="DE0273D6" w:tentative="1">
      <w:start w:val="1"/>
      <w:numFmt w:val="bullet"/>
      <w:lvlText w:val="o"/>
      <w:lvlJc w:val="left"/>
      <w:pPr>
        <w:tabs>
          <w:tab w:val="num" w:pos="5760"/>
        </w:tabs>
        <w:ind w:left="5760" w:hanging="360"/>
      </w:pPr>
      <w:rPr>
        <w:rFonts w:ascii="Courier New" w:hAnsi="Courier New" w:cs="Courier New" w:hint="default"/>
      </w:rPr>
    </w:lvl>
    <w:lvl w:ilvl="8" w:tplc="6BF62B0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75735BF"/>
    <w:multiLevelType w:val="hybridMultilevel"/>
    <w:tmpl w:val="530696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0ACE2B71"/>
    <w:multiLevelType w:val="hybridMultilevel"/>
    <w:tmpl w:val="9A5AEDC8"/>
    <w:lvl w:ilvl="0" w:tplc="BCF46B0A">
      <w:start w:val="9"/>
      <w:numFmt w:val="lowerLetter"/>
      <w:lvlText w:val="%1)"/>
      <w:lvlJc w:val="left"/>
      <w:pPr>
        <w:tabs>
          <w:tab w:val="num" w:pos="1230"/>
        </w:tabs>
        <w:ind w:left="1230" w:hanging="8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040D746"/>
    <w:multiLevelType w:val="multilevel"/>
    <w:tmpl w:val="BC0A43D8"/>
    <w:styleLink w:val="Style2"/>
    <w:lvl w:ilvl="0">
      <w:start w:val="1"/>
      <w:numFmt w:val="none"/>
      <w:lvlText w:val="%1"/>
      <w:lvlJc w:val="left"/>
      <w:pPr>
        <w:tabs>
          <w:tab w:val="num" w:pos="567"/>
        </w:tabs>
        <w:ind w:left="567" w:hanging="567"/>
      </w:pPr>
      <w:rPr>
        <w:rFonts w:ascii="Georgia" w:hAnsi="Georgia" w:cs="Times New Roman"/>
        <w:sz w:val="18"/>
      </w:rPr>
    </w:lvl>
    <w:lvl w:ilvl="1">
      <w:start w:val="1"/>
      <w:numFmt w:val="lowerLetter"/>
      <w:lvlText w:val="(%2)"/>
      <w:lvlJc w:val="left"/>
      <w:pPr>
        <w:tabs>
          <w:tab w:val="num" w:pos="1247"/>
        </w:tabs>
        <w:ind w:left="1247" w:hanging="680"/>
      </w:pPr>
      <w:rPr>
        <w:rFonts w:ascii="Georgia" w:hAnsi="Georgia" w:cs="Times New Roman" w:hint="default"/>
        <w:b w:val="0"/>
        <w:bCs w:val="0"/>
        <w:i w:val="0"/>
        <w:iCs w:val="0"/>
        <w:caps w:val="0"/>
        <w:smallCaps w:val="0"/>
        <w:strike w:val="0"/>
        <w:dstrike w:val="0"/>
        <w:noProof w:val="0"/>
        <w:vanish w:val="0"/>
        <w:color w:val="000000"/>
        <w:spacing w:val="0"/>
        <w:kern w:val="0"/>
        <w:position w:val="0"/>
        <w:sz w:val="18"/>
        <w:u w:val="none"/>
        <w:effect w:val="none"/>
        <w:vertAlign w:val="baseline"/>
        <w:specVanish w:val="0"/>
      </w:rPr>
    </w:lvl>
    <w:lvl w:ilvl="2">
      <w:start w:val="1"/>
      <w:numFmt w:val="lowerRoman"/>
      <w:lvlText w:val="(%3)"/>
      <w:lvlJc w:val="left"/>
      <w:pPr>
        <w:tabs>
          <w:tab w:val="num" w:pos="1673"/>
        </w:tabs>
        <w:ind w:left="1673" w:hanging="29"/>
      </w:pPr>
      <w:rPr>
        <w:rFonts w:ascii="Georgia" w:hAnsi="Georgia" w:hint="default"/>
        <w:b w:val="0"/>
        <w:bCs w:val="0"/>
        <w:i w:val="0"/>
        <w:iCs w:val="0"/>
        <w:caps w:val="0"/>
        <w:smallCaps w:val="0"/>
        <w:strike w:val="0"/>
        <w:dstrike w:val="0"/>
        <w:noProof w:val="0"/>
        <w:vanish w:val="0"/>
        <w:color w:val="000000"/>
        <w:spacing w:val="0"/>
        <w:kern w:val="0"/>
        <w:position w:val="0"/>
        <w:sz w:val="18"/>
        <w:u w:val="none"/>
        <w:effect w:val="none"/>
        <w:vertAlign w:val="baseline"/>
        <w:specVanish w:val="0"/>
      </w:rPr>
    </w:lvl>
    <w:lvl w:ilvl="3">
      <w:start w:val="1"/>
      <w:numFmt w:val="upperLetter"/>
      <w:lvlText w:val="(%4)"/>
      <w:lvlJc w:val="left"/>
      <w:pPr>
        <w:tabs>
          <w:tab w:val="num" w:pos="1247"/>
        </w:tabs>
        <w:ind w:left="1673" w:hanging="426"/>
      </w:pPr>
      <w:rPr>
        <w:rFonts w:ascii="Century Gothic" w:hAnsi="Century Gothic" w:cs="Times New Roman" w:hint="default"/>
        <w:b w:val="0"/>
        <w:bCs w:val="0"/>
        <w:i w:val="0"/>
        <w:iCs w:val="0"/>
        <w:caps w:val="0"/>
        <w:smallCaps w:val="0"/>
        <w:strike w:val="0"/>
        <w:dstrike w:val="0"/>
        <w:noProof w:val="0"/>
        <w:vanish w:val="0"/>
        <w:color w:val="000000"/>
        <w:spacing w:val="0"/>
        <w:kern w:val="0"/>
        <w:position w:val="0"/>
        <w:sz w:val="18"/>
        <w:u w:val="none"/>
        <w:effect w:val="none"/>
        <w:vertAlign w:val="baseline"/>
        <w:specVanish w:val="0"/>
      </w:rPr>
    </w:lvl>
    <w:lvl w:ilvl="4">
      <w:start w:val="1"/>
      <w:numFmt w:val="upperRoman"/>
      <w:lvlText w:val="(%5)"/>
      <w:lvlJc w:val="left"/>
      <w:pPr>
        <w:tabs>
          <w:tab w:val="num" w:pos="1247"/>
        </w:tabs>
        <w:ind w:left="1673" w:hanging="426"/>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17" w15:restartNumberingAfterBreak="0">
    <w:nsid w:val="11825EA9"/>
    <w:multiLevelType w:val="multilevel"/>
    <w:tmpl w:val="B5EA651E"/>
    <w:lvl w:ilvl="0">
      <w:start w:val="1"/>
      <w:numFmt w:val="decimal"/>
      <w:lvlText w:val="Schedule %1"/>
      <w:lvlJc w:val="left"/>
      <w:pPr>
        <w:ind w:left="360" w:hanging="360"/>
      </w:pPr>
      <w:rPr>
        <w:rFonts w:hint="default"/>
        <w:color w:val="000000"/>
      </w:rPr>
    </w:lvl>
    <w:lvl w:ilvl="1">
      <w:start w:val="1"/>
      <w:numFmt w:val="decimal"/>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rPr>
    </w:lvl>
    <w:lvl w:ilvl="3">
      <w:start w:val="1"/>
      <w:numFmt w:val="decimal"/>
      <w:pStyle w:val="ScheduleUntitledsubclause1"/>
      <w:lvlText w:val="%3.%4"/>
      <w:lvlJc w:val="left"/>
      <w:pPr>
        <w:tabs>
          <w:tab w:val="num" w:pos="720"/>
        </w:tabs>
        <w:ind w:left="720" w:hanging="720"/>
      </w:pPr>
      <w:rPr>
        <w:rFonts w:hint="default"/>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2DD56CF"/>
    <w:multiLevelType w:val="hybridMultilevel"/>
    <w:tmpl w:val="0890F9D2"/>
    <w:lvl w:ilvl="0" w:tplc="3B5A3462">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9" w15:restartNumberingAfterBreak="0">
    <w:nsid w:val="13E42BD8"/>
    <w:multiLevelType w:val="multilevel"/>
    <w:tmpl w:val="8AEC0E34"/>
    <w:lvl w:ilvl="0">
      <w:start w:val="1"/>
      <w:numFmt w:val="upperLetter"/>
      <w:pStyle w:val="Background"/>
      <w:lvlText w:val="(%1)"/>
      <w:lvlJc w:val="left"/>
      <w:pPr>
        <w:tabs>
          <w:tab w:val="num" w:pos="567"/>
        </w:tabs>
        <w:ind w:left="567" w:hanging="567"/>
      </w:pPr>
      <w:rPr>
        <w:rFonts w:ascii="Georgia" w:hAnsi="Georgia" w:hint="default"/>
        <w:b w:val="0"/>
        <w:i w:val="0"/>
        <w:caps w:val="0"/>
        <w:sz w:val="18"/>
      </w:rPr>
    </w:lvl>
    <w:lvl w:ilvl="1">
      <w:start w:val="1"/>
      <w:numFmt w:val="lowerLetter"/>
      <w:pStyle w:val="Background2"/>
      <w:lvlText w:val="(%2)"/>
      <w:lvlJc w:val="left"/>
      <w:pPr>
        <w:tabs>
          <w:tab w:val="num" w:pos="1247"/>
        </w:tabs>
        <w:ind w:left="1247" w:hanging="680"/>
      </w:pPr>
      <w:rPr>
        <w:rFonts w:ascii="Georgia" w:hAnsi="Georgia" w:hint="default"/>
        <w:b w:val="0"/>
        <w:i w:val="0"/>
        <w:caps w:val="0"/>
        <w:sz w:val="18"/>
      </w:rPr>
    </w:lvl>
    <w:lvl w:ilvl="2">
      <w:start w:val="1"/>
      <w:numFmt w:val="lowerRoman"/>
      <w:pStyle w:val="Background3"/>
      <w:lvlText w:val="(%3)"/>
      <w:lvlJc w:val="left"/>
      <w:pPr>
        <w:tabs>
          <w:tab w:val="num" w:pos="1673"/>
        </w:tabs>
        <w:ind w:left="1673" w:hanging="426"/>
      </w:pPr>
      <w:rPr>
        <w:rFonts w:ascii="Century Gothic" w:hAnsi="Century Gothic" w:hint="default"/>
        <w:b w:val="0"/>
        <w:i w:val="0"/>
        <w:sz w:val="20"/>
      </w:rPr>
    </w:lvl>
    <w:lvl w:ilvl="3">
      <w:start w:val="1"/>
      <w:numFmt w:val="upperLetter"/>
      <w:lvlText w:val="(%4)"/>
      <w:lvlJc w:val="left"/>
      <w:pPr>
        <w:tabs>
          <w:tab w:val="num" w:pos="3062"/>
        </w:tabs>
        <w:ind w:left="3062" w:hanging="681"/>
      </w:pPr>
      <w:rPr>
        <w:rFonts w:ascii="Century Gothic" w:hAnsi="Century Gothic" w:hint="default"/>
        <w:b w:val="0"/>
        <w:i w:val="0"/>
        <w:sz w:val="20"/>
      </w:rPr>
    </w:lvl>
    <w:lvl w:ilvl="4">
      <w:start w:val="1"/>
      <w:numFmt w:val="upperLetter"/>
      <w:lvlText w:val="(%5)"/>
      <w:lvlJc w:val="left"/>
      <w:pPr>
        <w:tabs>
          <w:tab w:val="num" w:pos="3600"/>
        </w:tabs>
        <w:ind w:left="3600" w:hanging="720"/>
      </w:pPr>
      <w:rPr>
        <w:rFonts w:ascii="Times New Roman" w:hAnsi="Times New Roman" w:hint="default"/>
        <w:b w:val="0"/>
        <w:i w:val="0"/>
        <w:sz w:val="22"/>
      </w:rPr>
    </w:lvl>
    <w:lvl w:ilvl="5">
      <w:start w:val="1"/>
      <w:numFmt w:val="decimal"/>
      <w:lvlText w:val="%6."/>
      <w:lvlJc w:val="left"/>
      <w:pPr>
        <w:tabs>
          <w:tab w:val="num" w:pos="4320"/>
        </w:tabs>
        <w:ind w:left="4320" w:hanging="720"/>
      </w:pPr>
      <w:rPr>
        <w:rFonts w:ascii="Times New Roman" w:hAnsi="Times New Roman" w:hint="default"/>
        <w:b w:val="0"/>
        <w:i w:val="0"/>
        <w:sz w:val="22"/>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ascii="Times New Roman" w:hAnsi="Times New Roman" w:hint="default"/>
        <w:b w:val="0"/>
        <w:i w:val="0"/>
        <w:sz w:val="22"/>
      </w:rPr>
    </w:lvl>
    <w:lvl w:ilvl="8">
      <w:start w:val="1"/>
      <w:numFmt w:val="decimal"/>
      <w:lvlText w:val="%9."/>
      <w:lvlJc w:val="left"/>
      <w:pPr>
        <w:tabs>
          <w:tab w:val="num" w:pos="6480"/>
        </w:tabs>
        <w:ind w:left="6480" w:hanging="720"/>
      </w:pPr>
      <w:rPr>
        <w:rFonts w:ascii="Times New Roman" w:hAnsi="Times New Roman" w:hint="default"/>
        <w:b w:val="0"/>
        <w:i w:val="0"/>
        <w:sz w:val="22"/>
      </w:rPr>
    </w:lvl>
  </w:abstractNum>
  <w:abstractNum w:abstractNumId="20" w15:restartNumberingAfterBreak="0">
    <w:nsid w:val="148FD393"/>
    <w:multiLevelType w:val="multilevel"/>
    <w:tmpl w:val="C31C96C0"/>
    <w:lvl w:ilvl="0">
      <w:start w:val="1"/>
      <w:numFmt w:val="bullet"/>
      <w:pStyle w:val="BulletList1"/>
      <w:lvlText w:val=""/>
      <w:lvlJc w:val="left"/>
      <w:pPr>
        <w:tabs>
          <w:tab w:val="num" w:pos="567"/>
        </w:tabs>
        <w:ind w:left="567" w:hanging="567"/>
      </w:pPr>
      <w:rPr>
        <w:rFonts w:ascii="Symbol" w:hAnsi="Symbol" w:hint="default"/>
      </w:rPr>
    </w:lvl>
    <w:lvl w:ilvl="1">
      <w:start w:val="1"/>
      <w:numFmt w:val="bullet"/>
      <w:pStyle w:val="BulletList2"/>
      <w:lvlText w:val=""/>
      <w:lvlJc w:val="left"/>
      <w:pPr>
        <w:tabs>
          <w:tab w:val="num" w:pos="1247"/>
        </w:tabs>
        <w:ind w:left="1247" w:hanging="68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67B2194"/>
    <w:multiLevelType w:val="hybridMultilevel"/>
    <w:tmpl w:val="BDEED3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1AEC6711"/>
    <w:multiLevelType w:val="multilevel"/>
    <w:tmpl w:val="AB52FA32"/>
    <w:lvl w:ilvl="0">
      <w:start w:val="1"/>
      <w:numFmt w:val="decimal"/>
      <w:pStyle w:val="Parties"/>
      <w:lvlText w:val="(%1)"/>
      <w:lvlJc w:val="left"/>
      <w:pPr>
        <w:tabs>
          <w:tab w:val="num" w:pos="567"/>
        </w:tabs>
        <w:ind w:left="567" w:hanging="567"/>
      </w:pPr>
      <w:rPr>
        <w:rFonts w:hint="default"/>
        <w:b/>
        <w:i w:val="0"/>
      </w:rPr>
    </w:lvl>
    <w:lvl w:ilvl="1">
      <w:start w:val="1"/>
      <w:numFmt w:val="lowerLetter"/>
      <w:pStyle w:val="Parties2"/>
      <w:lvlText w:val="(%2)"/>
      <w:lvlJc w:val="left"/>
      <w:pPr>
        <w:tabs>
          <w:tab w:val="num" w:pos="1247"/>
        </w:tabs>
        <w:ind w:left="1247" w:hanging="680"/>
      </w:pPr>
      <w:rPr>
        <w:rFonts w:ascii="Georgia" w:hAnsi="Georgia" w:hint="default"/>
        <w:b/>
        <w:i w:val="0"/>
        <w:sz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B8E9187"/>
    <w:multiLevelType w:val="multilevel"/>
    <w:tmpl w:val="4002F95C"/>
    <w:styleLink w:val="StyleOutlinenumberedLeft0cmHanging1cm"/>
    <w:lvl w:ilvl="0">
      <w:start w:val="1"/>
      <w:numFmt w:val="decimal"/>
      <w:lvlText w:val="%1—"/>
      <w:lvlJc w:val="left"/>
      <w:pPr>
        <w:tabs>
          <w:tab w:val="num" w:pos="567"/>
        </w:tabs>
        <w:ind w:left="567" w:hanging="567"/>
      </w:pPr>
      <w:rPr>
        <w:sz w:val="18"/>
      </w:rPr>
    </w:lvl>
    <w:lvl w:ilvl="1">
      <w:start w:val="1"/>
      <w:numFmt w:val="decimal"/>
      <w:lvlText w:val="%1.%2—"/>
      <w:lvlJc w:val="left"/>
      <w:pPr>
        <w:tabs>
          <w:tab w:val="num" w:pos="567"/>
        </w:tabs>
        <w:ind w:left="567" w:hanging="567"/>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3.%1.%2—"/>
      <w:lvlJc w:val="left"/>
      <w:pPr>
        <w:tabs>
          <w:tab w:val="num" w:pos="1247"/>
        </w:tabs>
        <w:ind w:left="1247" w:hanging="680"/>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specVanish w:val="0"/>
      </w:rPr>
    </w:lvl>
    <w:lvl w:ilvl="3">
      <w:start w:val="1"/>
      <w:numFmt w:val="lowerLetter"/>
      <w:lvlText w:val="(%4)"/>
      <w:lvlJc w:val="left"/>
      <w:pPr>
        <w:tabs>
          <w:tab w:val="num" w:pos="1673"/>
        </w:tabs>
        <w:ind w:left="1673" w:hanging="426"/>
      </w:pPr>
      <w:rPr>
        <w:rFonts w:ascii="Georgia" w:hAnsi="Georgia" w:cs="Times New Roman" w:hint="default"/>
        <w:b w:val="0"/>
        <w:bCs w:val="0"/>
        <w:i w:val="0"/>
        <w:iCs w:val="0"/>
        <w:caps w:val="0"/>
        <w:smallCaps w:val="0"/>
        <w:strike w:val="0"/>
        <w:dstrike w:val="0"/>
        <w:vanish w:val="0"/>
        <w:color w:val="000000"/>
        <w:spacing w:val="0"/>
        <w:kern w:val="0"/>
        <w:position w:val="0"/>
        <w:sz w:val="18"/>
        <w:u w:val="none"/>
        <w:effect w:val="none"/>
        <w:vertAlign w:val="baseline"/>
      </w:rPr>
    </w:lvl>
    <w:lvl w:ilvl="4">
      <w:start w:val="1"/>
      <w:numFmt w:val="lowerRoman"/>
      <w:lvlText w:val="(%5)"/>
      <w:lvlJc w:val="left"/>
      <w:pPr>
        <w:tabs>
          <w:tab w:val="num" w:pos="1673"/>
        </w:tabs>
        <w:ind w:left="1673" w:hanging="426"/>
      </w:pPr>
      <w:rPr>
        <w:rFonts w:hint="default"/>
        <w:b w:val="0"/>
        <w:i w:val="0"/>
        <w:sz w:val="18"/>
      </w:rPr>
    </w:lvl>
    <w:lvl w:ilvl="5">
      <w:start w:val="1"/>
      <w:numFmt w:val="lowerLetter"/>
      <w:lvlText w:val="(%6)"/>
      <w:lvlJc w:val="left"/>
      <w:pPr>
        <w:tabs>
          <w:tab w:val="num" w:pos="2523"/>
        </w:tabs>
        <w:ind w:left="2523" w:hanging="425"/>
      </w:pPr>
      <w:rPr>
        <w:rFonts w:hint="default"/>
        <w:b w:val="0"/>
        <w:i w:val="0"/>
        <w:sz w:val="18"/>
        <w:szCs w:val="20"/>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b w:val="0"/>
        <w:i w:val="0"/>
        <w:sz w:val="22"/>
      </w:rPr>
    </w:lvl>
    <w:lvl w:ilvl="8">
      <w:start w:val="1"/>
      <w:numFmt w:val="lowerRoman"/>
      <w:lvlText w:val="(%9)"/>
      <w:lvlJc w:val="left"/>
      <w:pPr>
        <w:ind w:left="5760" w:firstLine="0"/>
      </w:pPr>
      <w:rPr>
        <w:rFonts w:hint="default"/>
        <w:b w:val="0"/>
        <w:i w:val="0"/>
        <w:sz w:val="18"/>
      </w:rPr>
    </w:lvl>
  </w:abstractNum>
  <w:abstractNum w:abstractNumId="24" w15:restartNumberingAfterBreak="0">
    <w:nsid w:val="20E82F3A"/>
    <w:multiLevelType w:val="hybridMultilevel"/>
    <w:tmpl w:val="1DF80854"/>
    <w:lvl w:ilvl="0" w:tplc="5F8E3F0E">
      <w:start w:val="1"/>
      <w:numFmt w:val="decimal"/>
      <w:pStyle w:val="ScheduleHeading-Single"/>
      <w:lvlText w:val="Schedule"/>
      <w:lvlJc w:val="left"/>
      <w:pPr>
        <w:tabs>
          <w:tab w:val="num" w:pos="720"/>
        </w:tabs>
        <w:ind w:left="720" w:hanging="720"/>
      </w:pPr>
      <w:rPr>
        <w:color w:val="000000"/>
      </w:rPr>
    </w:lvl>
    <w:lvl w:ilvl="1" w:tplc="6A4E96D6" w:tentative="1">
      <w:start w:val="1"/>
      <w:numFmt w:val="lowerLetter"/>
      <w:lvlText w:val="%2."/>
      <w:lvlJc w:val="left"/>
      <w:pPr>
        <w:tabs>
          <w:tab w:val="num" w:pos="1440"/>
        </w:tabs>
        <w:ind w:left="1440" w:hanging="360"/>
      </w:pPr>
    </w:lvl>
    <w:lvl w:ilvl="2" w:tplc="FEF8075C" w:tentative="1">
      <w:start w:val="1"/>
      <w:numFmt w:val="lowerRoman"/>
      <w:lvlText w:val="%3."/>
      <w:lvlJc w:val="right"/>
      <w:pPr>
        <w:tabs>
          <w:tab w:val="num" w:pos="2160"/>
        </w:tabs>
        <w:ind w:left="2160" w:hanging="180"/>
      </w:pPr>
    </w:lvl>
    <w:lvl w:ilvl="3" w:tplc="C02ABA5C" w:tentative="1">
      <w:start w:val="1"/>
      <w:numFmt w:val="decimal"/>
      <w:lvlText w:val="%4."/>
      <w:lvlJc w:val="left"/>
      <w:pPr>
        <w:tabs>
          <w:tab w:val="num" w:pos="2880"/>
        </w:tabs>
        <w:ind w:left="2880" w:hanging="360"/>
      </w:pPr>
    </w:lvl>
    <w:lvl w:ilvl="4" w:tplc="147AEEA4" w:tentative="1">
      <w:start w:val="1"/>
      <w:numFmt w:val="lowerLetter"/>
      <w:lvlText w:val="%5."/>
      <w:lvlJc w:val="left"/>
      <w:pPr>
        <w:tabs>
          <w:tab w:val="num" w:pos="3600"/>
        </w:tabs>
        <w:ind w:left="3600" w:hanging="360"/>
      </w:pPr>
    </w:lvl>
    <w:lvl w:ilvl="5" w:tplc="C4BE4B88" w:tentative="1">
      <w:start w:val="1"/>
      <w:numFmt w:val="lowerRoman"/>
      <w:lvlText w:val="%6."/>
      <w:lvlJc w:val="right"/>
      <w:pPr>
        <w:tabs>
          <w:tab w:val="num" w:pos="4320"/>
        </w:tabs>
        <w:ind w:left="4320" w:hanging="180"/>
      </w:pPr>
    </w:lvl>
    <w:lvl w:ilvl="6" w:tplc="2BD4E638" w:tentative="1">
      <w:start w:val="1"/>
      <w:numFmt w:val="decimal"/>
      <w:lvlText w:val="%7."/>
      <w:lvlJc w:val="left"/>
      <w:pPr>
        <w:tabs>
          <w:tab w:val="num" w:pos="5040"/>
        </w:tabs>
        <w:ind w:left="5040" w:hanging="360"/>
      </w:pPr>
    </w:lvl>
    <w:lvl w:ilvl="7" w:tplc="96388972" w:tentative="1">
      <w:start w:val="1"/>
      <w:numFmt w:val="lowerLetter"/>
      <w:lvlText w:val="%8."/>
      <w:lvlJc w:val="left"/>
      <w:pPr>
        <w:tabs>
          <w:tab w:val="num" w:pos="5760"/>
        </w:tabs>
        <w:ind w:left="5760" w:hanging="360"/>
      </w:pPr>
    </w:lvl>
    <w:lvl w:ilvl="8" w:tplc="5C20C350" w:tentative="1">
      <w:start w:val="1"/>
      <w:numFmt w:val="lowerRoman"/>
      <w:lvlText w:val="%9."/>
      <w:lvlJc w:val="right"/>
      <w:pPr>
        <w:tabs>
          <w:tab w:val="num" w:pos="6480"/>
        </w:tabs>
        <w:ind w:left="6480" w:hanging="180"/>
      </w:pPr>
    </w:lvl>
  </w:abstractNum>
  <w:abstractNum w:abstractNumId="25" w15:restartNumberingAfterBreak="0">
    <w:nsid w:val="21B017D5"/>
    <w:multiLevelType w:val="hybridMultilevel"/>
    <w:tmpl w:val="D5CC75C4"/>
    <w:lvl w:ilvl="0" w:tplc="0FD4737C">
      <w:start w:val="1"/>
      <w:numFmt w:val="bullet"/>
      <w:lvlText w:val=""/>
      <w:lvlJc w:val="left"/>
      <w:pPr>
        <w:ind w:left="1440" w:hanging="360"/>
      </w:pPr>
      <w:rPr>
        <w:rFonts w:ascii="Symbol" w:hAnsi="Symbol" w:hint="default"/>
        <w:color w:val="000000"/>
      </w:rPr>
    </w:lvl>
    <w:lvl w:ilvl="1" w:tplc="CC20949E" w:tentative="1">
      <w:start w:val="1"/>
      <w:numFmt w:val="bullet"/>
      <w:lvlText w:val="o"/>
      <w:lvlJc w:val="left"/>
      <w:pPr>
        <w:ind w:left="2160" w:hanging="360"/>
      </w:pPr>
      <w:rPr>
        <w:rFonts w:ascii="Courier New" w:hAnsi="Courier New" w:cs="Courier New" w:hint="default"/>
      </w:rPr>
    </w:lvl>
    <w:lvl w:ilvl="2" w:tplc="F0883C5C" w:tentative="1">
      <w:start w:val="1"/>
      <w:numFmt w:val="bullet"/>
      <w:lvlText w:val=""/>
      <w:lvlJc w:val="left"/>
      <w:pPr>
        <w:ind w:left="2880" w:hanging="360"/>
      </w:pPr>
      <w:rPr>
        <w:rFonts w:ascii="Wingdings" w:hAnsi="Wingdings" w:hint="default"/>
      </w:rPr>
    </w:lvl>
    <w:lvl w:ilvl="3" w:tplc="0572240C" w:tentative="1">
      <w:start w:val="1"/>
      <w:numFmt w:val="bullet"/>
      <w:lvlText w:val=""/>
      <w:lvlJc w:val="left"/>
      <w:pPr>
        <w:ind w:left="3600" w:hanging="360"/>
      </w:pPr>
      <w:rPr>
        <w:rFonts w:ascii="Symbol" w:hAnsi="Symbol" w:hint="default"/>
      </w:rPr>
    </w:lvl>
    <w:lvl w:ilvl="4" w:tplc="5C965A08" w:tentative="1">
      <w:start w:val="1"/>
      <w:numFmt w:val="bullet"/>
      <w:lvlText w:val="o"/>
      <w:lvlJc w:val="left"/>
      <w:pPr>
        <w:ind w:left="4320" w:hanging="360"/>
      </w:pPr>
      <w:rPr>
        <w:rFonts w:ascii="Courier New" w:hAnsi="Courier New" w:cs="Courier New" w:hint="default"/>
      </w:rPr>
    </w:lvl>
    <w:lvl w:ilvl="5" w:tplc="442EF20E" w:tentative="1">
      <w:start w:val="1"/>
      <w:numFmt w:val="bullet"/>
      <w:lvlText w:val=""/>
      <w:lvlJc w:val="left"/>
      <w:pPr>
        <w:ind w:left="5040" w:hanging="360"/>
      </w:pPr>
      <w:rPr>
        <w:rFonts w:ascii="Wingdings" w:hAnsi="Wingdings" w:hint="default"/>
      </w:rPr>
    </w:lvl>
    <w:lvl w:ilvl="6" w:tplc="A866CBE8" w:tentative="1">
      <w:start w:val="1"/>
      <w:numFmt w:val="bullet"/>
      <w:lvlText w:val=""/>
      <w:lvlJc w:val="left"/>
      <w:pPr>
        <w:ind w:left="5760" w:hanging="360"/>
      </w:pPr>
      <w:rPr>
        <w:rFonts w:ascii="Symbol" w:hAnsi="Symbol" w:hint="default"/>
      </w:rPr>
    </w:lvl>
    <w:lvl w:ilvl="7" w:tplc="FE42EA84" w:tentative="1">
      <w:start w:val="1"/>
      <w:numFmt w:val="bullet"/>
      <w:lvlText w:val="o"/>
      <w:lvlJc w:val="left"/>
      <w:pPr>
        <w:ind w:left="6480" w:hanging="360"/>
      </w:pPr>
      <w:rPr>
        <w:rFonts w:ascii="Courier New" w:hAnsi="Courier New" w:cs="Courier New" w:hint="default"/>
      </w:rPr>
    </w:lvl>
    <w:lvl w:ilvl="8" w:tplc="5FDC032E" w:tentative="1">
      <w:start w:val="1"/>
      <w:numFmt w:val="bullet"/>
      <w:lvlText w:val=""/>
      <w:lvlJc w:val="left"/>
      <w:pPr>
        <w:ind w:left="7200" w:hanging="360"/>
      </w:pPr>
      <w:rPr>
        <w:rFonts w:ascii="Wingdings" w:hAnsi="Wingdings" w:hint="default"/>
      </w:rPr>
    </w:lvl>
  </w:abstractNum>
  <w:abstractNum w:abstractNumId="26" w15:restartNumberingAfterBreak="0">
    <w:nsid w:val="25B00E4C"/>
    <w:multiLevelType w:val="hybridMultilevel"/>
    <w:tmpl w:val="97C4AA26"/>
    <w:lvl w:ilvl="0" w:tplc="5B16F130">
      <w:start w:val="1"/>
      <w:numFmt w:val="upperLetter"/>
      <w:pStyle w:val="Annex"/>
      <w:lvlText w:val="ANNEX %1"/>
      <w:lvlJc w:val="left"/>
      <w:pPr>
        <w:ind w:left="720" w:hanging="360"/>
      </w:pPr>
      <w:rPr>
        <w:rFonts w:cs="Times New Roman" w:hint="default"/>
        <w:b/>
        <w:bCs w:val="0"/>
        <w:i w:val="0"/>
        <w:iCs w:val="0"/>
        <w:caps w:val="0"/>
        <w:strike w:val="0"/>
        <w:dstrike w:val="0"/>
        <w:outline w:val="0"/>
        <w:shadow w:val="0"/>
        <w:emboss w:val="0"/>
        <w:imprint w:val="0"/>
        <w:vanish w:val="0"/>
        <w:color w:val="000000"/>
        <w:spacing w:val="0"/>
        <w:kern w:val="0"/>
        <w:position w:val="0"/>
        <w:u w:val="none"/>
        <w:effect w:val="none"/>
        <w:vertAlign w:val="baseline"/>
        <w14:ligatures w14:val="none"/>
        <w14:numForm w14:val="default"/>
        <w14:numSpacing w14:val="default"/>
        <w14:stylisticSets/>
        <w14:cntxtAlts w14:val="0"/>
      </w:rPr>
    </w:lvl>
    <w:lvl w:ilvl="1" w:tplc="5DD2B114" w:tentative="1">
      <w:start w:val="1"/>
      <w:numFmt w:val="lowerLetter"/>
      <w:lvlText w:val="%2."/>
      <w:lvlJc w:val="left"/>
      <w:pPr>
        <w:ind w:left="1440" w:hanging="360"/>
      </w:pPr>
    </w:lvl>
    <w:lvl w:ilvl="2" w:tplc="0308CA58" w:tentative="1">
      <w:start w:val="1"/>
      <w:numFmt w:val="lowerRoman"/>
      <w:lvlText w:val="%3."/>
      <w:lvlJc w:val="right"/>
      <w:pPr>
        <w:ind w:left="2160" w:hanging="180"/>
      </w:pPr>
    </w:lvl>
    <w:lvl w:ilvl="3" w:tplc="20327D4E" w:tentative="1">
      <w:start w:val="1"/>
      <w:numFmt w:val="decimal"/>
      <w:lvlText w:val="%4."/>
      <w:lvlJc w:val="left"/>
      <w:pPr>
        <w:ind w:left="2880" w:hanging="360"/>
      </w:pPr>
    </w:lvl>
    <w:lvl w:ilvl="4" w:tplc="931E5A4A" w:tentative="1">
      <w:start w:val="1"/>
      <w:numFmt w:val="lowerLetter"/>
      <w:lvlText w:val="%5."/>
      <w:lvlJc w:val="left"/>
      <w:pPr>
        <w:ind w:left="3600" w:hanging="360"/>
      </w:pPr>
    </w:lvl>
    <w:lvl w:ilvl="5" w:tplc="1EC26164" w:tentative="1">
      <w:start w:val="1"/>
      <w:numFmt w:val="lowerRoman"/>
      <w:lvlText w:val="%6."/>
      <w:lvlJc w:val="right"/>
      <w:pPr>
        <w:ind w:left="4320" w:hanging="180"/>
      </w:pPr>
    </w:lvl>
    <w:lvl w:ilvl="6" w:tplc="C390257E" w:tentative="1">
      <w:start w:val="1"/>
      <w:numFmt w:val="decimal"/>
      <w:lvlText w:val="%7."/>
      <w:lvlJc w:val="left"/>
      <w:pPr>
        <w:ind w:left="5040" w:hanging="360"/>
      </w:pPr>
    </w:lvl>
    <w:lvl w:ilvl="7" w:tplc="A76A06A8" w:tentative="1">
      <w:start w:val="1"/>
      <w:numFmt w:val="lowerLetter"/>
      <w:lvlText w:val="%8."/>
      <w:lvlJc w:val="left"/>
      <w:pPr>
        <w:ind w:left="5760" w:hanging="360"/>
      </w:pPr>
    </w:lvl>
    <w:lvl w:ilvl="8" w:tplc="D9284CD2" w:tentative="1">
      <w:start w:val="1"/>
      <w:numFmt w:val="lowerRoman"/>
      <w:lvlText w:val="%9."/>
      <w:lvlJc w:val="right"/>
      <w:pPr>
        <w:ind w:left="6480" w:hanging="180"/>
      </w:pPr>
    </w:lvl>
  </w:abstractNum>
  <w:abstractNum w:abstractNumId="27" w15:restartNumberingAfterBreak="0">
    <w:nsid w:val="2666D0E8"/>
    <w:multiLevelType w:val="hybridMultilevel"/>
    <w:tmpl w:val="055E3F86"/>
    <w:lvl w:ilvl="0" w:tplc="697EA05C">
      <w:start w:val="1"/>
      <w:numFmt w:val="bullet"/>
      <w:pStyle w:val="Bullet"/>
      <w:lvlText w:val=""/>
      <w:lvlJc w:val="left"/>
      <w:pPr>
        <w:tabs>
          <w:tab w:val="num" w:pos="357"/>
        </w:tabs>
        <w:ind w:left="357" w:hanging="357"/>
      </w:pPr>
      <w:rPr>
        <w:rFonts w:ascii="Symbol" w:hAnsi="Symbol" w:hint="default"/>
      </w:rPr>
    </w:lvl>
    <w:lvl w:ilvl="1" w:tplc="9C2002EC" w:tentative="1">
      <w:start w:val="1"/>
      <w:numFmt w:val="bullet"/>
      <w:lvlText w:val="o"/>
      <w:lvlJc w:val="left"/>
      <w:pPr>
        <w:tabs>
          <w:tab w:val="num" w:pos="1440"/>
        </w:tabs>
        <w:ind w:left="1440" w:hanging="360"/>
      </w:pPr>
      <w:rPr>
        <w:rFonts w:ascii="Courier New" w:hAnsi="Courier New" w:cs="Courier New" w:hint="default"/>
      </w:rPr>
    </w:lvl>
    <w:lvl w:ilvl="2" w:tplc="5172D952" w:tentative="1">
      <w:start w:val="1"/>
      <w:numFmt w:val="bullet"/>
      <w:lvlText w:val=""/>
      <w:lvlJc w:val="left"/>
      <w:pPr>
        <w:tabs>
          <w:tab w:val="num" w:pos="2160"/>
        </w:tabs>
        <w:ind w:left="2160" w:hanging="360"/>
      </w:pPr>
      <w:rPr>
        <w:rFonts w:ascii="Wingdings" w:hAnsi="Wingdings" w:hint="default"/>
      </w:rPr>
    </w:lvl>
    <w:lvl w:ilvl="3" w:tplc="C546A848" w:tentative="1">
      <w:start w:val="1"/>
      <w:numFmt w:val="bullet"/>
      <w:lvlText w:val=""/>
      <w:lvlJc w:val="left"/>
      <w:pPr>
        <w:tabs>
          <w:tab w:val="num" w:pos="2880"/>
        </w:tabs>
        <w:ind w:left="2880" w:hanging="360"/>
      </w:pPr>
      <w:rPr>
        <w:rFonts w:ascii="Symbol" w:hAnsi="Symbol" w:hint="default"/>
      </w:rPr>
    </w:lvl>
    <w:lvl w:ilvl="4" w:tplc="54247736" w:tentative="1">
      <w:start w:val="1"/>
      <w:numFmt w:val="bullet"/>
      <w:lvlText w:val="o"/>
      <w:lvlJc w:val="left"/>
      <w:pPr>
        <w:tabs>
          <w:tab w:val="num" w:pos="3600"/>
        </w:tabs>
        <w:ind w:left="3600" w:hanging="360"/>
      </w:pPr>
      <w:rPr>
        <w:rFonts w:ascii="Courier New" w:hAnsi="Courier New" w:cs="Courier New" w:hint="default"/>
      </w:rPr>
    </w:lvl>
    <w:lvl w:ilvl="5" w:tplc="F544C078" w:tentative="1">
      <w:start w:val="1"/>
      <w:numFmt w:val="bullet"/>
      <w:lvlText w:val=""/>
      <w:lvlJc w:val="left"/>
      <w:pPr>
        <w:tabs>
          <w:tab w:val="num" w:pos="4320"/>
        </w:tabs>
        <w:ind w:left="4320" w:hanging="360"/>
      </w:pPr>
      <w:rPr>
        <w:rFonts w:ascii="Wingdings" w:hAnsi="Wingdings" w:hint="default"/>
      </w:rPr>
    </w:lvl>
    <w:lvl w:ilvl="6" w:tplc="2C562676" w:tentative="1">
      <w:start w:val="1"/>
      <w:numFmt w:val="bullet"/>
      <w:lvlText w:val=""/>
      <w:lvlJc w:val="left"/>
      <w:pPr>
        <w:tabs>
          <w:tab w:val="num" w:pos="5040"/>
        </w:tabs>
        <w:ind w:left="5040" w:hanging="360"/>
      </w:pPr>
      <w:rPr>
        <w:rFonts w:ascii="Symbol" w:hAnsi="Symbol" w:hint="default"/>
      </w:rPr>
    </w:lvl>
    <w:lvl w:ilvl="7" w:tplc="E55C8C76" w:tentative="1">
      <w:start w:val="1"/>
      <w:numFmt w:val="bullet"/>
      <w:lvlText w:val="o"/>
      <w:lvlJc w:val="left"/>
      <w:pPr>
        <w:tabs>
          <w:tab w:val="num" w:pos="5760"/>
        </w:tabs>
        <w:ind w:left="5760" w:hanging="360"/>
      </w:pPr>
      <w:rPr>
        <w:rFonts w:ascii="Courier New" w:hAnsi="Courier New" w:cs="Courier New" w:hint="default"/>
      </w:rPr>
    </w:lvl>
    <w:lvl w:ilvl="8" w:tplc="2A70823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9C94F29"/>
    <w:multiLevelType w:val="hybridMultilevel"/>
    <w:tmpl w:val="4CBC2A34"/>
    <w:lvl w:ilvl="0" w:tplc="ECF8732E">
      <w:start w:val="1"/>
      <w:numFmt w:val="decimal"/>
      <w:pStyle w:val="QuestionParagraph"/>
      <w:lvlText w:val="%1."/>
      <w:lvlJc w:val="left"/>
      <w:pPr>
        <w:ind w:left="720" w:hanging="360"/>
      </w:pPr>
      <w:rPr>
        <w:color w:val="000000"/>
      </w:rPr>
    </w:lvl>
    <w:lvl w:ilvl="1" w:tplc="21C61426" w:tentative="1">
      <w:start w:val="1"/>
      <w:numFmt w:val="lowerLetter"/>
      <w:lvlText w:val="%2."/>
      <w:lvlJc w:val="left"/>
      <w:pPr>
        <w:ind w:left="1440" w:hanging="360"/>
      </w:pPr>
    </w:lvl>
    <w:lvl w:ilvl="2" w:tplc="7458C8AC" w:tentative="1">
      <w:start w:val="1"/>
      <w:numFmt w:val="lowerRoman"/>
      <w:lvlText w:val="%3."/>
      <w:lvlJc w:val="right"/>
      <w:pPr>
        <w:ind w:left="2160" w:hanging="180"/>
      </w:pPr>
    </w:lvl>
    <w:lvl w:ilvl="3" w:tplc="2CD43262" w:tentative="1">
      <w:start w:val="1"/>
      <w:numFmt w:val="decimal"/>
      <w:lvlText w:val="%4."/>
      <w:lvlJc w:val="left"/>
      <w:pPr>
        <w:ind w:left="2880" w:hanging="360"/>
      </w:pPr>
    </w:lvl>
    <w:lvl w:ilvl="4" w:tplc="2E2E15FE" w:tentative="1">
      <w:start w:val="1"/>
      <w:numFmt w:val="lowerLetter"/>
      <w:lvlText w:val="%5."/>
      <w:lvlJc w:val="left"/>
      <w:pPr>
        <w:ind w:left="3600" w:hanging="360"/>
      </w:pPr>
    </w:lvl>
    <w:lvl w:ilvl="5" w:tplc="09D0BBBA" w:tentative="1">
      <w:start w:val="1"/>
      <w:numFmt w:val="lowerRoman"/>
      <w:lvlText w:val="%6."/>
      <w:lvlJc w:val="right"/>
      <w:pPr>
        <w:ind w:left="4320" w:hanging="180"/>
      </w:pPr>
    </w:lvl>
    <w:lvl w:ilvl="6" w:tplc="60DA180C" w:tentative="1">
      <w:start w:val="1"/>
      <w:numFmt w:val="decimal"/>
      <w:lvlText w:val="%7."/>
      <w:lvlJc w:val="left"/>
      <w:pPr>
        <w:ind w:left="5040" w:hanging="360"/>
      </w:pPr>
    </w:lvl>
    <w:lvl w:ilvl="7" w:tplc="EBC0DB80" w:tentative="1">
      <w:start w:val="1"/>
      <w:numFmt w:val="lowerLetter"/>
      <w:lvlText w:val="%8."/>
      <w:lvlJc w:val="left"/>
      <w:pPr>
        <w:ind w:left="5760" w:hanging="360"/>
      </w:pPr>
    </w:lvl>
    <w:lvl w:ilvl="8" w:tplc="4CEC7D98" w:tentative="1">
      <w:start w:val="1"/>
      <w:numFmt w:val="lowerRoman"/>
      <w:lvlText w:val="%9."/>
      <w:lvlJc w:val="right"/>
      <w:pPr>
        <w:ind w:left="6480" w:hanging="180"/>
      </w:pPr>
    </w:lvl>
  </w:abstractNum>
  <w:abstractNum w:abstractNumId="29" w15:restartNumberingAfterBreak="0">
    <w:nsid w:val="2E0DB030"/>
    <w:multiLevelType w:val="multilevel"/>
    <w:tmpl w:val="29249BA6"/>
    <w:lvl w:ilvl="0">
      <w:start w:val="1"/>
      <w:numFmt w:val="decimalZero"/>
      <w:pStyle w:val="CoverPartyName"/>
      <w:lvlText w:val="-%1"/>
      <w:lvlJc w:val="left"/>
      <w:pPr>
        <w:tabs>
          <w:tab w:val="num" w:pos="0"/>
        </w:tabs>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310416CA"/>
    <w:multiLevelType w:val="hybridMultilevel"/>
    <w:tmpl w:val="072EDEC8"/>
    <w:lvl w:ilvl="0" w:tplc="34FE5A6E">
      <w:start w:val="1"/>
      <w:numFmt w:val="bullet"/>
      <w:pStyle w:val="subclause2Bullet2"/>
      <w:lvlText w:val=""/>
      <w:lvlJc w:val="left"/>
      <w:pPr>
        <w:ind w:left="2279" w:hanging="360"/>
      </w:pPr>
      <w:rPr>
        <w:rFonts w:ascii="Symbol" w:hAnsi="Symbol" w:hint="default"/>
        <w:color w:val="000000"/>
      </w:rPr>
    </w:lvl>
    <w:lvl w:ilvl="1" w:tplc="913C40C0" w:tentative="1">
      <w:start w:val="1"/>
      <w:numFmt w:val="bullet"/>
      <w:lvlText w:val="o"/>
      <w:lvlJc w:val="left"/>
      <w:pPr>
        <w:ind w:left="2999" w:hanging="360"/>
      </w:pPr>
      <w:rPr>
        <w:rFonts w:ascii="Courier New" w:hAnsi="Courier New" w:cs="Courier New" w:hint="default"/>
      </w:rPr>
    </w:lvl>
    <w:lvl w:ilvl="2" w:tplc="6BECD62C" w:tentative="1">
      <w:start w:val="1"/>
      <w:numFmt w:val="bullet"/>
      <w:lvlText w:val=""/>
      <w:lvlJc w:val="left"/>
      <w:pPr>
        <w:ind w:left="3719" w:hanging="360"/>
      </w:pPr>
      <w:rPr>
        <w:rFonts w:ascii="Wingdings" w:hAnsi="Wingdings" w:hint="default"/>
      </w:rPr>
    </w:lvl>
    <w:lvl w:ilvl="3" w:tplc="D5444928" w:tentative="1">
      <w:start w:val="1"/>
      <w:numFmt w:val="bullet"/>
      <w:lvlText w:val=""/>
      <w:lvlJc w:val="left"/>
      <w:pPr>
        <w:ind w:left="4439" w:hanging="360"/>
      </w:pPr>
      <w:rPr>
        <w:rFonts w:ascii="Symbol" w:hAnsi="Symbol" w:hint="default"/>
      </w:rPr>
    </w:lvl>
    <w:lvl w:ilvl="4" w:tplc="EDC8C534" w:tentative="1">
      <w:start w:val="1"/>
      <w:numFmt w:val="bullet"/>
      <w:lvlText w:val="o"/>
      <w:lvlJc w:val="left"/>
      <w:pPr>
        <w:ind w:left="5159" w:hanging="360"/>
      </w:pPr>
      <w:rPr>
        <w:rFonts w:ascii="Courier New" w:hAnsi="Courier New" w:cs="Courier New" w:hint="default"/>
      </w:rPr>
    </w:lvl>
    <w:lvl w:ilvl="5" w:tplc="D6D06D00" w:tentative="1">
      <w:start w:val="1"/>
      <w:numFmt w:val="bullet"/>
      <w:lvlText w:val=""/>
      <w:lvlJc w:val="left"/>
      <w:pPr>
        <w:ind w:left="5879" w:hanging="360"/>
      </w:pPr>
      <w:rPr>
        <w:rFonts w:ascii="Wingdings" w:hAnsi="Wingdings" w:hint="default"/>
      </w:rPr>
    </w:lvl>
    <w:lvl w:ilvl="6" w:tplc="3528C748" w:tentative="1">
      <w:start w:val="1"/>
      <w:numFmt w:val="bullet"/>
      <w:lvlText w:val=""/>
      <w:lvlJc w:val="left"/>
      <w:pPr>
        <w:ind w:left="6599" w:hanging="360"/>
      </w:pPr>
      <w:rPr>
        <w:rFonts w:ascii="Symbol" w:hAnsi="Symbol" w:hint="default"/>
      </w:rPr>
    </w:lvl>
    <w:lvl w:ilvl="7" w:tplc="C5F0391C" w:tentative="1">
      <w:start w:val="1"/>
      <w:numFmt w:val="bullet"/>
      <w:lvlText w:val="o"/>
      <w:lvlJc w:val="left"/>
      <w:pPr>
        <w:ind w:left="7319" w:hanging="360"/>
      </w:pPr>
      <w:rPr>
        <w:rFonts w:ascii="Courier New" w:hAnsi="Courier New" w:cs="Courier New" w:hint="default"/>
      </w:rPr>
    </w:lvl>
    <w:lvl w:ilvl="8" w:tplc="5A4C84B0" w:tentative="1">
      <w:start w:val="1"/>
      <w:numFmt w:val="bullet"/>
      <w:lvlText w:val=""/>
      <w:lvlJc w:val="left"/>
      <w:pPr>
        <w:ind w:left="8039" w:hanging="360"/>
      </w:pPr>
      <w:rPr>
        <w:rFonts w:ascii="Wingdings" w:hAnsi="Wingdings" w:hint="default"/>
      </w:rPr>
    </w:lvl>
  </w:abstractNum>
  <w:abstractNum w:abstractNumId="31" w15:restartNumberingAfterBreak="0">
    <w:nsid w:val="31D14D40"/>
    <w:multiLevelType w:val="hybridMultilevel"/>
    <w:tmpl w:val="AC4C92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333702B8"/>
    <w:multiLevelType w:val="hybridMultilevel"/>
    <w:tmpl w:val="481CDF7E"/>
    <w:lvl w:ilvl="0" w:tplc="6D98D464">
      <w:start w:val="1"/>
      <w:numFmt w:val="lowerLetter"/>
      <w:lvlText w:val="%1)"/>
      <w:lvlJc w:val="left"/>
      <w:pPr>
        <w:tabs>
          <w:tab w:val="num" w:pos="1440"/>
        </w:tabs>
        <w:ind w:left="1440" w:hanging="87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347414F7"/>
    <w:multiLevelType w:val="hybridMultilevel"/>
    <w:tmpl w:val="755009AC"/>
    <w:lvl w:ilvl="0" w:tplc="B8FAD44E">
      <w:start w:val="1"/>
      <w:numFmt w:val="bullet"/>
      <w:pStyle w:val="Bulletedlist"/>
      <w:lvlText w:val="—"/>
      <w:lvlJc w:val="left"/>
      <w:pPr>
        <w:ind w:left="851" w:hanging="284"/>
      </w:pPr>
      <w:rPr>
        <w:rFonts w:ascii="Georgia" w:hAnsi="Georgia" w:hint="default"/>
      </w:rPr>
    </w:lvl>
    <w:lvl w:ilvl="1" w:tplc="434E8280" w:tentative="1">
      <w:start w:val="1"/>
      <w:numFmt w:val="bullet"/>
      <w:lvlText w:val="o"/>
      <w:lvlJc w:val="left"/>
      <w:pPr>
        <w:ind w:left="1440" w:hanging="360"/>
      </w:pPr>
      <w:rPr>
        <w:rFonts w:ascii="Courier New" w:hAnsi="Courier New" w:cs="Courier New" w:hint="default"/>
      </w:rPr>
    </w:lvl>
    <w:lvl w:ilvl="2" w:tplc="F3F0FC08" w:tentative="1">
      <w:start w:val="1"/>
      <w:numFmt w:val="bullet"/>
      <w:lvlText w:val=""/>
      <w:lvlJc w:val="left"/>
      <w:pPr>
        <w:ind w:left="2160" w:hanging="360"/>
      </w:pPr>
      <w:rPr>
        <w:rFonts w:ascii="Wingdings" w:hAnsi="Wingdings" w:hint="default"/>
      </w:rPr>
    </w:lvl>
    <w:lvl w:ilvl="3" w:tplc="6908B146" w:tentative="1">
      <w:start w:val="1"/>
      <w:numFmt w:val="bullet"/>
      <w:lvlText w:val=""/>
      <w:lvlJc w:val="left"/>
      <w:pPr>
        <w:ind w:left="2880" w:hanging="360"/>
      </w:pPr>
      <w:rPr>
        <w:rFonts w:ascii="Symbol" w:hAnsi="Symbol" w:hint="default"/>
      </w:rPr>
    </w:lvl>
    <w:lvl w:ilvl="4" w:tplc="7876B832" w:tentative="1">
      <w:start w:val="1"/>
      <w:numFmt w:val="bullet"/>
      <w:lvlText w:val="o"/>
      <w:lvlJc w:val="left"/>
      <w:pPr>
        <w:ind w:left="3600" w:hanging="360"/>
      </w:pPr>
      <w:rPr>
        <w:rFonts w:ascii="Courier New" w:hAnsi="Courier New" w:cs="Courier New" w:hint="default"/>
      </w:rPr>
    </w:lvl>
    <w:lvl w:ilvl="5" w:tplc="E496FFC0" w:tentative="1">
      <w:start w:val="1"/>
      <w:numFmt w:val="bullet"/>
      <w:lvlText w:val=""/>
      <w:lvlJc w:val="left"/>
      <w:pPr>
        <w:ind w:left="4320" w:hanging="360"/>
      </w:pPr>
      <w:rPr>
        <w:rFonts w:ascii="Wingdings" w:hAnsi="Wingdings" w:hint="default"/>
      </w:rPr>
    </w:lvl>
    <w:lvl w:ilvl="6" w:tplc="2C087FA2" w:tentative="1">
      <w:start w:val="1"/>
      <w:numFmt w:val="bullet"/>
      <w:lvlText w:val=""/>
      <w:lvlJc w:val="left"/>
      <w:pPr>
        <w:ind w:left="5040" w:hanging="360"/>
      </w:pPr>
      <w:rPr>
        <w:rFonts w:ascii="Symbol" w:hAnsi="Symbol" w:hint="default"/>
      </w:rPr>
    </w:lvl>
    <w:lvl w:ilvl="7" w:tplc="CA5CABB0" w:tentative="1">
      <w:start w:val="1"/>
      <w:numFmt w:val="bullet"/>
      <w:lvlText w:val="o"/>
      <w:lvlJc w:val="left"/>
      <w:pPr>
        <w:ind w:left="5760" w:hanging="360"/>
      </w:pPr>
      <w:rPr>
        <w:rFonts w:ascii="Courier New" w:hAnsi="Courier New" w:cs="Courier New" w:hint="default"/>
      </w:rPr>
    </w:lvl>
    <w:lvl w:ilvl="8" w:tplc="1DE66704" w:tentative="1">
      <w:start w:val="1"/>
      <w:numFmt w:val="bullet"/>
      <w:lvlText w:val=""/>
      <w:lvlJc w:val="left"/>
      <w:pPr>
        <w:ind w:left="6480" w:hanging="360"/>
      </w:pPr>
      <w:rPr>
        <w:rFonts w:ascii="Wingdings" w:hAnsi="Wingdings" w:hint="default"/>
      </w:rPr>
    </w:lvl>
  </w:abstractNum>
  <w:abstractNum w:abstractNumId="34"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35" w15:restartNumberingAfterBreak="0">
    <w:nsid w:val="38130038"/>
    <w:multiLevelType w:val="hybridMultilevel"/>
    <w:tmpl w:val="FF8A0FAE"/>
    <w:lvl w:ilvl="0" w:tplc="53426A28">
      <w:start w:val="1"/>
      <w:numFmt w:val="bullet"/>
      <w:pStyle w:val="ClauseBullet2"/>
      <w:lvlText w:val=""/>
      <w:lvlJc w:val="left"/>
      <w:pPr>
        <w:ind w:left="1440" w:hanging="360"/>
      </w:pPr>
      <w:rPr>
        <w:rFonts w:ascii="Symbol" w:hAnsi="Symbol" w:hint="default"/>
        <w:color w:val="000000"/>
      </w:rPr>
    </w:lvl>
    <w:lvl w:ilvl="1" w:tplc="02E45D36" w:tentative="1">
      <w:start w:val="1"/>
      <w:numFmt w:val="bullet"/>
      <w:lvlText w:val="o"/>
      <w:lvlJc w:val="left"/>
      <w:pPr>
        <w:ind w:left="2160" w:hanging="360"/>
      </w:pPr>
      <w:rPr>
        <w:rFonts w:ascii="Courier New" w:hAnsi="Courier New" w:cs="Courier New" w:hint="default"/>
      </w:rPr>
    </w:lvl>
    <w:lvl w:ilvl="2" w:tplc="416ACD3E" w:tentative="1">
      <w:start w:val="1"/>
      <w:numFmt w:val="bullet"/>
      <w:lvlText w:val=""/>
      <w:lvlJc w:val="left"/>
      <w:pPr>
        <w:ind w:left="2880" w:hanging="360"/>
      </w:pPr>
      <w:rPr>
        <w:rFonts w:ascii="Wingdings" w:hAnsi="Wingdings" w:hint="default"/>
      </w:rPr>
    </w:lvl>
    <w:lvl w:ilvl="3" w:tplc="54AA5990" w:tentative="1">
      <w:start w:val="1"/>
      <w:numFmt w:val="bullet"/>
      <w:lvlText w:val=""/>
      <w:lvlJc w:val="left"/>
      <w:pPr>
        <w:ind w:left="3600" w:hanging="360"/>
      </w:pPr>
      <w:rPr>
        <w:rFonts w:ascii="Symbol" w:hAnsi="Symbol" w:hint="default"/>
      </w:rPr>
    </w:lvl>
    <w:lvl w:ilvl="4" w:tplc="79D42D88" w:tentative="1">
      <w:start w:val="1"/>
      <w:numFmt w:val="bullet"/>
      <w:lvlText w:val="o"/>
      <w:lvlJc w:val="left"/>
      <w:pPr>
        <w:ind w:left="4320" w:hanging="360"/>
      </w:pPr>
      <w:rPr>
        <w:rFonts w:ascii="Courier New" w:hAnsi="Courier New" w:cs="Courier New" w:hint="default"/>
      </w:rPr>
    </w:lvl>
    <w:lvl w:ilvl="5" w:tplc="06902D8A" w:tentative="1">
      <w:start w:val="1"/>
      <w:numFmt w:val="bullet"/>
      <w:lvlText w:val=""/>
      <w:lvlJc w:val="left"/>
      <w:pPr>
        <w:ind w:left="5040" w:hanging="360"/>
      </w:pPr>
      <w:rPr>
        <w:rFonts w:ascii="Wingdings" w:hAnsi="Wingdings" w:hint="default"/>
      </w:rPr>
    </w:lvl>
    <w:lvl w:ilvl="6" w:tplc="71A08D18" w:tentative="1">
      <w:start w:val="1"/>
      <w:numFmt w:val="bullet"/>
      <w:lvlText w:val=""/>
      <w:lvlJc w:val="left"/>
      <w:pPr>
        <w:ind w:left="5760" w:hanging="360"/>
      </w:pPr>
      <w:rPr>
        <w:rFonts w:ascii="Symbol" w:hAnsi="Symbol" w:hint="default"/>
      </w:rPr>
    </w:lvl>
    <w:lvl w:ilvl="7" w:tplc="4B7089DC" w:tentative="1">
      <w:start w:val="1"/>
      <w:numFmt w:val="bullet"/>
      <w:lvlText w:val="o"/>
      <w:lvlJc w:val="left"/>
      <w:pPr>
        <w:ind w:left="6480" w:hanging="360"/>
      </w:pPr>
      <w:rPr>
        <w:rFonts w:ascii="Courier New" w:hAnsi="Courier New" w:cs="Courier New" w:hint="default"/>
      </w:rPr>
    </w:lvl>
    <w:lvl w:ilvl="8" w:tplc="2F681782" w:tentative="1">
      <w:start w:val="1"/>
      <w:numFmt w:val="bullet"/>
      <w:lvlText w:val=""/>
      <w:lvlJc w:val="left"/>
      <w:pPr>
        <w:ind w:left="7200" w:hanging="360"/>
      </w:pPr>
      <w:rPr>
        <w:rFonts w:ascii="Wingdings" w:hAnsi="Wingdings" w:hint="default"/>
      </w:rPr>
    </w:lvl>
  </w:abstractNum>
  <w:abstractNum w:abstractNumId="36" w15:restartNumberingAfterBreak="0">
    <w:nsid w:val="38668D42"/>
    <w:multiLevelType w:val="multilevel"/>
    <w:tmpl w:val="F35CBDC8"/>
    <w:lvl w:ilvl="0">
      <w:start w:val="1"/>
      <w:numFmt w:val="decimal"/>
      <w:pStyle w:val="Heading1"/>
      <w:lvlText w:val="%1—"/>
      <w:lvlJc w:val="left"/>
      <w:pPr>
        <w:tabs>
          <w:tab w:val="num" w:pos="567"/>
        </w:tabs>
        <w:ind w:left="567" w:hanging="567"/>
      </w:pPr>
      <w:rPr>
        <w:rFonts w:ascii="Georgia" w:hAnsi="Georgia" w:cs="Times New Roman" w:hint="default"/>
        <w:b w:val="0"/>
        <w:bCs w:val="0"/>
        <w:i w:val="0"/>
        <w:iCs w:val="0"/>
        <w:caps w:val="0"/>
        <w:smallCaps w:val="0"/>
        <w:strike w:val="0"/>
        <w:dstrike w:val="0"/>
        <w:noProof w:val="0"/>
        <w:vanish w:val="0"/>
        <w:color w:val="000000"/>
        <w:spacing w:val="0"/>
        <w:kern w:val="0"/>
        <w:position w:val="0"/>
        <w:sz w:val="18"/>
        <w:u w:val="none"/>
        <w:effect w:val="none"/>
        <w:vertAlign w:val="baseline"/>
        <w:specVanish w:val="0"/>
      </w:rPr>
    </w:lvl>
    <w:lvl w:ilvl="1">
      <w:start w:val="1"/>
      <w:numFmt w:val="decimal"/>
      <w:pStyle w:val="Heading2"/>
      <w:lvlText w:val="%1.%2—"/>
      <w:lvlJc w:val="left"/>
      <w:pPr>
        <w:tabs>
          <w:tab w:val="num" w:pos="567"/>
        </w:tabs>
        <w:ind w:left="567" w:hanging="567"/>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specVanish w:val="0"/>
      </w:rPr>
    </w:lvl>
    <w:lvl w:ilvl="2">
      <w:start w:val="1"/>
      <w:numFmt w:val="decimal"/>
      <w:pStyle w:val="Heading3"/>
      <w:lvlText w:val="%3.%1.%2—"/>
      <w:lvlJc w:val="left"/>
      <w:pPr>
        <w:tabs>
          <w:tab w:val="num" w:pos="1247"/>
        </w:tabs>
        <w:ind w:left="1247" w:hanging="680"/>
      </w:pPr>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3">
      <w:start w:val="1"/>
      <w:numFmt w:val="lowerLetter"/>
      <w:pStyle w:val="Heading4"/>
      <w:lvlText w:val="(%4)"/>
      <w:lvlJc w:val="left"/>
      <w:pPr>
        <w:tabs>
          <w:tab w:val="num" w:pos="1673"/>
        </w:tabs>
        <w:ind w:left="1673" w:hanging="426"/>
      </w:pPr>
      <w:rPr>
        <w:rFonts w:ascii="Georgia" w:hAnsi="Georgia" w:cs="Times New Roman" w:hint="default"/>
        <w:b w:val="0"/>
        <w:bCs w:val="0"/>
        <w:i w:val="0"/>
        <w:iCs w:val="0"/>
        <w:caps w:val="0"/>
        <w:smallCaps w:val="0"/>
        <w:strike w:val="0"/>
        <w:dstrike w:val="0"/>
        <w:noProof w:val="0"/>
        <w:vanish w:val="0"/>
        <w:color w:val="000000"/>
        <w:spacing w:val="0"/>
        <w:kern w:val="0"/>
        <w:position w:val="0"/>
        <w:sz w:val="18"/>
        <w:u w:val="none"/>
        <w:effect w:val="none"/>
        <w:vertAlign w:val="baseline"/>
        <w:specVanish w:val="0"/>
      </w:rPr>
    </w:lvl>
    <w:lvl w:ilvl="4">
      <w:start w:val="1"/>
      <w:numFmt w:val="lowerRoman"/>
      <w:pStyle w:val="Heading5"/>
      <w:lvlText w:val="(%5)"/>
      <w:lvlJc w:val="left"/>
      <w:pPr>
        <w:tabs>
          <w:tab w:val="num" w:pos="1673"/>
        </w:tabs>
        <w:ind w:left="1673" w:hanging="426"/>
      </w:pPr>
      <w:rPr>
        <w:rFonts w:hint="default"/>
        <w:b w:val="0"/>
        <w:i w:val="0"/>
        <w:sz w:val="18"/>
      </w:rPr>
    </w:lvl>
    <w:lvl w:ilvl="5">
      <w:start w:val="1"/>
      <w:numFmt w:val="lowerLetter"/>
      <w:pStyle w:val="Heading6"/>
      <w:lvlText w:val="(%6)"/>
      <w:lvlJc w:val="left"/>
      <w:pPr>
        <w:tabs>
          <w:tab w:val="num" w:pos="2523"/>
        </w:tabs>
        <w:ind w:left="2523" w:hanging="425"/>
      </w:pPr>
      <w:rPr>
        <w:rFonts w:hint="default"/>
        <w:b w:val="0"/>
        <w:i w:val="0"/>
        <w:sz w:val="18"/>
        <w:szCs w:val="20"/>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b w:val="0"/>
        <w:i w:val="0"/>
        <w:sz w:val="22"/>
      </w:rPr>
    </w:lvl>
    <w:lvl w:ilvl="8">
      <w:start w:val="1"/>
      <w:numFmt w:val="lowerRoman"/>
      <w:pStyle w:val="Heading9"/>
      <w:lvlText w:val="(%9)"/>
      <w:lvlJc w:val="left"/>
      <w:pPr>
        <w:ind w:left="5760" w:firstLine="0"/>
      </w:pPr>
      <w:rPr>
        <w:rFonts w:hint="default"/>
        <w:b w:val="0"/>
        <w:i w:val="0"/>
        <w:sz w:val="18"/>
      </w:rPr>
    </w:lvl>
  </w:abstractNum>
  <w:abstractNum w:abstractNumId="37" w15:restartNumberingAfterBreak="0">
    <w:nsid w:val="44D67987"/>
    <w:multiLevelType w:val="hybridMultilevel"/>
    <w:tmpl w:val="EBD6FB80"/>
    <w:lvl w:ilvl="0" w:tplc="C35ACC2C">
      <w:start w:val="1"/>
      <w:numFmt w:val="bullet"/>
      <w:pStyle w:val="subclause1Bullet2"/>
      <w:lvlText w:val=""/>
      <w:lvlJc w:val="left"/>
      <w:pPr>
        <w:ind w:left="1440" w:hanging="360"/>
      </w:pPr>
      <w:rPr>
        <w:rFonts w:ascii="Symbol" w:hAnsi="Symbol" w:hint="default"/>
        <w:color w:val="000000"/>
      </w:rPr>
    </w:lvl>
    <w:lvl w:ilvl="1" w:tplc="66D45F74" w:tentative="1">
      <w:start w:val="1"/>
      <w:numFmt w:val="bullet"/>
      <w:lvlText w:val="o"/>
      <w:lvlJc w:val="left"/>
      <w:pPr>
        <w:ind w:left="2160" w:hanging="360"/>
      </w:pPr>
      <w:rPr>
        <w:rFonts w:ascii="Courier New" w:hAnsi="Courier New" w:cs="Courier New" w:hint="default"/>
      </w:rPr>
    </w:lvl>
    <w:lvl w:ilvl="2" w:tplc="77903A1A" w:tentative="1">
      <w:start w:val="1"/>
      <w:numFmt w:val="bullet"/>
      <w:lvlText w:val=""/>
      <w:lvlJc w:val="left"/>
      <w:pPr>
        <w:ind w:left="2880" w:hanging="360"/>
      </w:pPr>
      <w:rPr>
        <w:rFonts w:ascii="Wingdings" w:hAnsi="Wingdings" w:hint="default"/>
      </w:rPr>
    </w:lvl>
    <w:lvl w:ilvl="3" w:tplc="5AE2E17A" w:tentative="1">
      <w:start w:val="1"/>
      <w:numFmt w:val="bullet"/>
      <w:lvlText w:val=""/>
      <w:lvlJc w:val="left"/>
      <w:pPr>
        <w:ind w:left="3600" w:hanging="360"/>
      </w:pPr>
      <w:rPr>
        <w:rFonts w:ascii="Symbol" w:hAnsi="Symbol" w:hint="default"/>
      </w:rPr>
    </w:lvl>
    <w:lvl w:ilvl="4" w:tplc="8BDAAB62" w:tentative="1">
      <w:start w:val="1"/>
      <w:numFmt w:val="bullet"/>
      <w:lvlText w:val="o"/>
      <w:lvlJc w:val="left"/>
      <w:pPr>
        <w:ind w:left="4320" w:hanging="360"/>
      </w:pPr>
      <w:rPr>
        <w:rFonts w:ascii="Courier New" w:hAnsi="Courier New" w:cs="Courier New" w:hint="default"/>
      </w:rPr>
    </w:lvl>
    <w:lvl w:ilvl="5" w:tplc="7BC80F18" w:tentative="1">
      <w:start w:val="1"/>
      <w:numFmt w:val="bullet"/>
      <w:lvlText w:val=""/>
      <w:lvlJc w:val="left"/>
      <w:pPr>
        <w:ind w:left="5040" w:hanging="360"/>
      </w:pPr>
      <w:rPr>
        <w:rFonts w:ascii="Wingdings" w:hAnsi="Wingdings" w:hint="default"/>
      </w:rPr>
    </w:lvl>
    <w:lvl w:ilvl="6" w:tplc="7BEC7458" w:tentative="1">
      <w:start w:val="1"/>
      <w:numFmt w:val="bullet"/>
      <w:lvlText w:val=""/>
      <w:lvlJc w:val="left"/>
      <w:pPr>
        <w:ind w:left="5760" w:hanging="360"/>
      </w:pPr>
      <w:rPr>
        <w:rFonts w:ascii="Symbol" w:hAnsi="Symbol" w:hint="default"/>
      </w:rPr>
    </w:lvl>
    <w:lvl w:ilvl="7" w:tplc="CEE0F834" w:tentative="1">
      <w:start w:val="1"/>
      <w:numFmt w:val="bullet"/>
      <w:lvlText w:val="o"/>
      <w:lvlJc w:val="left"/>
      <w:pPr>
        <w:ind w:left="6480" w:hanging="360"/>
      </w:pPr>
      <w:rPr>
        <w:rFonts w:ascii="Courier New" w:hAnsi="Courier New" w:cs="Courier New" w:hint="default"/>
      </w:rPr>
    </w:lvl>
    <w:lvl w:ilvl="8" w:tplc="6DD88B32" w:tentative="1">
      <w:start w:val="1"/>
      <w:numFmt w:val="bullet"/>
      <w:lvlText w:val=""/>
      <w:lvlJc w:val="left"/>
      <w:pPr>
        <w:ind w:left="7200" w:hanging="360"/>
      </w:pPr>
      <w:rPr>
        <w:rFonts w:ascii="Wingdings" w:hAnsi="Wingdings" w:hint="default"/>
      </w:rPr>
    </w:lvl>
  </w:abstractNum>
  <w:abstractNum w:abstractNumId="38" w15:restartNumberingAfterBreak="0">
    <w:nsid w:val="44E96665"/>
    <w:multiLevelType w:val="hybridMultilevel"/>
    <w:tmpl w:val="EF1E142A"/>
    <w:lvl w:ilvl="0" w:tplc="9E40A21C">
      <w:start w:val="1"/>
      <w:numFmt w:val="bullet"/>
      <w:pStyle w:val="subclause3Bullet1"/>
      <w:lvlText w:val=""/>
      <w:lvlJc w:val="left"/>
      <w:pPr>
        <w:ind w:left="2988" w:hanging="360"/>
      </w:pPr>
      <w:rPr>
        <w:rFonts w:ascii="Symbol" w:hAnsi="Symbol" w:hint="default"/>
        <w:color w:val="000000"/>
      </w:rPr>
    </w:lvl>
    <w:lvl w:ilvl="1" w:tplc="A8E2720A" w:tentative="1">
      <w:start w:val="1"/>
      <w:numFmt w:val="bullet"/>
      <w:lvlText w:val="o"/>
      <w:lvlJc w:val="left"/>
      <w:pPr>
        <w:ind w:left="3708" w:hanging="360"/>
      </w:pPr>
      <w:rPr>
        <w:rFonts w:ascii="Courier New" w:hAnsi="Courier New" w:cs="Courier New" w:hint="default"/>
      </w:rPr>
    </w:lvl>
    <w:lvl w:ilvl="2" w:tplc="861A06E2" w:tentative="1">
      <w:start w:val="1"/>
      <w:numFmt w:val="bullet"/>
      <w:lvlText w:val=""/>
      <w:lvlJc w:val="left"/>
      <w:pPr>
        <w:ind w:left="4428" w:hanging="360"/>
      </w:pPr>
      <w:rPr>
        <w:rFonts w:ascii="Wingdings" w:hAnsi="Wingdings" w:hint="default"/>
      </w:rPr>
    </w:lvl>
    <w:lvl w:ilvl="3" w:tplc="4D0E6176" w:tentative="1">
      <w:start w:val="1"/>
      <w:numFmt w:val="bullet"/>
      <w:lvlText w:val=""/>
      <w:lvlJc w:val="left"/>
      <w:pPr>
        <w:ind w:left="5148" w:hanging="360"/>
      </w:pPr>
      <w:rPr>
        <w:rFonts w:ascii="Symbol" w:hAnsi="Symbol" w:hint="default"/>
      </w:rPr>
    </w:lvl>
    <w:lvl w:ilvl="4" w:tplc="6F963ED0" w:tentative="1">
      <w:start w:val="1"/>
      <w:numFmt w:val="bullet"/>
      <w:lvlText w:val="o"/>
      <w:lvlJc w:val="left"/>
      <w:pPr>
        <w:ind w:left="5868" w:hanging="360"/>
      </w:pPr>
      <w:rPr>
        <w:rFonts w:ascii="Courier New" w:hAnsi="Courier New" w:cs="Courier New" w:hint="default"/>
      </w:rPr>
    </w:lvl>
    <w:lvl w:ilvl="5" w:tplc="18EECF08" w:tentative="1">
      <w:start w:val="1"/>
      <w:numFmt w:val="bullet"/>
      <w:lvlText w:val=""/>
      <w:lvlJc w:val="left"/>
      <w:pPr>
        <w:ind w:left="6588" w:hanging="360"/>
      </w:pPr>
      <w:rPr>
        <w:rFonts w:ascii="Wingdings" w:hAnsi="Wingdings" w:hint="default"/>
      </w:rPr>
    </w:lvl>
    <w:lvl w:ilvl="6" w:tplc="F328C958" w:tentative="1">
      <w:start w:val="1"/>
      <w:numFmt w:val="bullet"/>
      <w:lvlText w:val=""/>
      <w:lvlJc w:val="left"/>
      <w:pPr>
        <w:ind w:left="7308" w:hanging="360"/>
      </w:pPr>
      <w:rPr>
        <w:rFonts w:ascii="Symbol" w:hAnsi="Symbol" w:hint="default"/>
      </w:rPr>
    </w:lvl>
    <w:lvl w:ilvl="7" w:tplc="B8B21256" w:tentative="1">
      <w:start w:val="1"/>
      <w:numFmt w:val="bullet"/>
      <w:lvlText w:val="o"/>
      <w:lvlJc w:val="left"/>
      <w:pPr>
        <w:ind w:left="8028" w:hanging="360"/>
      </w:pPr>
      <w:rPr>
        <w:rFonts w:ascii="Courier New" w:hAnsi="Courier New" w:cs="Courier New" w:hint="default"/>
      </w:rPr>
    </w:lvl>
    <w:lvl w:ilvl="8" w:tplc="C24A1C26" w:tentative="1">
      <w:start w:val="1"/>
      <w:numFmt w:val="bullet"/>
      <w:lvlText w:val=""/>
      <w:lvlJc w:val="left"/>
      <w:pPr>
        <w:ind w:left="8748" w:hanging="360"/>
      </w:pPr>
      <w:rPr>
        <w:rFonts w:ascii="Wingdings" w:hAnsi="Wingdings" w:hint="default"/>
      </w:rPr>
    </w:lvl>
  </w:abstractNum>
  <w:abstractNum w:abstractNumId="39" w15:restartNumberingAfterBreak="0">
    <w:nsid w:val="45CA7D36"/>
    <w:multiLevelType w:val="multilevel"/>
    <w:tmpl w:val="92C8777A"/>
    <w:lvl w:ilvl="0">
      <w:start w:val="1"/>
      <w:numFmt w:val="decimal"/>
      <w:pStyle w:val="LV1"/>
      <w:lvlText w:val="%1"/>
      <w:lvlJc w:val="left"/>
      <w:pPr>
        <w:tabs>
          <w:tab w:val="num" w:pos="567"/>
        </w:tabs>
        <w:ind w:left="567" w:hanging="567"/>
      </w:pPr>
      <w:rPr>
        <w:rFonts w:ascii="Georgia" w:hAnsi="Georgia"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rPr>
    </w:lvl>
    <w:lvl w:ilvl="1">
      <w:start w:val="1"/>
      <w:numFmt w:val="decimal"/>
      <w:pStyle w:val="LV2"/>
      <w:lvlText w:val="%1.%2"/>
      <w:lvlJc w:val="left"/>
      <w:pPr>
        <w:tabs>
          <w:tab w:val="num" w:pos="567"/>
        </w:tabs>
        <w:ind w:left="567" w:hanging="567"/>
      </w:pPr>
      <w:rPr>
        <w:rFonts w:ascii="Georgia" w:hAnsi="Georgia" w:hint="default"/>
        <w:b w:val="0"/>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specVanish w:val="0"/>
      </w:rPr>
    </w:lvl>
    <w:lvl w:ilvl="2">
      <w:start w:val="1"/>
      <w:numFmt w:val="decimal"/>
      <w:pStyle w:val="LV3"/>
      <w:lvlText w:val="%1.%2.%3"/>
      <w:lvlJc w:val="left"/>
      <w:pPr>
        <w:tabs>
          <w:tab w:val="num" w:pos="1247"/>
        </w:tabs>
        <w:ind w:left="1247" w:hanging="680"/>
      </w:pPr>
      <w:rPr>
        <w:rFonts w:ascii="Georgia" w:hAnsi="Georgia"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sz w:val="20"/>
        <w:u w:val="none"/>
        <w:effect w:val="none"/>
        <w:vertAlign w:val="baseline"/>
        <w:specVanish w:val="0"/>
      </w:rPr>
    </w:lvl>
    <w:lvl w:ilvl="3">
      <w:start w:val="1"/>
      <w:numFmt w:val="lowerLetter"/>
      <w:pStyle w:val="LV4"/>
      <w:lvlText w:val="(%4)"/>
      <w:lvlJc w:val="left"/>
      <w:pPr>
        <w:tabs>
          <w:tab w:val="num" w:pos="1673"/>
        </w:tabs>
        <w:ind w:left="1673" w:hanging="426"/>
      </w:pPr>
      <w:rPr>
        <w:rFonts w:ascii="Georgia" w:hAnsi="Georgia" w:cs="Times New Roman" w:hint="default"/>
        <w:b w:val="0"/>
        <w:bCs w:val="0"/>
        <w:i w:val="0"/>
        <w:iCs w:val="0"/>
        <w:caps w:val="0"/>
        <w:smallCaps w:val="0"/>
        <w:strike w:val="0"/>
        <w:dstrike w:val="0"/>
        <w:vanish w:val="0"/>
        <w:color w:val="000000"/>
        <w:spacing w:val="0"/>
        <w:kern w:val="0"/>
        <w:position w:val="0"/>
        <w:sz w:val="20"/>
        <w:u w:val="none"/>
        <w:effect w:val="none"/>
        <w:vertAlign w:val="baseline"/>
      </w:rPr>
    </w:lvl>
    <w:lvl w:ilvl="4">
      <w:start w:val="1"/>
      <w:numFmt w:val="lowerRoman"/>
      <w:pStyle w:val="LV5"/>
      <w:lvlText w:val="(%5)"/>
      <w:lvlJc w:val="left"/>
      <w:pPr>
        <w:tabs>
          <w:tab w:val="num" w:pos="1673"/>
        </w:tabs>
        <w:ind w:left="1673" w:hanging="426"/>
      </w:pPr>
      <w:rPr>
        <w:rFonts w:ascii="Georgia" w:hAnsi="Georgia" w:hint="default"/>
        <w:b w:val="0"/>
        <w:i w:val="0"/>
        <w:sz w:val="20"/>
      </w:rPr>
    </w:lvl>
    <w:lvl w:ilvl="5">
      <w:start w:val="1"/>
      <w:numFmt w:val="lowerLetter"/>
      <w:lvlText w:val="(%6)"/>
      <w:lvlJc w:val="left"/>
      <w:pPr>
        <w:tabs>
          <w:tab w:val="num" w:pos="2523"/>
        </w:tabs>
        <w:ind w:left="2523" w:hanging="425"/>
      </w:pPr>
      <w:rPr>
        <w:rFonts w:hint="default"/>
        <w:b w:val="0"/>
        <w:i w:val="0"/>
        <w:sz w:val="18"/>
        <w:szCs w:val="20"/>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b w:val="0"/>
        <w:i w:val="0"/>
        <w:sz w:val="22"/>
      </w:rPr>
    </w:lvl>
    <w:lvl w:ilvl="8">
      <w:start w:val="1"/>
      <w:numFmt w:val="lowerRoman"/>
      <w:lvlText w:val="(%9)"/>
      <w:lvlJc w:val="left"/>
      <w:pPr>
        <w:ind w:left="5760" w:firstLine="0"/>
      </w:pPr>
      <w:rPr>
        <w:rFonts w:hint="default"/>
        <w:b w:val="0"/>
        <w:i w:val="0"/>
        <w:sz w:val="18"/>
      </w:rPr>
    </w:lvl>
  </w:abstractNum>
  <w:abstractNum w:abstractNumId="40" w15:restartNumberingAfterBreak="0">
    <w:nsid w:val="46AC04C6"/>
    <w:multiLevelType w:val="hybridMultilevel"/>
    <w:tmpl w:val="E6C47700"/>
    <w:lvl w:ilvl="0" w:tplc="62F003EC">
      <w:start w:val="1"/>
      <w:numFmt w:val="bullet"/>
      <w:pStyle w:val="subclause2Bullet1"/>
      <w:lvlText w:val=""/>
      <w:lvlJc w:val="left"/>
      <w:pPr>
        <w:ind w:left="2279" w:hanging="360"/>
      </w:pPr>
      <w:rPr>
        <w:rFonts w:ascii="Symbol" w:hAnsi="Symbol" w:hint="default"/>
        <w:color w:val="000000"/>
      </w:rPr>
    </w:lvl>
    <w:lvl w:ilvl="1" w:tplc="F650EE64" w:tentative="1">
      <w:start w:val="1"/>
      <w:numFmt w:val="bullet"/>
      <w:lvlText w:val="o"/>
      <w:lvlJc w:val="left"/>
      <w:pPr>
        <w:ind w:left="2999" w:hanging="360"/>
      </w:pPr>
      <w:rPr>
        <w:rFonts w:ascii="Courier New" w:hAnsi="Courier New" w:cs="Courier New" w:hint="default"/>
      </w:rPr>
    </w:lvl>
    <w:lvl w:ilvl="2" w:tplc="F8F8CBB8" w:tentative="1">
      <w:start w:val="1"/>
      <w:numFmt w:val="bullet"/>
      <w:lvlText w:val=""/>
      <w:lvlJc w:val="left"/>
      <w:pPr>
        <w:ind w:left="3719" w:hanging="360"/>
      </w:pPr>
      <w:rPr>
        <w:rFonts w:ascii="Wingdings" w:hAnsi="Wingdings" w:hint="default"/>
      </w:rPr>
    </w:lvl>
    <w:lvl w:ilvl="3" w:tplc="E3E2E5A4" w:tentative="1">
      <w:start w:val="1"/>
      <w:numFmt w:val="bullet"/>
      <w:lvlText w:val=""/>
      <w:lvlJc w:val="left"/>
      <w:pPr>
        <w:ind w:left="4439" w:hanging="360"/>
      </w:pPr>
      <w:rPr>
        <w:rFonts w:ascii="Symbol" w:hAnsi="Symbol" w:hint="default"/>
      </w:rPr>
    </w:lvl>
    <w:lvl w:ilvl="4" w:tplc="85F44FFA" w:tentative="1">
      <w:start w:val="1"/>
      <w:numFmt w:val="bullet"/>
      <w:lvlText w:val="o"/>
      <w:lvlJc w:val="left"/>
      <w:pPr>
        <w:ind w:left="5159" w:hanging="360"/>
      </w:pPr>
      <w:rPr>
        <w:rFonts w:ascii="Courier New" w:hAnsi="Courier New" w:cs="Courier New" w:hint="default"/>
      </w:rPr>
    </w:lvl>
    <w:lvl w:ilvl="5" w:tplc="888CE47E" w:tentative="1">
      <w:start w:val="1"/>
      <w:numFmt w:val="bullet"/>
      <w:lvlText w:val=""/>
      <w:lvlJc w:val="left"/>
      <w:pPr>
        <w:ind w:left="5879" w:hanging="360"/>
      </w:pPr>
      <w:rPr>
        <w:rFonts w:ascii="Wingdings" w:hAnsi="Wingdings" w:hint="default"/>
      </w:rPr>
    </w:lvl>
    <w:lvl w:ilvl="6" w:tplc="5470D63E" w:tentative="1">
      <w:start w:val="1"/>
      <w:numFmt w:val="bullet"/>
      <w:lvlText w:val=""/>
      <w:lvlJc w:val="left"/>
      <w:pPr>
        <w:ind w:left="6599" w:hanging="360"/>
      </w:pPr>
      <w:rPr>
        <w:rFonts w:ascii="Symbol" w:hAnsi="Symbol" w:hint="default"/>
      </w:rPr>
    </w:lvl>
    <w:lvl w:ilvl="7" w:tplc="A93049DE" w:tentative="1">
      <w:start w:val="1"/>
      <w:numFmt w:val="bullet"/>
      <w:lvlText w:val="o"/>
      <w:lvlJc w:val="left"/>
      <w:pPr>
        <w:ind w:left="7319" w:hanging="360"/>
      </w:pPr>
      <w:rPr>
        <w:rFonts w:ascii="Courier New" w:hAnsi="Courier New" w:cs="Courier New" w:hint="default"/>
      </w:rPr>
    </w:lvl>
    <w:lvl w:ilvl="8" w:tplc="1A103C40" w:tentative="1">
      <w:start w:val="1"/>
      <w:numFmt w:val="bullet"/>
      <w:lvlText w:val=""/>
      <w:lvlJc w:val="left"/>
      <w:pPr>
        <w:ind w:left="8039" w:hanging="360"/>
      </w:pPr>
      <w:rPr>
        <w:rFonts w:ascii="Wingdings" w:hAnsi="Wingdings" w:hint="default"/>
      </w:rPr>
    </w:lvl>
  </w:abstractNum>
  <w:abstractNum w:abstractNumId="41" w15:restartNumberingAfterBreak="0">
    <w:nsid w:val="47F42723"/>
    <w:multiLevelType w:val="hybridMultilevel"/>
    <w:tmpl w:val="C5A02EE6"/>
    <w:lvl w:ilvl="0" w:tplc="8D126E72">
      <w:start w:val="1"/>
      <w:numFmt w:val="bullet"/>
      <w:pStyle w:val="subclause1Bullet1"/>
      <w:lvlText w:val=""/>
      <w:lvlJc w:val="left"/>
      <w:pPr>
        <w:ind w:left="1440" w:hanging="360"/>
      </w:pPr>
      <w:rPr>
        <w:rFonts w:ascii="Symbol" w:hAnsi="Symbol" w:hint="default"/>
        <w:color w:val="000000"/>
      </w:rPr>
    </w:lvl>
    <w:lvl w:ilvl="1" w:tplc="AE98950E" w:tentative="1">
      <w:start w:val="1"/>
      <w:numFmt w:val="bullet"/>
      <w:lvlText w:val="o"/>
      <w:lvlJc w:val="left"/>
      <w:pPr>
        <w:ind w:left="2160" w:hanging="360"/>
      </w:pPr>
      <w:rPr>
        <w:rFonts w:ascii="Courier New" w:hAnsi="Courier New" w:cs="Courier New" w:hint="default"/>
      </w:rPr>
    </w:lvl>
    <w:lvl w:ilvl="2" w:tplc="E870D346" w:tentative="1">
      <w:start w:val="1"/>
      <w:numFmt w:val="bullet"/>
      <w:lvlText w:val=""/>
      <w:lvlJc w:val="left"/>
      <w:pPr>
        <w:ind w:left="2880" w:hanging="360"/>
      </w:pPr>
      <w:rPr>
        <w:rFonts w:ascii="Wingdings" w:hAnsi="Wingdings" w:hint="default"/>
      </w:rPr>
    </w:lvl>
    <w:lvl w:ilvl="3" w:tplc="B540090A" w:tentative="1">
      <w:start w:val="1"/>
      <w:numFmt w:val="bullet"/>
      <w:lvlText w:val=""/>
      <w:lvlJc w:val="left"/>
      <w:pPr>
        <w:ind w:left="3600" w:hanging="360"/>
      </w:pPr>
      <w:rPr>
        <w:rFonts w:ascii="Symbol" w:hAnsi="Symbol" w:hint="default"/>
      </w:rPr>
    </w:lvl>
    <w:lvl w:ilvl="4" w:tplc="286861B0" w:tentative="1">
      <w:start w:val="1"/>
      <w:numFmt w:val="bullet"/>
      <w:lvlText w:val="o"/>
      <w:lvlJc w:val="left"/>
      <w:pPr>
        <w:ind w:left="4320" w:hanging="360"/>
      </w:pPr>
      <w:rPr>
        <w:rFonts w:ascii="Courier New" w:hAnsi="Courier New" w:cs="Courier New" w:hint="default"/>
      </w:rPr>
    </w:lvl>
    <w:lvl w:ilvl="5" w:tplc="16D42962" w:tentative="1">
      <w:start w:val="1"/>
      <w:numFmt w:val="bullet"/>
      <w:lvlText w:val=""/>
      <w:lvlJc w:val="left"/>
      <w:pPr>
        <w:ind w:left="5040" w:hanging="360"/>
      </w:pPr>
      <w:rPr>
        <w:rFonts w:ascii="Wingdings" w:hAnsi="Wingdings" w:hint="default"/>
      </w:rPr>
    </w:lvl>
    <w:lvl w:ilvl="6" w:tplc="F618A4B2" w:tentative="1">
      <w:start w:val="1"/>
      <w:numFmt w:val="bullet"/>
      <w:lvlText w:val=""/>
      <w:lvlJc w:val="left"/>
      <w:pPr>
        <w:ind w:left="5760" w:hanging="360"/>
      </w:pPr>
      <w:rPr>
        <w:rFonts w:ascii="Symbol" w:hAnsi="Symbol" w:hint="default"/>
      </w:rPr>
    </w:lvl>
    <w:lvl w:ilvl="7" w:tplc="C292E652" w:tentative="1">
      <w:start w:val="1"/>
      <w:numFmt w:val="bullet"/>
      <w:lvlText w:val="o"/>
      <w:lvlJc w:val="left"/>
      <w:pPr>
        <w:ind w:left="6480" w:hanging="360"/>
      </w:pPr>
      <w:rPr>
        <w:rFonts w:ascii="Courier New" w:hAnsi="Courier New" w:cs="Courier New" w:hint="default"/>
      </w:rPr>
    </w:lvl>
    <w:lvl w:ilvl="8" w:tplc="7688DD9A" w:tentative="1">
      <w:start w:val="1"/>
      <w:numFmt w:val="bullet"/>
      <w:lvlText w:val=""/>
      <w:lvlJc w:val="left"/>
      <w:pPr>
        <w:ind w:left="7200" w:hanging="360"/>
      </w:pPr>
      <w:rPr>
        <w:rFonts w:ascii="Wingdings" w:hAnsi="Wingdings" w:hint="default"/>
      </w:rPr>
    </w:lvl>
  </w:abstractNum>
  <w:abstractNum w:abstractNumId="42" w15:restartNumberingAfterBreak="0">
    <w:nsid w:val="4FBE7327"/>
    <w:multiLevelType w:val="hybridMultilevel"/>
    <w:tmpl w:val="B23AF3C6"/>
    <w:lvl w:ilvl="0" w:tplc="9A6CB928">
      <w:start w:val="1"/>
      <w:numFmt w:val="decimal"/>
      <w:lvlText w:val="%1."/>
      <w:lvlJc w:val="left"/>
      <w:pPr>
        <w:ind w:left="720" w:hanging="360"/>
      </w:pPr>
      <w:rPr>
        <w:rFonts w:hint="default"/>
        <w:b/>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5CB0AF0"/>
    <w:multiLevelType w:val="hybridMultilevel"/>
    <w:tmpl w:val="EB98B43A"/>
    <w:lvl w:ilvl="0" w:tplc="91B8EAFC">
      <w:start w:val="1"/>
      <w:numFmt w:val="decimal"/>
      <w:pStyle w:val="LongQuestionPara"/>
      <w:lvlText w:val="%1."/>
      <w:lvlJc w:val="left"/>
      <w:pPr>
        <w:ind w:left="360" w:hanging="360"/>
      </w:pPr>
      <w:rPr>
        <w:rFonts w:hint="default"/>
        <w:b/>
        <w:i w:val="0"/>
        <w:color w:val="000000"/>
        <w:sz w:val="24"/>
      </w:rPr>
    </w:lvl>
    <w:lvl w:ilvl="1" w:tplc="8216185C" w:tentative="1">
      <w:start w:val="1"/>
      <w:numFmt w:val="lowerLetter"/>
      <w:lvlText w:val="%2."/>
      <w:lvlJc w:val="left"/>
      <w:pPr>
        <w:ind w:left="1440" w:hanging="360"/>
      </w:pPr>
    </w:lvl>
    <w:lvl w:ilvl="2" w:tplc="03146BB4" w:tentative="1">
      <w:start w:val="1"/>
      <w:numFmt w:val="lowerRoman"/>
      <w:lvlText w:val="%3."/>
      <w:lvlJc w:val="right"/>
      <w:pPr>
        <w:ind w:left="2160" w:hanging="180"/>
      </w:pPr>
    </w:lvl>
    <w:lvl w:ilvl="3" w:tplc="5600D6D4" w:tentative="1">
      <w:start w:val="1"/>
      <w:numFmt w:val="decimal"/>
      <w:lvlText w:val="%4."/>
      <w:lvlJc w:val="left"/>
      <w:pPr>
        <w:ind w:left="2880" w:hanging="360"/>
      </w:pPr>
    </w:lvl>
    <w:lvl w:ilvl="4" w:tplc="1B0C1520" w:tentative="1">
      <w:start w:val="1"/>
      <w:numFmt w:val="lowerLetter"/>
      <w:lvlText w:val="%5."/>
      <w:lvlJc w:val="left"/>
      <w:pPr>
        <w:ind w:left="3600" w:hanging="360"/>
      </w:pPr>
    </w:lvl>
    <w:lvl w:ilvl="5" w:tplc="DB780CB8" w:tentative="1">
      <w:start w:val="1"/>
      <w:numFmt w:val="lowerRoman"/>
      <w:lvlText w:val="%6."/>
      <w:lvlJc w:val="right"/>
      <w:pPr>
        <w:ind w:left="4320" w:hanging="180"/>
      </w:pPr>
    </w:lvl>
    <w:lvl w:ilvl="6" w:tplc="2E6EB3F4" w:tentative="1">
      <w:start w:val="1"/>
      <w:numFmt w:val="decimal"/>
      <w:lvlText w:val="%7."/>
      <w:lvlJc w:val="left"/>
      <w:pPr>
        <w:ind w:left="5040" w:hanging="360"/>
      </w:pPr>
    </w:lvl>
    <w:lvl w:ilvl="7" w:tplc="314454D4" w:tentative="1">
      <w:start w:val="1"/>
      <w:numFmt w:val="lowerLetter"/>
      <w:lvlText w:val="%8."/>
      <w:lvlJc w:val="left"/>
      <w:pPr>
        <w:ind w:left="5760" w:hanging="360"/>
      </w:pPr>
    </w:lvl>
    <w:lvl w:ilvl="8" w:tplc="C55AAD54" w:tentative="1">
      <w:start w:val="1"/>
      <w:numFmt w:val="lowerRoman"/>
      <w:lvlText w:val="%9."/>
      <w:lvlJc w:val="right"/>
      <w:pPr>
        <w:ind w:left="6480" w:hanging="180"/>
      </w:pPr>
    </w:lvl>
  </w:abstractNum>
  <w:abstractNum w:abstractNumId="44" w15:restartNumberingAfterBreak="0">
    <w:nsid w:val="5FBC6DB9"/>
    <w:multiLevelType w:val="hybridMultilevel"/>
    <w:tmpl w:val="594C4DAE"/>
    <w:lvl w:ilvl="0" w:tplc="80C2FE88">
      <w:start w:val="1"/>
      <w:numFmt w:val="bullet"/>
      <w:pStyle w:val="Bullet4"/>
      <w:lvlText w:val=""/>
      <w:lvlJc w:val="left"/>
      <w:pPr>
        <w:tabs>
          <w:tab w:val="num" w:pos="2676"/>
        </w:tabs>
        <w:ind w:left="2676" w:hanging="357"/>
      </w:pPr>
      <w:rPr>
        <w:rFonts w:ascii="Symbol" w:hAnsi="Symbol" w:hint="default"/>
      </w:rPr>
    </w:lvl>
    <w:lvl w:ilvl="1" w:tplc="2FF432B2" w:tentative="1">
      <w:start w:val="1"/>
      <w:numFmt w:val="bullet"/>
      <w:lvlText w:val="o"/>
      <w:lvlJc w:val="left"/>
      <w:pPr>
        <w:tabs>
          <w:tab w:val="num" w:pos="1440"/>
        </w:tabs>
        <w:ind w:left="1440" w:hanging="360"/>
      </w:pPr>
      <w:rPr>
        <w:rFonts w:ascii="Courier New" w:hAnsi="Courier New" w:cs="Courier New" w:hint="default"/>
      </w:rPr>
    </w:lvl>
    <w:lvl w:ilvl="2" w:tplc="2E06F36A" w:tentative="1">
      <w:start w:val="1"/>
      <w:numFmt w:val="bullet"/>
      <w:lvlText w:val=""/>
      <w:lvlJc w:val="left"/>
      <w:pPr>
        <w:tabs>
          <w:tab w:val="num" w:pos="2160"/>
        </w:tabs>
        <w:ind w:left="2160" w:hanging="360"/>
      </w:pPr>
      <w:rPr>
        <w:rFonts w:ascii="Wingdings" w:hAnsi="Wingdings" w:hint="default"/>
      </w:rPr>
    </w:lvl>
    <w:lvl w:ilvl="3" w:tplc="E084BF3C" w:tentative="1">
      <w:start w:val="1"/>
      <w:numFmt w:val="bullet"/>
      <w:lvlText w:val=""/>
      <w:lvlJc w:val="left"/>
      <w:pPr>
        <w:tabs>
          <w:tab w:val="num" w:pos="2880"/>
        </w:tabs>
        <w:ind w:left="2880" w:hanging="360"/>
      </w:pPr>
      <w:rPr>
        <w:rFonts w:ascii="Symbol" w:hAnsi="Symbol" w:hint="default"/>
      </w:rPr>
    </w:lvl>
    <w:lvl w:ilvl="4" w:tplc="13EA393E" w:tentative="1">
      <w:start w:val="1"/>
      <w:numFmt w:val="bullet"/>
      <w:lvlText w:val="o"/>
      <w:lvlJc w:val="left"/>
      <w:pPr>
        <w:tabs>
          <w:tab w:val="num" w:pos="3600"/>
        </w:tabs>
        <w:ind w:left="3600" w:hanging="360"/>
      </w:pPr>
      <w:rPr>
        <w:rFonts w:ascii="Courier New" w:hAnsi="Courier New" w:cs="Courier New" w:hint="default"/>
      </w:rPr>
    </w:lvl>
    <w:lvl w:ilvl="5" w:tplc="5ADCFB66" w:tentative="1">
      <w:start w:val="1"/>
      <w:numFmt w:val="bullet"/>
      <w:lvlText w:val=""/>
      <w:lvlJc w:val="left"/>
      <w:pPr>
        <w:tabs>
          <w:tab w:val="num" w:pos="4320"/>
        </w:tabs>
        <w:ind w:left="4320" w:hanging="360"/>
      </w:pPr>
      <w:rPr>
        <w:rFonts w:ascii="Wingdings" w:hAnsi="Wingdings" w:hint="default"/>
      </w:rPr>
    </w:lvl>
    <w:lvl w:ilvl="6" w:tplc="06A2D9BC" w:tentative="1">
      <w:start w:val="1"/>
      <w:numFmt w:val="bullet"/>
      <w:lvlText w:val=""/>
      <w:lvlJc w:val="left"/>
      <w:pPr>
        <w:tabs>
          <w:tab w:val="num" w:pos="5040"/>
        </w:tabs>
        <w:ind w:left="5040" w:hanging="360"/>
      </w:pPr>
      <w:rPr>
        <w:rFonts w:ascii="Symbol" w:hAnsi="Symbol" w:hint="default"/>
      </w:rPr>
    </w:lvl>
    <w:lvl w:ilvl="7" w:tplc="B7082F52" w:tentative="1">
      <w:start w:val="1"/>
      <w:numFmt w:val="bullet"/>
      <w:lvlText w:val="o"/>
      <w:lvlJc w:val="left"/>
      <w:pPr>
        <w:tabs>
          <w:tab w:val="num" w:pos="5760"/>
        </w:tabs>
        <w:ind w:left="5760" w:hanging="360"/>
      </w:pPr>
      <w:rPr>
        <w:rFonts w:ascii="Courier New" w:hAnsi="Courier New" w:cs="Courier New" w:hint="default"/>
      </w:rPr>
    </w:lvl>
    <w:lvl w:ilvl="8" w:tplc="BCF451C8"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1071422"/>
    <w:multiLevelType w:val="hybridMultilevel"/>
    <w:tmpl w:val="59B858D8"/>
    <w:lvl w:ilvl="0" w:tplc="FADC69A4">
      <w:start w:val="1"/>
      <w:numFmt w:val="bullet"/>
      <w:pStyle w:val="ClauseBullet1"/>
      <w:lvlText w:val=""/>
      <w:lvlJc w:val="left"/>
      <w:pPr>
        <w:ind w:left="1080" w:hanging="360"/>
      </w:pPr>
      <w:rPr>
        <w:rFonts w:ascii="Symbol" w:hAnsi="Symbol" w:hint="default"/>
        <w:color w:val="000000"/>
      </w:rPr>
    </w:lvl>
    <w:lvl w:ilvl="1" w:tplc="31D6315C" w:tentative="1">
      <w:start w:val="1"/>
      <w:numFmt w:val="bullet"/>
      <w:lvlText w:val="o"/>
      <w:lvlJc w:val="left"/>
      <w:pPr>
        <w:ind w:left="1800" w:hanging="360"/>
      </w:pPr>
      <w:rPr>
        <w:rFonts w:ascii="Courier New" w:hAnsi="Courier New" w:cs="Courier New" w:hint="default"/>
      </w:rPr>
    </w:lvl>
    <w:lvl w:ilvl="2" w:tplc="0B18F022" w:tentative="1">
      <w:start w:val="1"/>
      <w:numFmt w:val="bullet"/>
      <w:lvlText w:val=""/>
      <w:lvlJc w:val="left"/>
      <w:pPr>
        <w:ind w:left="2520" w:hanging="360"/>
      </w:pPr>
      <w:rPr>
        <w:rFonts w:ascii="Wingdings" w:hAnsi="Wingdings" w:hint="default"/>
      </w:rPr>
    </w:lvl>
    <w:lvl w:ilvl="3" w:tplc="F8C406AC" w:tentative="1">
      <w:start w:val="1"/>
      <w:numFmt w:val="bullet"/>
      <w:lvlText w:val=""/>
      <w:lvlJc w:val="left"/>
      <w:pPr>
        <w:ind w:left="3240" w:hanging="360"/>
      </w:pPr>
      <w:rPr>
        <w:rFonts w:ascii="Symbol" w:hAnsi="Symbol" w:hint="default"/>
      </w:rPr>
    </w:lvl>
    <w:lvl w:ilvl="4" w:tplc="4AD07B7E" w:tentative="1">
      <w:start w:val="1"/>
      <w:numFmt w:val="bullet"/>
      <w:lvlText w:val="o"/>
      <w:lvlJc w:val="left"/>
      <w:pPr>
        <w:ind w:left="3960" w:hanging="360"/>
      </w:pPr>
      <w:rPr>
        <w:rFonts w:ascii="Courier New" w:hAnsi="Courier New" w:cs="Courier New" w:hint="default"/>
      </w:rPr>
    </w:lvl>
    <w:lvl w:ilvl="5" w:tplc="F6EA00C2" w:tentative="1">
      <w:start w:val="1"/>
      <w:numFmt w:val="bullet"/>
      <w:lvlText w:val=""/>
      <w:lvlJc w:val="left"/>
      <w:pPr>
        <w:ind w:left="4680" w:hanging="360"/>
      </w:pPr>
      <w:rPr>
        <w:rFonts w:ascii="Wingdings" w:hAnsi="Wingdings" w:hint="default"/>
      </w:rPr>
    </w:lvl>
    <w:lvl w:ilvl="6" w:tplc="548ABA24" w:tentative="1">
      <w:start w:val="1"/>
      <w:numFmt w:val="bullet"/>
      <w:lvlText w:val=""/>
      <w:lvlJc w:val="left"/>
      <w:pPr>
        <w:ind w:left="5400" w:hanging="360"/>
      </w:pPr>
      <w:rPr>
        <w:rFonts w:ascii="Symbol" w:hAnsi="Symbol" w:hint="default"/>
      </w:rPr>
    </w:lvl>
    <w:lvl w:ilvl="7" w:tplc="685C1E0C" w:tentative="1">
      <w:start w:val="1"/>
      <w:numFmt w:val="bullet"/>
      <w:lvlText w:val="o"/>
      <w:lvlJc w:val="left"/>
      <w:pPr>
        <w:ind w:left="6120" w:hanging="360"/>
      </w:pPr>
      <w:rPr>
        <w:rFonts w:ascii="Courier New" w:hAnsi="Courier New" w:cs="Courier New" w:hint="default"/>
      </w:rPr>
    </w:lvl>
    <w:lvl w:ilvl="8" w:tplc="0EF88756" w:tentative="1">
      <w:start w:val="1"/>
      <w:numFmt w:val="bullet"/>
      <w:lvlText w:val=""/>
      <w:lvlJc w:val="left"/>
      <w:pPr>
        <w:ind w:left="6840" w:hanging="360"/>
      </w:pPr>
      <w:rPr>
        <w:rFonts w:ascii="Wingdings" w:hAnsi="Wingdings" w:hint="default"/>
      </w:rPr>
    </w:lvl>
  </w:abstractNum>
  <w:abstractNum w:abstractNumId="46" w15:restartNumberingAfterBreak="0">
    <w:nsid w:val="642371CD"/>
    <w:multiLevelType w:val="hybridMultilevel"/>
    <w:tmpl w:val="3B76A654"/>
    <w:lvl w:ilvl="0" w:tplc="12BABE20">
      <w:start w:val="1"/>
      <w:numFmt w:val="bullet"/>
      <w:pStyle w:val="subclause3Bullet2"/>
      <w:lvlText w:val=""/>
      <w:lvlJc w:val="left"/>
      <w:pPr>
        <w:ind w:left="3748" w:hanging="360"/>
      </w:pPr>
      <w:rPr>
        <w:rFonts w:ascii="Symbol" w:hAnsi="Symbol" w:hint="default"/>
        <w:color w:val="000000"/>
      </w:rPr>
    </w:lvl>
    <w:lvl w:ilvl="1" w:tplc="4CE0B062" w:tentative="1">
      <w:start w:val="1"/>
      <w:numFmt w:val="bullet"/>
      <w:lvlText w:val="o"/>
      <w:lvlJc w:val="left"/>
      <w:pPr>
        <w:ind w:left="4468" w:hanging="360"/>
      </w:pPr>
      <w:rPr>
        <w:rFonts w:ascii="Courier New" w:hAnsi="Courier New" w:cs="Courier New" w:hint="default"/>
      </w:rPr>
    </w:lvl>
    <w:lvl w:ilvl="2" w:tplc="29F4DD32" w:tentative="1">
      <w:start w:val="1"/>
      <w:numFmt w:val="bullet"/>
      <w:lvlText w:val=""/>
      <w:lvlJc w:val="left"/>
      <w:pPr>
        <w:ind w:left="5188" w:hanging="360"/>
      </w:pPr>
      <w:rPr>
        <w:rFonts w:ascii="Wingdings" w:hAnsi="Wingdings" w:hint="default"/>
      </w:rPr>
    </w:lvl>
    <w:lvl w:ilvl="3" w:tplc="52F26B24" w:tentative="1">
      <w:start w:val="1"/>
      <w:numFmt w:val="bullet"/>
      <w:lvlText w:val=""/>
      <w:lvlJc w:val="left"/>
      <w:pPr>
        <w:ind w:left="5908" w:hanging="360"/>
      </w:pPr>
      <w:rPr>
        <w:rFonts w:ascii="Symbol" w:hAnsi="Symbol" w:hint="default"/>
      </w:rPr>
    </w:lvl>
    <w:lvl w:ilvl="4" w:tplc="D97AD4A4" w:tentative="1">
      <w:start w:val="1"/>
      <w:numFmt w:val="bullet"/>
      <w:lvlText w:val="o"/>
      <w:lvlJc w:val="left"/>
      <w:pPr>
        <w:ind w:left="6628" w:hanging="360"/>
      </w:pPr>
      <w:rPr>
        <w:rFonts w:ascii="Courier New" w:hAnsi="Courier New" w:cs="Courier New" w:hint="default"/>
      </w:rPr>
    </w:lvl>
    <w:lvl w:ilvl="5" w:tplc="4B80CF56" w:tentative="1">
      <w:start w:val="1"/>
      <w:numFmt w:val="bullet"/>
      <w:lvlText w:val=""/>
      <w:lvlJc w:val="left"/>
      <w:pPr>
        <w:ind w:left="7348" w:hanging="360"/>
      </w:pPr>
      <w:rPr>
        <w:rFonts w:ascii="Wingdings" w:hAnsi="Wingdings" w:hint="default"/>
      </w:rPr>
    </w:lvl>
    <w:lvl w:ilvl="6" w:tplc="D0A02AE2" w:tentative="1">
      <w:start w:val="1"/>
      <w:numFmt w:val="bullet"/>
      <w:lvlText w:val=""/>
      <w:lvlJc w:val="left"/>
      <w:pPr>
        <w:ind w:left="8068" w:hanging="360"/>
      </w:pPr>
      <w:rPr>
        <w:rFonts w:ascii="Symbol" w:hAnsi="Symbol" w:hint="default"/>
      </w:rPr>
    </w:lvl>
    <w:lvl w:ilvl="7" w:tplc="88E653BE" w:tentative="1">
      <w:start w:val="1"/>
      <w:numFmt w:val="bullet"/>
      <w:lvlText w:val="o"/>
      <w:lvlJc w:val="left"/>
      <w:pPr>
        <w:ind w:left="8788" w:hanging="360"/>
      </w:pPr>
      <w:rPr>
        <w:rFonts w:ascii="Courier New" w:hAnsi="Courier New" w:cs="Courier New" w:hint="default"/>
      </w:rPr>
    </w:lvl>
    <w:lvl w:ilvl="8" w:tplc="21809F8A" w:tentative="1">
      <w:start w:val="1"/>
      <w:numFmt w:val="bullet"/>
      <w:lvlText w:val=""/>
      <w:lvlJc w:val="left"/>
      <w:pPr>
        <w:ind w:left="9508" w:hanging="360"/>
      </w:pPr>
      <w:rPr>
        <w:rFonts w:ascii="Wingdings" w:hAnsi="Wingdings" w:hint="default"/>
      </w:rPr>
    </w:lvl>
  </w:abstractNum>
  <w:abstractNum w:abstractNumId="47" w15:restartNumberingAfterBreak="0">
    <w:nsid w:val="667C16A4"/>
    <w:multiLevelType w:val="multilevel"/>
    <w:tmpl w:val="01CC27F2"/>
    <w:lvl w:ilvl="0">
      <w:start w:val="1"/>
      <w:numFmt w:val="decimal"/>
      <w:pStyle w:val="Schedule"/>
      <w:suff w:val="space"/>
      <w:lvlText w:val="Schedule %1"/>
      <w:lvlJc w:val="left"/>
      <w:pPr>
        <w:ind w:left="0" w:firstLine="0"/>
      </w:pPr>
      <w:rPr>
        <w:rFonts w:ascii="Georgia" w:hAnsi="Georgia" w:hint="default"/>
        <w:b/>
        <w:i w:val="0"/>
        <w:caps w:val="0"/>
        <w:sz w:val="20"/>
      </w:rPr>
    </w:lvl>
    <w:lvl w:ilvl="1">
      <w:start w:val="1"/>
      <w:numFmt w:val="decimal"/>
      <w:pStyle w:val="Part"/>
      <w:suff w:val="space"/>
      <w:lvlText w:val="Part %2 "/>
      <w:lvlJc w:val="left"/>
      <w:pPr>
        <w:ind w:left="0" w:firstLine="0"/>
      </w:pPr>
      <w:rPr>
        <w:rFonts w:ascii="Georgia" w:hAnsi="Georgia" w:hint="default"/>
        <w:b/>
        <w:i w:val="0"/>
        <w:caps w:val="0"/>
        <w:sz w:val="20"/>
      </w:rPr>
    </w:lvl>
    <w:lvl w:ilvl="2">
      <w:start w:val="1"/>
      <w:numFmt w:val="decimal"/>
      <w:pStyle w:val="Sch1Heading"/>
      <w:lvlText w:val="%3"/>
      <w:lvlJc w:val="left"/>
      <w:pPr>
        <w:tabs>
          <w:tab w:val="num" w:pos="567"/>
        </w:tabs>
        <w:ind w:left="567" w:hanging="567"/>
      </w:pPr>
      <w:rPr>
        <w:rFonts w:ascii="Georgia" w:hAnsi="Georgia" w:hint="default"/>
        <w:b w:val="0"/>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specVanish w:val="0"/>
      </w:rPr>
    </w:lvl>
    <w:lvl w:ilvl="3">
      <w:start w:val="1"/>
      <w:numFmt w:val="decimal"/>
      <w:pStyle w:val="Sch2Number"/>
      <w:lvlText w:val="%3.%4"/>
      <w:lvlJc w:val="left"/>
      <w:pPr>
        <w:tabs>
          <w:tab w:val="num" w:pos="567"/>
        </w:tabs>
        <w:ind w:left="567" w:hanging="567"/>
      </w:pPr>
      <w:rPr>
        <w:rFonts w:ascii="Georgia" w:hAnsi="Georgia" w:hint="default"/>
        <w:b w:val="0"/>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specVanish w:val="0"/>
      </w:rPr>
    </w:lvl>
    <w:lvl w:ilvl="4">
      <w:start w:val="1"/>
      <w:numFmt w:val="decimal"/>
      <w:pStyle w:val="Sch3Number"/>
      <w:lvlText w:val="%3.%4.%5"/>
      <w:lvlJc w:val="left"/>
      <w:pPr>
        <w:tabs>
          <w:tab w:val="num" w:pos="1247"/>
        </w:tabs>
        <w:ind w:left="1247" w:hanging="680"/>
      </w:pPr>
      <w:rPr>
        <w:rFonts w:ascii="Georgia" w:hAnsi="Georgia" w:hint="default"/>
        <w:b w:val="0"/>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specVanish w:val="0"/>
      </w:rPr>
    </w:lvl>
    <w:lvl w:ilvl="5">
      <w:start w:val="1"/>
      <w:numFmt w:val="lowerLetter"/>
      <w:pStyle w:val="Sch4Number"/>
      <w:lvlText w:val="(%6)"/>
      <w:lvlJc w:val="left"/>
      <w:pPr>
        <w:tabs>
          <w:tab w:val="num" w:pos="1247"/>
        </w:tabs>
        <w:ind w:left="1673" w:hanging="42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rPr>
    </w:lvl>
    <w:lvl w:ilvl="6">
      <w:start w:val="1"/>
      <w:numFmt w:val="lowerRoman"/>
      <w:pStyle w:val="Sch5Number"/>
      <w:lvlText w:val="(%7)"/>
      <w:lvlJc w:val="left"/>
      <w:pPr>
        <w:tabs>
          <w:tab w:val="num" w:pos="1673"/>
        </w:tabs>
        <w:ind w:left="1673" w:hanging="426"/>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48"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6B10A2D6"/>
    <w:multiLevelType w:val="multilevel"/>
    <w:tmpl w:val="AB2EB4A6"/>
    <w:lvl w:ilvl="0">
      <w:start w:val="1"/>
      <w:numFmt w:val="upperLetter"/>
      <w:pStyle w:val="Appendix"/>
      <w:suff w:val="space"/>
      <w:lvlText w:val="Appendix %1 —"/>
      <w:lvlJc w:val="left"/>
      <w:pPr>
        <w:ind w:left="0" w:firstLine="0"/>
      </w:pPr>
      <w:rPr>
        <w:rFonts w:ascii="Georgia" w:hAnsi="Georgia" w:hint="default"/>
        <w:b/>
        <w:i w:val="0"/>
        <w:sz w:val="20"/>
      </w:rPr>
    </w:lvl>
    <w:lvl w:ilvl="1">
      <w:start w:val="1"/>
      <w:numFmt w:val="decimal"/>
      <w:pStyle w:val="App1Number"/>
      <w:lvlText w:val="%2"/>
      <w:lvlJc w:val="left"/>
      <w:pPr>
        <w:tabs>
          <w:tab w:val="num" w:pos="567"/>
        </w:tabs>
        <w:ind w:left="567" w:hanging="567"/>
      </w:pPr>
      <w:rPr>
        <w:rFonts w:ascii="Georgia" w:hAnsi="Georgia" w:hint="default"/>
        <w:b w:val="0"/>
        <w:sz w:val="20"/>
      </w:rPr>
    </w:lvl>
    <w:lvl w:ilvl="2">
      <w:start w:val="1"/>
      <w:numFmt w:val="decimal"/>
      <w:pStyle w:val="App2Number"/>
      <w:lvlText w:val="%3.%2"/>
      <w:lvlJc w:val="left"/>
      <w:pPr>
        <w:tabs>
          <w:tab w:val="num" w:pos="567"/>
        </w:tabs>
        <w:ind w:left="567" w:hanging="567"/>
      </w:pPr>
      <w:rPr>
        <w:rFonts w:ascii="Georgia" w:hAnsi="Georgia" w:hint="default"/>
        <w:b w:val="0"/>
        <w:sz w:val="20"/>
      </w:rPr>
    </w:lvl>
    <w:lvl w:ilvl="3">
      <w:start w:val="1"/>
      <w:numFmt w:val="decimal"/>
      <w:pStyle w:val="App3Number"/>
      <w:lvlText w:val="%2.%3.%4"/>
      <w:lvlJc w:val="left"/>
      <w:pPr>
        <w:tabs>
          <w:tab w:val="num" w:pos="1247"/>
        </w:tabs>
        <w:ind w:left="1247" w:hanging="680"/>
      </w:pPr>
      <w:rPr>
        <w:rFonts w:ascii="Georgia" w:hAnsi="Georgia" w:hint="default"/>
        <w:b w:val="0"/>
        <w:sz w:val="20"/>
      </w:rPr>
    </w:lvl>
    <w:lvl w:ilvl="4">
      <w:start w:val="1"/>
      <w:numFmt w:val="lowerLetter"/>
      <w:pStyle w:val="App4Number"/>
      <w:lvlText w:val="(%5)"/>
      <w:lvlJc w:val="left"/>
      <w:pPr>
        <w:tabs>
          <w:tab w:val="num" w:pos="1673"/>
        </w:tabs>
        <w:ind w:left="1673" w:hanging="426"/>
      </w:pPr>
      <w:rPr>
        <w:rFonts w:ascii="Georgia" w:hAnsi="Georgia" w:hint="default"/>
        <w:b w:val="0"/>
        <w:sz w:val="18"/>
      </w:rPr>
    </w:lvl>
    <w:lvl w:ilvl="5">
      <w:start w:val="1"/>
      <w:numFmt w:val="lowerRoman"/>
      <w:pStyle w:val="App5Number"/>
      <w:lvlText w:val="(%6)"/>
      <w:lvlJc w:val="left"/>
      <w:pPr>
        <w:tabs>
          <w:tab w:val="num" w:pos="1673"/>
        </w:tabs>
        <w:ind w:left="1673" w:hanging="426"/>
      </w:pPr>
      <w:rPr>
        <w:rFonts w:ascii="Georgia" w:hAnsi="Georgia" w:hint="default"/>
        <w:b w:val="0"/>
        <w:sz w:val="18"/>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0" w15:restartNumberingAfterBreak="0">
    <w:nsid w:val="752D5986"/>
    <w:multiLevelType w:val="hybridMultilevel"/>
    <w:tmpl w:val="0F164240"/>
    <w:lvl w:ilvl="0" w:tplc="910C22C4">
      <w:start w:val="1"/>
      <w:numFmt w:val="bullet"/>
      <w:pStyle w:val="Bullet5"/>
      <w:lvlText w:val=""/>
      <w:lvlJc w:val="left"/>
      <w:pPr>
        <w:tabs>
          <w:tab w:val="num" w:pos="3385"/>
        </w:tabs>
        <w:ind w:left="3385" w:hanging="357"/>
      </w:pPr>
      <w:rPr>
        <w:rFonts w:ascii="Symbol" w:hAnsi="Symbol" w:hint="default"/>
      </w:rPr>
    </w:lvl>
    <w:lvl w:ilvl="1" w:tplc="2A7418F2" w:tentative="1">
      <w:start w:val="1"/>
      <w:numFmt w:val="bullet"/>
      <w:lvlText w:val="o"/>
      <w:lvlJc w:val="left"/>
      <w:pPr>
        <w:tabs>
          <w:tab w:val="num" w:pos="1440"/>
        </w:tabs>
        <w:ind w:left="1440" w:hanging="360"/>
      </w:pPr>
      <w:rPr>
        <w:rFonts w:ascii="Courier New" w:hAnsi="Courier New" w:cs="Courier New" w:hint="default"/>
      </w:rPr>
    </w:lvl>
    <w:lvl w:ilvl="2" w:tplc="70ACDBC2" w:tentative="1">
      <w:start w:val="1"/>
      <w:numFmt w:val="bullet"/>
      <w:lvlText w:val=""/>
      <w:lvlJc w:val="left"/>
      <w:pPr>
        <w:tabs>
          <w:tab w:val="num" w:pos="2160"/>
        </w:tabs>
        <w:ind w:left="2160" w:hanging="360"/>
      </w:pPr>
      <w:rPr>
        <w:rFonts w:ascii="Wingdings" w:hAnsi="Wingdings" w:hint="default"/>
      </w:rPr>
    </w:lvl>
    <w:lvl w:ilvl="3" w:tplc="2004900C" w:tentative="1">
      <w:start w:val="1"/>
      <w:numFmt w:val="bullet"/>
      <w:lvlText w:val=""/>
      <w:lvlJc w:val="left"/>
      <w:pPr>
        <w:tabs>
          <w:tab w:val="num" w:pos="2880"/>
        </w:tabs>
        <w:ind w:left="2880" w:hanging="360"/>
      </w:pPr>
      <w:rPr>
        <w:rFonts w:ascii="Symbol" w:hAnsi="Symbol" w:hint="default"/>
      </w:rPr>
    </w:lvl>
    <w:lvl w:ilvl="4" w:tplc="A53A1858" w:tentative="1">
      <w:start w:val="1"/>
      <w:numFmt w:val="bullet"/>
      <w:lvlText w:val="o"/>
      <w:lvlJc w:val="left"/>
      <w:pPr>
        <w:tabs>
          <w:tab w:val="num" w:pos="3600"/>
        </w:tabs>
        <w:ind w:left="3600" w:hanging="360"/>
      </w:pPr>
      <w:rPr>
        <w:rFonts w:ascii="Courier New" w:hAnsi="Courier New" w:cs="Courier New" w:hint="default"/>
      </w:rPr>
    </w:lvl>
    <w:lvl w:ilvl="5" w:tplc="25BCEF62" w:tentative="1">
      <w:start w:val="1"/>
      <w:numFmt w:val="bullet"/>
      <w:lvlText w:val=""/>
      <w:lvlJc w:val="left"/>
      <w:pPr>
        <w:tabs>
          <w:tab w:val="num" w:pos="4320"/>
        </w:tabs>
        <w:ind w:left="4320" w:hanging="360"/>
      </w:pPr>
      <w:rPr>
        <w:rFonts w:ascii="Wingdings" w:hAnsi="Wingdings" w:hint="default"/>
      </w:rPr>
    </w:lvl>
    <w:lvl w:ilvl="6" w:tplc="37D06EF0" w:tentative="1">
      <w:start w:val="1"/>
      <w:numFmt w:val="bullet"/>
      <w:lvlText w:val=""/>
      <w:lvlJc w:val="left"/>
      <w:pPr>
        <w:tabs>
          <w:tab w:val="num" w:pos="5040"/>
        </w:tabs>
        <w:ind w:left="5040" w:hanging="360"/>
      </w:pPr>
      <w:rPr>
        <w:rFonts w:ascii="Symbol" w:hAnsi="Symbol" w:hint="default"/>
      </w:rPr>
    </w:lvl>
    <w:lvl w:ilvl="7" w:tplc="671278D8" w:tentative="1">
      <w:start w:val="1"/>
      <w:numFmt w:val="bullet"/>
      <w:lvlText w:val="o"/>
      <w:lvlJc w:val="left"/>
      <w:pPr>
        <w:tabs>
          <w:tab w:val="num" w:pos="5760"/>
        </w:tabs>
        <w:ind w:left="5760" w:hanging="360"/>
      </w:pPr>
      <w:rPr>
        <w:rFonts w:ascii="Courier New" w:hAnsi="Courier New" w:cs="Courier New" w:hint="default"/>
      </w:rPr>
    </w:lvl>
    <w:lvl w:ilvl="8" w:tplc="85FC7D6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DB56451"/>
    <w:multiLevelType w:val="multilevel"/>
    <w:tmpl w:val="7DB56451"/>
    <w:styleLink w:val="ScheduleListStyle"/>
    <w:lvl w:ilvl="0">
      <w:start w:val="1"/>
      <w:numFmt w:val="decimal"/>
      <w:lvlText w:val="Schedule %1"/>
      <w:lvlJc w:val="left"/>
      <w:pPr>
        <w:tabs>
          <w:tab w:val="num" w:pos="0"/>
        </w:tabs>
        <w:ind w:left="360" w:hanging="360"/>
      </w:pPr>
      <w:rPr>
        <w:rFonts w:hint="default"/>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52" w15:restartNumberingAfterBreak="0">
    <w:nsid w:val="7DB56453"/>
    <w:multiLevelType w:val="multilevel"/>
    <w:tmpl w:val="7DB56451"/>
    <w:numStyleLink w:val="ScheduleListStyle"/>
  </w:abstractNum>
  <w:num w:numId="1" w16cid:durableId="1737628167">
    <w:abstractNumId w:val="24"/>
  </w:num>
  <w:num w:numId="2" w16cid:durableId="1723750652">
    <w:abstractNumId w:val="34"/>
  </w:num>
  <w:num w:numId="3" w16cid:durableId="994451450">
    <w:abstractNumId w:val="28"/>
  </w:num>
  <w:num w:numId="4" w16cid:durableId="2137526973">
    <w:abstractNumId w:val="26"/>
  </w:num>
  <w:num w:numId="5" w16cid:durableId="681051770">
    <w:abstractNumId w:val="43"/>
  </w:num>
  <w:num w:numId="6" w16cid:durableId="96757711">
    <w:abstractNumId w:val="45"/>
  </w:num>
  <w:num w:numId="7" w16cid:durableId="1930843293">
    <w:abstractNumId w:val="35"/>
  </w:num>
  <w:num w:numId="8" w16cid:durableId="255405807">
    <w:abstractNumId w:val="41"/>
  </w:num>
  <w:num w:numId="9" w16cid:durableId="1224482130">
    <w:abstractNumId w:val="38"/>
  </w:num>
  <w:num w:numId="10" w16cid:durableId="1063527963">
    <w:abstractNumId w:val="40"/>
  </w:num>
  <w:num w:numId="11" w16cid:durableId="2102528010">
    <w:abstractNumId w:val="37"/>
  </w:num>
  <w:num w:numId="12" w16cid:durableId="1496452181">
    <w:abstractNumId w:val="30"/>
  </w:num>
  <w:num w:numId="13" w16cid:durableId="2035112545">
    <w:abstractNumId w:val="46"/>
  </w:num>
  <w:num w:numId="14" w16cid:durableId="1917783148">
    <w:abstractNumId w:val="12"/>
  </w:num>
  <w:num w:numId="15" w16cid:durableId="1965116631">
    <w:abstractNumId w:val="17"/>
  </w:num>
  <w:num w:numId="16" w16cid:durableId="117918644">
    <w:abstractNumId w:val="11"/>
  </w:num>
  <w:num w:numId="17" w16cid:durableId="17420928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83820098">
    <w:abstractNumId w:val="48"/>
  </w:num>
  <w:num w:numId="19" w16cid:durableId="1472747644">
    <w:abstractNumId w:val="25"/>
  </w:num>
  <w:num w:numId="20" w16cid:durableId="2362821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51453776">
    <w:abstractNumId w:val="51"/>
  </w:num>
  <w:num w:numId="22" w16cid:durableId="1205556945">
    <w:abstractNumId w:val="52"/>
  </w:num>
  <w:num w:numId="23" w16cid:durableId="529029153">
    <w:abstractNumId w:val="49"/>
  </w:num>
  <w:num w:numId="24" w16cid:durableId="1792240513">
    <w:abstractNumId w:val="19"/>
  </w:num>
  <w:num w:numId="25" w16cid:durableId="1873574067">
    <w:abstractNumId w:val="27"/>
  </w:num>
  <w:num w:numId="26" w16cid:durableId="1371999086">
    <w:abstractNumId w:val="20"/>
  </w:num>
  <w:num w:numId="27" w16cid:durableId="264385979">
    <w:abstractNumId w:val="13"/>
  </w:num>
  <w:num w:numId="28" w16cid:durableId="955254501">
    <w:abstractNumId w:val="44"/>
  </w:num>
  <w:num w:numId="29" w16cid:durableId="1533034364">
    <w:abstractNumId w:val="50"/>
  </w:num>
  <w:num w:numId="30" w16cid:durableId="1628701587">
    <w:abstractNumId w:val="33"/>
  </w:num>
  <w:num w:numId="31" w16cid:durableId="1937404070">
    <w:abstractNumId w:val="29"/>
  </w:num>
  <w:num w:numId="32" w16cid:durableId="1622951353">
    <w:abstractNumId w:val="10"/>
  </w:num>
  <w:num w:numId="33" w16cid:durableId="312025713">
    <w:abstractNumId w:val="36"/>
  </w:num>
  <w:num w:numId="34" w16cid:durableId="758064046">
    <w:abstractNumId w:val="39"/>
  </w:num>
  <w:num w:numId="35" w16cid:durableId="2012904844">
    <w:abstractNumId w:val="22"/>
  </w:num>
  <w:num w:numId="36" w16cid:durableId="502208357">
    <w:abstractNumId w:val="47"/>
  </w:num>
  <w:num w:numId="37" w16cid:durableId="467286524">
    <w:abstractNumId w:val="23"/>
  </w:num>
  <w:num w:numId="38" w16cid:durableId="575748902">
    <w:abstractNumId w:val="16"/>
  </w:num>
  <w:num w:numId="39" w16cid:durableId="1891457573">
    <w:abstractNumId w:val="9"/>
  </w:num>
  <w:num w:numId="40" w16cid:durableId="1934165603">
    <w:abstractNumId w:val="7"/>
  </w:num>
  <w:num w:numId="41" w16cid:durableId="2031879164">
    <w:abstractNumId w:val="6"/>
  </w:num>
  <w:num w:numId="42" w16cid:durableId="1463502557">
    <w:abstractNumId w:val="5"/>
  </w:num>
  <w:num w:numId="43" w16cid:durableId="122621880">
    <w:abstractNumId w:val="4"/>
  </w:num>
  <w:num w:numId="44" w16cid:durableId="381100223">
    <w:abstractNumId w:val="8"/>
  </w:num>
  <w:num w:numId="45" w16cid:durableId="1019814652">
    <w:abstractNumId w:val="3"/>
  </w:num>
  <w:num w:numId="46" w16cid:durableId="909539805">
    <w:abstractNumId w:val="2"/>
  </w:num>
  <w:num w:numId="47" w16cid:durableId="709842268">
    <w:abstractNumId w:val="1"/>
  </w:num>
  <w:num w:numId="48" w16cid:durableId="1102534663">
    <w:abstractNumId w:val="0"/>
  </w:num>
  <w:num w:numId="49" w16cid:durableId="726340005">
    <w:abstractNumId w:val="14"/>
  </w:num>
  <w:num w:numId="50" w16cid:durableId="823162682">
    <w:abstractNumId w:val="31"/>
  </w:num>
  <w:num w:numId="51" w16cid:durableId="1145505805">
    <w:abstractNumId w:val="32"/>
  </w:num>
  <w:num w:numId="52" w16cid:durableId="1405951955">
    <w:abstractNumId w:val="21"/>
  </w:num>
  <w:num w:numId="53" w16cid:durableId="840853938">
    <w:abstractNumId w:val="18"/>
  </w:num>
  <w:num w:numId="54" w16cid:durableId="3453331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404109076">
    <w:abstractNumId w:val="41"/>
  </w:num>
  <w:num w:numId="56" w16cid:durableId="21445830">
    <w:abstractNumId w:val="41"/>
  </w:num>
  <w:num w:numId="57" w16cid:durableId="17102537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6699656">
    <w:abstractNumId w:val="47"/>
  </w:num>
  <w:num w:numId="59" w16cid:durableId="1107701820">
    <w:abstractNumId w:val="47"/>
  </w:num>
  <w:num w:numId="60" w16cid:durableId="433474934">
    <w:abstractNumId w:val="47"/>
  </w:num>
  <w:num w:numId="61" w16cid:durableId="1299922353">
    <w:abstractNumId w:val="17"/>
  </w:num>
  <w:num w:numId="62" w16cid:durableId="331490052">
    <w:abstractNumId w:val="17"/>
  </w:num>
  <w:num w:numId="63" w16cid:durableId="1865633711">
    <w:abstractNumId w:val="47"/>
    <w:lvlOverride w:ilvl="0">
      <w:startOverride w:val="1"/>
    </w:lvlOverride>
    <w:lvlOverride w:ilvl="1">
      <w:startOverride w:val="1"/>
    </w:lvlOverride>
    <w:lvlOverride w:ilvl="2">
      <w:startOverride w:val="2"/>
    </w:lvlOverride>
    <w:lvlOverride w:ilvl="3">
      <w:startOverride w:val="1"/>
    </w:lvlOverride>
  </w:num>
  <w:num w:numId="64" w16cid:durableId="1739595885">
    <w:abstractNumId w:val="47"/>
    <w:lvlOverride w:ilvl="0">
      <w:startOverride w:val="1"/>
    </w:lvlOverride>
    <w:lvlOverride w:ilvl="1">
      <w:startOverride w:val="1"/>
    </w:lvlOverride>
    <w:lvlOverride w:ilvl="2">
      <w:startOverride w:val="2"/>
    </w:lvlOverride>
    <w:lvlOverride w:ilvl="3">
      <w:startOverride w:val="1"/>
    </w:lvlOverride>
  </w:num>
  <w:num w:numId="65" w16cid:durableId="1054423312">
    <w:abstractNumId w:val="17"/>
  </w:num>
  <w:num w:numId="66" w16cid:durableId="659114349">
    <w:abstractNumId w:val="47"/>
    <w:lvlOverride w:ilvl="0">
      <w:startOverride w:val="1"/>
    </w:lvlOverride>
    <w:lvlOverride w:ilvl="1">
      <w:startOverride w:val="1"/>
    </w:lvlOverride>
    <w:lvlOverride w:ilvl="2">
      <w:startOverride w:val="2"/>
    </w:lvlOverride>
    <w:lvlOverride w:ilvl="3">
      <w:startOverride w:val="1"/>
    </w:lvlOverride>
  </w:num>
  <w:num w:numId="67" w16cid:durableId="10129965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9251882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140099365">
    <w:abstractNumId w:val="15"/>
  </w:num>
  <w:num w:numId="70" w16cid:durableId="192311835">
    <w:abstractNumId w:val="4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PartsVariable" w:val="&lt;docParts&gt;_x000d__x000a_  &lt;Precedent&gt;agreement&lt;/Precedent&gt;_x000d__x000a_  &lt;Operative&gt;paragraph&lt;/Operative&gt;_x000d__x000a_  &lt;TemplateType&gt;null&lt;/TemplateType&gt;_x000d__x000a_  &lt;SignaturePageBreakType&gt;Yes without message&lt;/SignaturePageBreakType&gt;_x000d__x000a_&lt;/docParts&gt;"/>
    <w:docVar w:name="gentXMLPartID" w:val="{422B8BA5-8FF3-4185-A9CC-289CDF455EA9}"/>
  </w:docVars>
  <w:rsids>
    <w:rsidRoot w:val="00492069"/>
    <w:rsid w:val="00003A38"/>
    <w:rsid w:val="00004F2E"/>
    <w:rsid w:val="000059A7"/>
    <w:rsid w:val="000063B0"/>
    <w:rsid w:val="00006B81"/>
    <w:rsid w:val="00011729"/>
    <w:rsid w:val="00013C9C"/>
    <w:rsid w:val="00015E8D"/>
    <w:rsid w:val="00021515"/>
    <w:rsid w:val="00032C09"/>
    <w:rsid w:val="00040FFD"/>
    <w:rsid w:val="000455E9"/>
    <w:rsid w:val="000458D1"/>
    <w:rsid w:val="00045C26"/>
    <w:rsid w:val="000563BB"/>
    <w:rsid w:val="00060772"/>
    <w:rsid w:val="0006604C"/>
    <w:rsid w:val="0006747C"/>
    <w:rsid w:val="0007165F"/>
    <w:rsid w:val="00072B43"/>
    <w:rsid w:val="000752D4"/>
    <w:rsid w:val="0008286A"/>
    <w:rsid w:val="00083D52"/>
    <w:rsid w:val="00083EEC"/>
    <w:rsid w:val="00087314"/>
    <w:rsid w:val="00090355"/>
    <w:rsid w:val="000905A6"/>
    <w:rsid w:val="000929AB"/>
    <w:rsid w:val="00097738"/>
    <w:rsid w:val="000A0148"/>
    <w:rsid w:val="000A263C"/>
    <w:rsid w:val="000A7B12"/>
    <w:rsid w:val="000B2795"/>
    <w:rsid w:val="000B3176"/>
    <w:rsid w:val="000B5CF8"/>
    <w:rsid w:val="000B5DB7"/>
    <w:rsid w:val="000B79B7"/>
    <w:rsid w:val="000C26CC"/>
    <w:rsid w:val="000C3451"/>
    <w:rsid w:val="000C6557"/>
    <w:rsid w:val="000C6A12"/>
    <w:rsid w:val="000D6C22"/>
    <w:rsid w:val="000E1818"/>
    <w:rsid w:val="000E60D4"/>
    <w:rsid w:val="00101144"/>
    <w:rsid w:val="00103C74"/>
    <w:rsid w:val="001043F0"/>
    <w:rsid w:val="00113515"/>
    <w:rsid w:val="0011468D"/>
    <w:rsid w:val="00115387"/>
    <w:rsid w:val="00123647"/>
    <w:rsid w:val="00123C7A"/>
    <w:rsid w:val="001279AC"/>
    <w:rsid w:val="00132935"/>
    <w:rsid w:val="00133394"/>
    <w:rsid w:val="0013459C"/>
    <w:rsid w:val="00135128"/>
    <w:rsid w:val="00140F19"/>
    <w:rsid w:val="001445FF"/>
    <w:rsid w:val="001473C6"/>
    <w:rsid w:val="00150692"/>
    <w:rsid w:val="00151996"/>
    <w:rsid w:val="001525A0"/>
    <w:rsid w:val="00153998"/>
    <w:rsid w:val="00154B1C"/>
    <w:rsid w:val="00154D49"/>
    <w:rsid w:val="00156A86"/>
    <w:rsid w:val="00156D8B"/>
    <w:rsid w:val="001574BD"/>
    <w:rsid w:val="00162053"/>
    <w:rsid w:val="00170567"/>
    <w:rsid w:val="00175078"/>
    <w:rsid w:val="00177157"/>
    <w:rsid w:val="001809A8"/>
    <w:rsid w:val="00180A39"/>
    <w:rsid w:val="00186930"/>
    <w:rsid w:val="00187463"/>
    <w:rsid w:val="00187C8B"/>
    <w:rsid w:val="001915A7"/>
    <w:rsid w:val="00193ABB"/>
    <w:rsid w:val="00193C09"/>
    <w:rsid w:val="001945BC"/>
    <w:rsid w:val="001A2729"/>
    <w:rsid w:val="001A5700"/>
    <w:rsid w:val="001B0C58"/>
    <w:rsid w:val="001B107F"/>
    <w:rsid w:val="001B38B8"/>
    <w:rsid w:val="001B3B9F"/>
    <w:rsid w:val="001B3F49"/>
    <w:rsid w:val="001B5B28"/>
    <w:rsid w:val="001B63DC"/>
    <w:rsid w:val="001B7056"/>
    <w:rsid w:val="001C0BD3"/>
    <w:rsid w:val="001C1D09"/>
    <w:rsid w:val="001C3061"/>
    <w:rsid w:val="001C6CF8"/>
    <w:rsid w:val="001D1A66"/>
    <w:rsid w:val="001E19DE"/>
    <w:rsid w:val="001E7026"/>
    <w:rsid w:val="001E79CC"/>
    <w:rsid w:val="001F097D"/>
    <w:rsid w:val="001F17A6"/>
    <w:rsid w:val="001F3F25"/>
    <w:rsid w:val="001F497D"/>
    <w:rsid w:val="0020233D"/>
    <w:rsid w:val="002044F9"/>
    <w:rsid w:val="00214972"/>
    <w:rsid w:val="00216641"/>
    <w:rsid w:val="0022237C"/>
    <w:rsid w:val="00223628"/>
    <w:rsid w:val="0022448E"/>
    <w:rsid w:val="00224900"/>
    <w:rsid w:val="00226AFC"/>
    <w:rsid w:val="00227A8C"/>
    <w:rsid w:val="002304BB"/>
    <w:rsid w:val="00231054"/>
    <w:rsid w:val="0023150E"/>
    <w:rsid w:val="00235EED"/>
    <w:rsid w:val="00236EFF"/>
    <w:rsid w:val="00245E1D"/>
    <w:rsid w:val="00246D05"/>
    <w:rsid w:val="00247301"/>
    <w:rsid w:val="00250697"/>
    <w:rsid w:val="00254F31"/>
    <w:rsid w:val="00255DD5"/>
    <w:rsid w:val="00257A58"/>
    <w:rsid w:val="00257E2C"/>
    <w:rsid w:val="0026161E"/>
    <w:rsid w:val="0026163E"/>
    <w:rsid w:val="00263603"/>
    <w:rsid w:val="00264102"/>
    <w:rsid w:val="00264B56"/>
    <w:rsid w:val="00266B59"/>
    <w:rsid w:val="002677E9"/>
    <w:rsid w:val="00267D24"/>
    <w:rsid w:val="00271930"/>
    <w:rsid w:val="00273153"/>
    <w:rsid w:val="002738AF"/>
    <w:rsid w:val="00282721"/>
    <w:rsid w:val="00283A05"/>
    <w:rsid w:val="00283D88"/>
    <w:rsid w:val="00284799"/>
    <w:rsid w:val="00290F3A"/>
    <w:rsid w:val="002972A3"/>
    <w:rsid w:val="002A0A24"/>
    <w:rsid w:val="002A17E7"/>
    <w:rsid w:val="002A3A57"/>
    <w:rsid w:val="002A6B9D"/>
    <w:rsid w:val="002A70F3"/>
    <w:rsid w:val="002B18FF"/>
    <w:rsid w:val="002B44B3"/>
    <w:rsid w:val="002B58BE"/>
    <w:rsid w:val="002C0261"/>
    <w:rsid w:val="002C3720"/>
    <w:rsid w:val="002C5D2B"/>
    <w:rsid w:val="002C7D90"/>
    <w:rsid w:val="002D4817"/>
    <w:rsid w:val="002D5B34"/>
    <w:rsid w:val="002D6E04"/>
    <w:rsid w:val="002E6B10"/>
    <w:rsid w:val="002E76FD"/>
    <w:rsid w:val="002E7FFB"/>
    <w:rsid w:val="002F1A62"/>
    <w:rsid w:val="002F66B7"/>
    <w:rsid w:val="002F7C15"/>
    <w:rsid w:val="002F7CB4"/>
    <w:rsid w:val="00300050"/>
    <w:rsid w:val="00301415"/>
    <w:rsid w:val="00301D25"/>
    <w:rsid w:val="00302EEC"/>
    <w:rsid w:val="00303CB6"/>
    <w:rsid w:val="003051F4"/>
    <w:rsid w:val="003144BF"/>
    <w:rsid w:val="003218F7"/>
    <w:rsid w:val="00322409"/>
    <w:rsid w:val="00322B3F"/>
    <w:rsid w:val="00324B33"/>
    <w:rsid w:val="00325DB7"/>
    <w:rsid w:val="003320CC"/>
    <w:rsid w:val="00334C54"/>
    <w:rsid w:val="00335741"/>
    <w:rsid w:val="0033709D"/>
    <w:rsid w:val="00337739"/>
    <w:rsid w:val="00341702"/>
    <w:rsid w:val="00342A50"/>
    <w:rsid w:val="003442F3"/>
    <w:rsid w:val="00346F21"/>
    <w:rsid w:val="00350335"/>
    <w:rsid w:val="00350B7F"/>
    <w:rsid w:val="00356839"/>
    <w:rsid w:val="00356C32"/>
    <w:rsid w:val="00362CCE"/>
    <w:rsid w:val="0036301D"/>
    <w:rsid w:val="0036549D"/>
    <w:rsid w:val="003677F6"/>
    <w:rsid w:val="003703AF"/>
    <w:rsid w:val="00371B23"/>
    <w:rsid w:val="0037395B"/>
    <w:rsid w:val="00376554"/>
    <w:rsid w:val="00380A0F"/>
    <w:rsid w:val="00384DB3"/>
    <w:rsid w:val="003871FA"/>
    <w:rsid w:val="003908D6"/>
    <w:rsid w:val="00392AA8"/>
    <w:rsid w:val="00392FAD"/>
    <w:rsid w:val="0039491B"/>
    <w:rsid w:val="00395979"/>
    <w:rsid w:val="003A12E5"/>
    <w:rsid w:val="003A7404"/>
    <w:rsid w:val="003A7D62"/>
    <w:rsid w:val="003B1C82"/>
    <w:rsid w:val="003B2666"/>
    <w:rsid w:val="003B2EF8"/>
    <w:rsid w:val="003B3476"/>
    <w:rsid w:val="003B4303"/>
    <w:rsid w:val="003B524E"/>
    <w:rsid w:val="003B6086"/>
    <w:rsid w:val="003B68CF"/>
    <w:rsid w:val="003C144E"/>
    <w:rsid w:val="003C3430"/>
    <w:rsid w:val="003C4BE2"/>
    <w:rsid w:val="003D1971"/>
    <w:rsid w:val="003D2664"/>
    <w:rsid w:val="003D764D"/>
    <w:rsid w:val="003E5109"/>
    <w:rsid w:val="003E658A"/>
    <w:rsid w:val="003E7CB6"/>
    <w:rsid w:val="003E7FFD"/>
    <w:rsid w:val="003F017F"/>
    <w:rsid w:val="003F54C1"/>
    <w:rsid w:val="003F5847"/>
    <w:rsid w:val="0040083C"/>
    <w:rsid w:val="00402F40"/>
    <w:rsid w:val="00404247"/>
    <w:rsid w:val="00406F66"/>
    <w:rsid w:val="0041281A"/>
    <w:rsid w:val="00412E21"/>
    <w:rsid w:val="00413ADD"/>
    <w:rsid w:val="00413F2E"/>
    <w:rsid w:val="0041458D"/>
    <w:rsid w:val="00415AC9"/>
    <w:rsid w:val="0041692C"/>
    <w:rsid w:val="00416F9C"/>
    <w:rsid w:val="00423C6B"/>
    <w:rsid w:val="0042660F"/>
    <w:rsid w:val="00427399"/>
    <w:rsid w:val="00427AA2"/>
    <w:rsid w:val="00431E17"/>
    <w:rsid w:val="0043419E"/>
    <w:rsid w:val="0044085B"/>
    <w:rsid w:val="0044090E"/>
    <w:rsid w:val="00443A82"/>
    <w:rsid w:val="00452B0A"/>
    <w:rsid w:val="00464796"/>
    <w:rsid w:val="00467047"/>
    <w:rsid w:val="004705FD"/>
    <w:rsid w:val="00473810"/>
    <w:rsid w:val="004741DC"/>
    <w:rsid w:val="004768A3"/>
    <w:rsid w:val="00480A81"/>
    <w:rsid w:val="00481BBD"/>
    <w:rsid w:val="00483A93"/>
    <w:rsid w:val="004841B0"/>
    <w:rsid w:val="004843BB"/>
    <w:rsid w:val="00485FB9"/>
    <w:rsid w:val="00487BCE"/>
    <w:rsid w:val="0049111E"/>
    <w:rsid w:val="00492069"/>
    <w:rsid w:val="00492210"/>
    <w:rsid w:val="00492D77"/>
    <w:rsid w:val="00493242"/>
    <w:rsid w:val="00494877"/>
    <w:rsid w:val="004948BF"/>
    <w:rsid w:val="004963F5"/>
    <w:rsid w:val="004A0451"/>
    <w:rsid w:val="004A1BF1"/>
    <w:rsid w:val="004A4078"/>
    <w:rsid w:val="004A4A3D"/>
    <w:rsid w:val="004A6BA9"/>
    <w:rsid w:val="004A7786"/>
    <w:rsid w:val="004B1F1A"/>
    <w:rsid w:val="004B21EB"/>
    <w:rsid w:val="004B7409"/>
    <w:rsid w:val="004B78DA"/>
    <w:rsid w:val="004C0006"/>
    <w:rsid w:val="004C27A5"/>
    <w:rsid w:val="004C7C31"/>
    <w:rsid w:val="004D435E"/>
    <w:rsid w:val="004D5A16"/>
    <w:rsid w:val="004E0D27"/>
    <w:rsid w:val="004E3A5D"/>
    <w:rsid w:val="004E4658"/>
    <w:rsid w:val="004E5BE2"/>
    <w:rsid w:val="004F0235"/>
    <w:rsid w:val="004F0BF1"/>
    <w:rsid w:val="004F2AD2"/>
    <w:rsid w:val="004F4BB2"/>
    <w:rsid w:val="004F72ED"/>
    <w:rsid w:val="0050065E"/>
    <w:rsid w:val="005062A8"/>
    <w:rsid w:val="005109C3"/>
    <w:rsid w:val="00516488"/>
    <w:rsid w:val="00516A4A"/>
    <w:rsid w:val="00517517"/>
    <w:rsid w:val="0052189C"/>
    <w:rsid w:val="005225D6"/>
    <w:rsid w:val="00526CBE"/>
    <w:rsid w:val="00527887"/>
    <w:rsid w:val="00531604"/>
    <w:rsid w:val="00531842"/>
    <w:rsid w:val="00542750"/>
    <w:rsid w:val="00542C06"/>
    <w:rsid w:val="00544671"/>
    <w:rsid w:val="005446C3"/>
    <w:rsid w:val="0055027F"/>
    <w:rsid w:val="00554392"/>
    <w:rsid w:val="00556295"/>
    <w:rsid w:val="00556588"/>
    <w:rsid w:val="00556926"/>
    <w:rsid w:val="00557236"/>
    <w:rsid w:val="005610F1"/>
    <w:rsid w:val="00561B2B"/>
    <w:rsid w:val="00561B3A"/>
    <w:rsid w:val="00562D94"/>
    <w:rsid w:val="00563292"/>
    <w:rsid w:val="00563317"/>
    <w:rsid w:val="0056680E"/>
    <w:rsid w:val="005719B4"/>
    <w:rsid w:val="00574BA1"/>
    <w:rsid w:val="00576BF4"/>
    <w:rsid w:val="00580A65"/>
    <w:rsid w:val="0058357F"/>
    <w:rsid w:val="00585C9D"/>
    <w:rsid w:val="00585D10"/>
    <w:rsid w:val="0058707B"/>
    <w:rsid w:val="00587246"/>
    <w:rsid w:val="00587B7D"/>
    <w:rsid w:val="00591924"/>
    <w:rsid w:val="00594F8F"/>
    <w:rsid w:val="00596837"/>
    <w:rsid w:val="0059795C"/>
    <w:rsid w:val="005A0B6D"/>
    <w:rsid w:val="005A2C3D"/>
    <w:rsid w:val="005A2D44"/>
    <w:rsid w:val="005A3825"/>
    <w:rsid w:val="005A6400"/>
    <w:rsid w:val="005B234D"/>
    <w:rsid w:val="005B2521"/>
    <w:rsid w:val="005B6109"/>
    <w:rsid w:val="005B75E7"/>
    <w:rsid w:val="005B7E6D"/>
    <w:rsid w:val="005C72A6"/>
    <w:rsid w:val="005D076A"/>
    <w:rsid w:val="005D1EF1"/>
    <w:rsid w:val="005D3001"/>
    <w:rsid w:val="005D3BD1"/>
    <w:rsid w:val="005D588F"/>
    <w:rsid w:val="005D78A8"/>
    <w:rsid w:val="005E7E42"/>
    <w:rsid w:val="005F1D80"/>
    <w:rsid w:val="005F2B84"/>
    <w:rsid w:val="005F3277"/>
    <w:rsid w:val="005F62CC"/>
    <w:rsid w:val="005F7B09"/>
    <w:rsid w:val="005F7C30"/>
    <w:rsid w:val="006024F4"/>
    <w:rsid w:val="00604424"/>
    <w:rsid w:val="0060602E"/>
    <w:rsid w:val="00606C3A"/>
    <w:rsid w:val="0060750C"/>
    <w:rsid w:val="00611F6A"/>
    <w:rsid w:val="00613AE4"/>
    <w:rsid w:val="00620B34"/>
    <w:rsid w:val="00621D4B"/>
    <w:rsid w:val="00622AC1"/>
    <w:rsid w:val="00623040"/>
    <w:rsid w:val="00623369"/>
    <w:rsid w:val="006247CF"/>
    <w:rsid w:val="00632495"/>
    <w:rsid w:val="00632C92"/>
    <w:rsid w:val="006335BA"/>
    <w:rsid w:val="0063521E"/>
    <w:rsid w:val="0063629A"/>
    <w:rsid w:val="00637513"/>
    <w:rsid w:val="00640CA5"/>
    <w:rsid w:val="00640FBC"/>
    <w:rsid w:val="006418BE"/>
    <w:rsid w:val="00641C3D"/>
    <w:rsid w:val="00644A7B"/>
    <w:rsid w:val="0064579D"/>
    <w:rsid w:val="006468D2"/>
    <w:rsid w:val="00646D9B"/>
    <w:rsid w:val="00646DE2"/>
    <w:rsid w:val="0065186C"/>
    <w:rsid w:val="00652C27"/>
    <w:rsid w:val="00652CDA"/>
    <w:rsid w:val="00655DBB"/>
    <w:rsid w:val="006572B9"/>
    <w:rsid w:val="006573C4"/>
    <w:rsid w:val="0066119A"/>
    <w:rsid w:val="00661B5D"/>
    <w:rsid w:val="00664F35"/>
    <w:rsid w:val="006663BA"/>
    <w:rsid w:val="00667E17"/>
    <w:rsid w:val="00667E6A"/>
    <w:rsid w:val="00671516"/>
    <w:rsid w:val="006722C9"/>
    <w:rsid w:val="006738EC"/>
    <w:rsid w:val="00675E18"/>
    <w:rsid w:val="00676B8E"/>
    <w:rsid w:val="00683D34"/>
    <w:rsid w:val="00686320"/>
    <w:rsid w:val="00686764"/>
    <w:rsid w:val="00690D13"/>
    <w:rsid w:val="00695C47"/>
    <w:rsid w:val="00695F37"/>
    <w:rsid w:val="00696322"/>
    <w:rsid w:val="006A0F41"/>
    <w:rsid w:val="006A32C6"/>
    <w:rsid w:val="006A3AF7"/>
    <w:rsid w:val="006A3D16"/>
    <w:rsid w:val="006A6743"/>
    <w:rsid w:val="006B1B9B"/>
    <w:rsid w:val="006B4F33"/>
    <w:rsid w:val="006B707D"/>
    <w:rsid w:val="006B72F6"/>
    <w:rsid w:val="006B7A33"/>
    <w:rsid w:val="006C05D4"/>
    <w:rsid w:val="006C213D"/>
    <w:rsid w:val="006C60A5"/>
    <w:rsid w:val="006C714C"/>
    <w:rsid w:val="006D2FFB"/>
    <w:rsid w:val="006D5EF1"/>
    <w:rsid w:val="006D6064"/>
    <w:rsid w:val="006D6105"/>
    <w:rsid w:val="006D69DA"/>
    <w:rsid w:val="006E159B"/>
    <w:rsid w:val="006E2101"/>
    <w:rsid w:val="006E50EA"/>
    <w:rsid w:val="006E5E85"/>
    <w:rsid w:val="006E7D8F"/>
    <w:rsid w:val="006F1659"/>
    <w:rsid w:val="006F1F24"/>
    <w:rsid w:val="006F6AF4"/>
    <w:rsid w:val="007010A7"/>
    <w:rsid w:val="0070142B"/>
    <w:rsid w:val="0070277C"/>
    <w:rsid w:val="007109F3"/>
    <w:rsid w:val="007149CD"/>
    <w:rsid w:val="00723676"/>
    <w:rsid w:val="007239BE"/>
    <w:rsid w:val="00724137"/>
    <w:rsid w:val="007247D3"/>
    <w:rsid w:val="00724E66"/>
    <w:rsid w:val="00726452"/>
    <w:rsid w:val="00726AAB"/>
    <w:rsid w:val="00732D2C"/>
    <w:rsid w:val="00741040"/>
    <w:rsid w:val="00747EB5"/>
    <w:rsid w:val="00751A20"/>
    <w:rsid w:val="007533DB"/>
    <w:rsid w:val="007534CE"/>
    <w:rsid w:val="00753CB4"/>
    <w:rsid w:val="00755B41"/>
    <w:rsid w:val="00756B3E"/>
    <w:rsid w:val="007602CC"/>
    <w:rsid w:val="00765A7D"/>
    <w:rsid w:val="00771A34"/>
    <w:rsid w:val="00771CAA"/>
    <w:rsid w:val="007722AD"/>
    <w:rsid w:val="0077369A"/>
    <w:rsid w:val="0077573B"/>
    <w:rsid w:val="00775FDD"/>
    <w:rsid w:val="00776A52"/>
    <w:rsid w:val="00777E89"/>
    <w:rsid w:val="0078115D"/>
    <w:rsid w:val="007905D4"/>
    <w:rsid w:val="00791C83"/>
    <w:rsid w:val="00792B43"/>
    <w:rsid w:val="00794C59"/>
    <w:rsid w:val="00795759"/>
    <w:rsid w:val="007A18B0"/>
    <w:rsid w:val="007A1EAB"/>
    <w:rsid w:val="007A5449"/>
    <w:rsid w:val="007B07D0"/>
    <w:rsid w:val="007B1284"/>
    <w:rsid w:val="007B6E85"/>
    <w:rsid w:val="007B75BB"/>
    <w:rsid w:val="007C1F07"/>
    <w:rsid w:val="007C2C5A"/>
    <w:rsid w:val="007C4B0E"/>
    <w:rsid w:val="007D24B3"/>
    <w:rsid w:val="007D3FF2"/>
    <w:rsid w:val="007D4030"/>
    <w:rsid w:val="007D4C7E"/>
    <w:rsid w:val="007D6433"/>
    <w:rsid w:val="007D7767"/>
    <w:rsid w:val="007E09CE"/>
    <w:rsid w:val="007E1D2A"/>
    <w:rsid w:val="007E3082"/>
    <w:rsid w:val="007E48FB"/>
    <w:rsid w:val="007E613F"/>
    <w:rsid w:val="007E7207"/>
    <w:rsid w:val="007F2B09"/>
    <w:rsid w:val="007F61B5"/>
    <w:rsid w:val="007F7795"/>
    <w:rsid w:val="00800E3B"/>
    <w:rsid w:val="008010E5"/>
    <w:rsid w:val="008069C0"/>
    <w:rsid w:val="0081001B"/>
    <w:rsid w:val="00812298"/>
    <w:rsid w:val="00817981"/>
    <w:rsid w:val="008221C3"/>
    <w:rsid w:val="00824A88"/>
    <w:rsid w:val="00826A97"/>
    <w:rsid w:val="00826C26"/>
    <w:rsid w:val="00834695"/>
    <w:rsid w:val="008357D5"/>
    <w:rsid w:val="00836381"/>
    <w:rsid w:val="00841592"/>
    <w:rsid w:val="008445AB"/>
    <w:rsid w:val="00846581"/>
    <w:rsid w:val="00846661"/>
    <w:rsid w:val="00846D84"/>
    <w:rsid w:val="0085063D"/>
    <w:rsid w:val="008508A0"/>
    <w:rsid w:val="0085467B"/>
    <w:rsid w:val="00854D70"/>
    <w:rsid w:val="008564C3"/>
    <w:rsid w:val="00856E5A"/>
    <w:rsid w:val="00864E1A"/>
    <w:rsid w:val="00865DB6"/>
    <w:rsid w:val="00870C1D"/>
    <w:rsid w:val="00871228"/>
    <w:rsid w:val="00873E66"/>
    <w:rsid w:val="008741E9"/>
    <w:rsid w:val="00874790"/>
    <w:rsid w:val="008750CE"/>
    <w:rsid w:val="00876BE7"/>
    <w:rsid w:val="00890106"/>
    <w:rsid w:val="00891662"/>
    <w:rsid w:val="00893360"/>
    <w:rsid w:val="008938C9"/>
    <w:rsid w:val="00894471"/>
    <w:rsid w:val="008947ED"/>
    <w:rsid w:val="008A2FCB"/>
    <w:rsid w:val="008A4B75"/>
    <w:rsid w:val="008A5A92"/>
    <w:rsid w:val="008A5E94"/>
    <w:rsid w:val="008A75F1"/>
    <w:rsid w:val="008B139D"/>
    <w:rsid w:val="008B521C"/>
    <w:rsid w:val="008C7104"/>
    <w:rsid w:val="008D12A2"/>
    <w:rsid w:val="008D549C"/>
    <w:rsid w:val="008D5B2A"/>
    <w:rsid w:val="008E1341"/>
    <w:rsid w:val="008E2B25"/>
    <w:rsid w:val="008E51E6"/>
    <w:rsid w:val="008F0096"/>
    <w:rsid w:val="008F153F"/>
    <w:rsid w:val="008F33CD"/>
    <w:rsid w:val="008F68F2"/>
    <w:rsid w:val="009014FF"/>
    <w:rsid w:val="00901FC3"/>
    <w:rsid w:val="00902ED6"/>
    <w:rsid w:val="0090587F"/>
    <w:rsid w:val="00922A30"/>
    <w:rsid w:val="00926CDD"/>
    <w:rsid w:val="009338F3"/>
    <w:rsid w:val="00934C2C"/>
    <w:rsid w:val="009358CE"/>
    <w:rsid w:val="0094369E"/>
    <w:rsid w:val="009455C5"/>
    <w:rsid w:val="009458DD"/>
    <w:rsid w:val="0094607B"/>
    <w:rsid w:val="009464EC"/>
    <w:rsid w:val="00946EE6"/>
    <w:rsid w:val="00947EFF"/>
    <w:rsid w:val="00952772"/>
    <w:rsid w:val="00954147"/>
    <w:rsid w:val="00954F0F"/>
    <w:rsid w:val="009554CD"/>
    <w:rsid w:val="00955D98"/>
    <w:rsid w:val="009617E8"/>
    <w:rsid w:val="00963FF6"/>
    <w:rsid w:val="00967499"/>
    <w:rsid w:val="00970730"/>
    <w:rsid w:val="00971C2E"/>
    <w:rsid w:val="00974EC2"/>
    <w:rsid w:val="00977D8C"/>
    <w:rsid w:val="0098586C"/>
    <w:rsid w:val="00986105"/>
    <w:rsid w:val="00987BA7"/>
    <w:rsid w:val="009A0AB2"/>
    <w:rsid w:val="009A331C"/>
    <w:rsid w:val="009A45C4"/>
    <w:rsid w:val="009A600F"/>
    <w:rsid w:val="009B15CE"/>
    <w:rsid w:val="009B2408"/>
    <w:rsid w:val="009B6796"/>
    <w:rsid w:val="009C5BC5"/>
    <w:rsid w:val="009D102B"/>
    <w:rsid w:val="009D20E9"/>
    <w:rsid w:val="009D210C"/>
    <w:rsid w:val="009D308D"/>
    <w:rsid w:val="009D3361"/>
    <w:rsid w:val="009E04E5"/>
    <w:rsid w:val="009E307D"/>
    <w:rsid w:val="009E79A2"/>
    <w:rsid w:val="009F08AF"/>
    <w:rsid w:val="009F1432"/>
    <w:rsid w:val="009F3067"/>
    <w:rsid w:val="009F472B"/>
    <w:rsid w:val="009F50EE"/>
    <w:rsid w:val="00A00532"/>
    <w:rsid w:val="00A00901"/>
    <w:rsid w:val="00A00949"/>
    <w:rsid w:val="00A01C2C"/>
    <w:rsid w:val="00A01C77"/>
    <w:rsid w:val="00A036F6"/>
    <w:rsid w:val="00A0443F"/>
    <w:rsid w:val="00A045CC"/>
    <w:rsid w:val="00A04D3D"/>
    <w:rsid w:val="00A04E15"/>
    <w:rsid w:val="00A0519B"/>
    <w:rsid w:val="00A10CC2"/>
    <w:rsid w:val="00A1442E"/>
    <w:rsid w:val="00A1618B"/>
    <w:rsid w:val="00A16511"/>
    <w:rsid w:val="00A17811"/>
    <w:rsid w:val="00A17EB8"/>
    <w:rsid w:val="00A220F8"/>
    <w:rsid w:val="00A2275D"/>
    <w:rsid w:val="00A2313C"/>
    <w:rsid w:val="00A25694"/>
    <w:rsid w:val="00A31B81"/>
    <w:rsid w:val="00A33097"/>
    <w:rsid w:val="00A35138"/>
    <w:rsid w:val="00A35445"/>
    <w:rsid w:val="00A36BD5"/>
    <w:rsid w:val="00A370E5"/>
    <w:rsid w:val="00A4069B"/>
    <w:rsid w:val="00A406E8"/>
    <w:rsid w:val="00A447F8"/>
    <w:rsid w:val="00A468C9"/>
    <w:rsid w:val="00A47793"/>
    <w:rsid w:val="00A54A43"/>
    <w:rsid w:val="00A55356"/>
    <w:rsid w:val="00A55381"/>
    <w:rsid w:val="00A5681B"/>
    <w:rsid w:val="00A56F2B"/>
    <w:rsid w:val="00A609E3"/>
    <w:rsid w:val="00A62F58"/>
    <w:rsid w:val="00A648DE"/>
    <w:rsid w:val="00A649E0"/>
    <w:rsid w:val="00A6516A"/>
    <w:rsid w:val="00A66C9B"/>
    <w:rsid w:val="00A70BED"/>
    <w:rsid w:val="00A7540C"/>
    <w:rsid w:val="00A84FF8"/>
    <w:rsid w:val="00A8519C"/>
    <w:rsid w:val="00A853DF"/>
    <w:rsid w:val="00A9040F"/>
    <w:rsid w:val="00A926AA"/>
    <w:rsid w:val="00A974CD"/>
    <w:rsid w:val="00AA1E51"/>
    <w:rsid w:val="00AA23E2"/>
    <w:rsid w:val="00AA42B1"/>
    <w:rsid w:val="00AB0889"/>
    <w:rsid w:val="00AB33AF"/>
    <w:rsid w:val="00AB3F51"/>
    <w:rsid w:val="00AB63AC"/>
    <w:rsid w:val="00AC46ED"/>
    <w:rsid w:val="00AC4986"/>
    <w:rsid w:val="00AC6175"/>
    <w:rsid w:val="00AD1DCE"/>
    <w:rsid w:val="00AD4323"/>
    <w:rsid w:val="00AD558F"/>
    <w:rsid w:val="00AD5853"/>
    <w:rsid w:val="00AD72C9"/>
    <w:rsid w:val="00AE001C"/>
    <w:rsid w:val="00AE34BF"/>
    <w:rsid w:val="00AE562D"/>
    <w:rsid w:val="00AE5FCE"/>
    <w:rsid w:val="00AE6B69"/>
    <w:rsid w:val="00AE752B"/>
    <w:rsid w:val="00AF1CD0"/>
    <w:rsid w:val="00AF2170"/>
    <w:rsid w:val="00AF2DCF"/>
    <w:rsid w:val="00AF2DD7"/>
    <w:rsid w:val="00B0277A"/>
    <w:rsid w:val="00B04D60"/>
    <w:rsid w:val="00B10867"/>
    <w:rsid w:val="00B1094B"/>
    <w:rsid w:val="00B11B6E"/>
    <w:rsid w:val="00B12338"/>
    <w:rsid w:val="00B1346C"/>
    <w:rsid w:val="00B17378"/>
    <w:rsid w:val="00B1739A"/>
    <w:rsid w:val="00B2058D"/>
    <w:rsid w:val="00B238E2"/>
    <w:rsid w:val="00B23A61"/>
    <w:rsid w:val="00B325D6"/>
    <w:rsid w:val="00B34497"/>
    <w:rsid w:val="00B36862"/>
    <w:rsid w:val="00B403A2"/>
    <w:rsid w:val="00B41100"/>
    <w:rsid w:val="00B41B95"/>
    <w:rsid w:val="00B42963"/>
    <w:rsid w:val="00B42A54"/>
    <w:rsid w:val="00B44176"/>
    <w:rsid w:val="00B45304"/>
    <w:rsid w:val="00B456FD"/>
    <w:rsid w:val="00B4796D"/>
    <w:rsid w:val="00B504CA"/>
    <w:rsid w:val="00B52C00"/>
    <w:rsid w:val="00B536C4"/>
    <w:rsid w:val="00B60580"/>
    <w:rsid w:val="00B62E0C"/>
    <w:rsid w:val="00B642E0"/>
    <w:rsid w:val="00B6442C"/>
    <w:rsid w:val="00B64ED3"/>
    <w:rsid w:val="00B66765"/>
    <w:rsid w:val="00B67074"/>
    <w:rsid w:val="00B67EF4"/>
    <w:rsid w:val="00B72BFE"/>
    <w:rsid w:val="00B761C5"/>
    <w:rsid w:val="00B77BF0"/>
    <w:rsid w:val="00B80D5D"/>
    <w:rsid w:val="00B850FD"/>
    <w:rsid w:val="00B858CC"/>
    <w:rsid w:val="00B8720D"/>
    <w:rsid w:val="00B93AF2"/>
    <w:rsid w:val="00B94CFB"/>
    <w:rsid w:val="00BA17E3"/>
    <w:rsid w:val="00BA2F1E"/>
    <w:rsid w:val="00BA3942"/>
    <w:rsid w:val="00BA3963"/>
    <w:rsid w:val="00BA61FA"/>
    <w:rsid w:val="00BB651B"/>
    <w:rsid w:val="00BC75E5"/>
    <w:rsid w:val="00BD1B28"/>
    <w:rsid w:val="00BD4FB5"/>
    <w:rsid w:val="00BD7D3E"/>
    <w:rsid w:val="00BE0D02"/>
    <w:rsid w:val="00BF32BF"/>
    <w:rsid w:val="00BF3C10"/>
    <w:rsid w:val="00BF47E1"/>
    <w:rsid w:val="00BF4966"/>
    <w:rsid w:val="00BF5886"/>
    <w:rsid w:val="00C05697"/>
    <w:rsid w:val="00C12514"/>
    <w:rsid w:val="00C14270"/>
    <w:rsid w:val="00C15734"/>
    <w:rsid w:val="00C15E54"/>
    <w:rsid w:val="00C21817"/>
    <w:rsid w:val="00C226D9"/>
    <w:rsid w:val="00C22E94"/>
    <w:rsid w:val="00C3234F"/>
    <w:rsid w:val="00C327E0"/>
    <w:rsid w:val="00C3346A"/>
    <w:rsid w:val="00C355D7"/>
    <w:rsid w:val="00C412BD"/>
    <w:rsid w:val="00C44756"/>
    <w:rsid w:val="00C46869"/>
    <w:rsid w:val="00C50C55"/>
    <w:rsid w:val="00C516B0"/>
    <w:rsid w:val="00C557CE"/>
    <w:rsid w:val="00C57BBE"/>
    <w:rsid w:val="00C6325F"/>
    <w:rsid w:val="00C64EDB"/>
    <w:rsid w:val="00C66F6F"/>
    <w:rsid w:val="00C67D41"/>
    <w:rsid w:val="00C702DD"/>
    <w:rsid w:val="00C7208F"/>
    <w:rsid w:val="00C7708A"/>
    <w:rsid w:val="00C77B2A"/>
    <w:rsid w:val="00C80F90"/>
    <w:rsid w:val="00C810A2"/>
    <w:rsid w:val="00C843DD"/>
    <w:rsid w:val="00C85830"/>
    <w:rsid w:val="00C87E32"/>
    <w:rsid w:val="00C90A2E"/>
    <w:rsid w:val="00C94229"/>
    <w:rsid w:val="00C9573D"/>
    <w:rsid w:val="00C95AFE"/>
    <w:rsid w:val="00CA0376"/>
    <w:rsid w:val="00CA350E"/>
    <w:rsid w:val="00CA7FD3"/>
    <w:rsid w:val="00CB01D4"/>
    <w:rsid w:val="00CB1393"/>
    <w:rsid w:val="00CB3606"/>
    <w:rsid w:val="00CB36D4"/>
    <w:rsid w:val="00CB4F0F"/>
    <w:rsid w:val="00CC294B"/>
    <w:rsid w:val="00CC3B00"/>
    <w:rsid w:val="00CC52C0"/>
    <w:rsid w:val="00CC5438"/>
    <w:rsid w:val="00CC78DE"/>
    <w:rsid w:val="00CD079E"/>
    <w:rsid w:val="00CD08E7"/>
    <w:rsid w:val="00CD2EAD"/>
    <w:rsid w:val="00CD500E"/>
    <w:rsid w:val="00CE233A"/>
    <w:rsid w:val="00CE4321"/>
    <w:rsid w:val="00CE4A69"/>
    <w:rsid w:val="00CE51E8"/>
    <w:rsid w:val="00CE6309"/>
    <w:rsid w:val="00CF10E4"/>
    <w:rsid w:val="00CF313B"/>
    <w:rsid w:val="00CF42E0"/>
    <w:rsid w:val="00CF6962"/>
    <w:rsid w:val="00D006C0"/>
    <w:rsid w:val="00D02F5F"/>
    <w:rsid w:val="00D03921"/>
    <w:rsid w:val="00D03BB7"/>
    <w:rsid w:val="00D04FA5"/>
    <w:rsid w:val="00D061B9"/>
    <w:rsid w:val="00D06231"/>
    <w:rsid w:val="00D10CF8"/>
    <w:rsid w:val="00D1256C"/>
    <w:rsid w:val="00D12B2B"/>
    <w:rsid w:val="00D14FC8"/>
    <w:rsid w:val="00D160CA"/>
    <w:rsid w:val="00D174E6"/>
    <w:rsid w:val="00D20CED"/>
    <w:rsid w:val="00D21A6F"/>
    <w:rsid w:val="00D2557E"/>
    <w:rsid w:val="00D25F6A"/>
    <w:rsid w:val="00D26706"/>
    <w:rsid w:val="00D27B70"/>
    <w:rsid w:val="00D30E08"/>
    <w:rsid w:val="00D30E94"/>
    <w:rsid w:val="00D3377D"/>
    <w:rsid w:val="00D34E23"/>
    <w:rsid w:val="00D3577D"/>
    <w:rsid w:val="00D35D52"/>
    <w:rsid w:val="00D36FBE"/>
    <w:rsid w:val="00D4466B"/>
    <w:rsid w:val="00D500B8"/>
    <w:rsid w:val="00D525E1"/>
    <w:rsid w:val="00D52F58"/>
    <w:rsid w:val="00D54652"/>
    <w:rsid w:val="00D549C5"/>
    <w:rsid w:val="00D616F1"/>
    <w:rsid w:val="00D61F00"/>
    <w:rsid w:val="00D6590C"/>
    <w:rsid w:val="00D66ED0"/>
    <w:rsid w:val="00D67011"/>
    <w:rsid w:val="00D71997"/>
    <w:rsid w:val="00D76E60"/>
    <w:rsid w:val="00D8057A"/>
    <w:rsid w:val="00D80F34"/>
    <w:rsid w:val="00D82165"/>
    <w:rsid w:val="00D824CE"/>
    <w:rsid w:val="00D9263A"/>
    <w:rsid w:val="00D94838"/>
    <w:rsid w:val="00DA0A80"/>
    <w:rsid w:val="00DA3F18"/>
    <w:rsid w:val="00DA3FF7"/>
    <w:rsid w:val="00DA4E71"/>
    <w:rsid w:val="00DA5A98"/>
    <w:rsid w:val="00DA5E9E"/>
    <w:rsid w:val="00DA6E27"/>
    <w:rsid w:val="00DA722C"/>
    <w:rsid w:val="00DB32B0"/>
    <w:rsid w:val="00DB336E"/>
    <w:rsid w:val="00DB405D"/>
    <w:rsid w:val="00DB5A79"/>
    <w:rsid w:val="00DB7ACC"/>
    <w:rsid w:val="00DC0580"/>
    <w:rsid w:val="00DC133C"/>
    <w:rsid w:val="00DC5F7A"/>
    <w:rsid w:val="00DC6080"/>
    <w:rsid w:val="00DD10CA"/>
    <w:rsid w:val="00DD1F85"/>
    <w:rsid w:val="00DD26CD"/>
    <w:rsid w:val="00DD4027"/>
    <w:rsid w:val="00DD54C1"/>
    <w:rsid w:val="00DE13C2"/>
    <w:rsid w:val="00DE5877"/>
    <w:rsid w:val="00DE7A6C"/>
    <w:rsid w:val="00E010B6"/>
    <w:rsid w:val="00E02A2D"/>
    <w:rsid w:val="00E02BE0"/>
    <w:rsid w:val="00E02E0C"/>
    <w:rsid w:val="00E0386B"/>
    <w:rsid w:val="00E05E79"/>
    <w:rsid w:val="00E1471C"/>
    <w:rsid w:val="00E15303"/>
    <w:rsid w:val="00E16284"/>
    <w:rsid w:val="00E16A5A"/>
    <w:rsid w:val="00E22390"/>
    <w:rsid w:val="00E24DE5"/>
    <w:rsid w:val="00E331DA"/>
    <w:rsid w:val="00E33DBE"/>
    <w:rsid w:val="00E34286"/>
    <w:rsid w:val="00E40E1C"/>
    <w:rsid w:val="00E41EEB"/>
    <w:rsid w:val="00E43742"/>
    <w:rsid w:val="00E443CC"/>
    <w:rsid w:val="00E45314"/>
    <w:rsid w:val="00E45422"/>
    <w:rsid w:val="00E46DA6"/>
    <w:rsid w:val="00E46E08"/>
    <w:rsid w:val="00E503B9"/>
    <w:rsid w:val="00E507C1"/>
    <w:rsid w:val="00E6155B"/>
    <w:rsid w:val="00E61BCE"/>
    <w:rsid w:val="00E64849"/>
    <w:rsid w:val="00E71BB8"/>
    <w:rsid w:val="00E73385"/>
    <w:rsid w:val="00E74E47"/>
    <w:rsid w:val="00E75B0C"/>
    <w:rsid w:val="00E7714B"/>
    <w:rsid w:val="00E8096A"/>
    <w:rsid w:val="00E82688"/>
    <w:rsid w:val="00E82841"/>
    <w:rsid w:val="00E841CD"/>
    <w:rsid w:val="00E85321"/>
    <w:rsid w:val="00E868B9"/>
    <w:rsid w:val="00E90F94"/>
    <w:rsid w:val="00E91655"/>
    <w:rsid w:val="00E91E92"/>
    <w:rsid w:val="00E94BF8"/>
    <w:rsid w:val="00E9770C"/>
    <w:rsid w:val="00E97C62"/>
    <w:rsid w:val="00EA0070"/>
    <w:rsid w:val="00EA042E"/>
    <w:rsid w:val="00EA1106"/>
    <w:rsid w:val="00EA1951"/>
    <w:rsid w:val="00EA5FD6"/>
    <w:rsid w:val="00EB3201"/>
    <w:rsid w:val="00EB32E2"/>
    <w:rsid w:val="00EB443E"/>
    <w:rsid w:val="00EC1111"/>
    <w:rsid w:val="00ED2E2B"/>
    <w:rsid w:val="00ED31F2"/>
    <w:rsid w:val="00ED79B6"/>
    <w:rsid w:val="00EE00BD"/>
    <w:rsid w:val="00EE111C"/>
    <w:rsid w:val="00EE3026"/>
    <w:rsid w:val="00EE443D"/>
    <w:rsid w:val="00EE4A0A"/>
    <w:rsid w:val="00EE4DF1"/>
    <w:rsid w:val="00EE5C55"/>
    <w:rsid w:val="00EF0EE9"/>
    <w:rsid w:val="00EF3C68"/>
    <w:rsid w:val="00EF43B5"/>
    <w:rsid w:val="00EF48CA"/>
    <w:rsid w:val="00EF5C3A"/>
    <w:rsid w:val="00EF6BBA"/>
    <w:rsid w:val="00EF724D"/>
    <w:rsid w:val="00F026FE"/>
    <w:rsid w:val="00F041CC"/>
    <w:rsid w:val="00F044D0"/>
    <w:rsid w:val="00F056CE"/>
    <w:rsid w:val="00F104CD"/>
    <w:rsid w:val="00F1342F"/>
    <w:rsid w:val="00F146DE"/>
    <w:rsid w:val="00F15E26"/>
    <w:rsid w:val="00F17E64"/>
    <w:rsid w:val="00F21E0F"/>
    <w:rsid w:val="00F2377E"/>
    <w:rsid w:val="00F249A9"/>
    <w:rsid w:val="00F2675E"/>
    <w:rsid w:val="00F27AC4"/>
    <w:rsid w:val="00F31853"/>
    <w:rsid w:val="00F32FC1"/>
    <w:rsid w:val="00F35DAE"/>
    <w:rsid w:val="00F37C1B"/>
    <w:rsid w:val="00F41372"/>
    <w:rsid w:val="00F41A4A"/>
    <w:rsid w:val="00F41DBE"/>
    <w:rsid w:val="00F4242A"/>
    <w:rsid w:val="00F42BC9"/>
    <w:rsid w:val="00F43832"/>
    <w:rsid w:val="00F450D4"/>
    <w:rsid w:val="00F458AE"/>
    <w:rsid w:val="00F505BF"/>
    <w:rsid w:val="00F52CE2"/>
    <w:rsid w:val="00F57AD6"/>
    <w:rsid w:val="00F60E87"/>
    <w:rsid w:val="00F63C00"/>
    <w:rsid w:val="00F660D7"/>
    <w:rsid w:val="00F6619F"/>
    <w:rsid w:val="00F662FF"/>
    <w:rsid w:val="00F67A81"/>
    <w:rsid w:val="00F751F1"/>
    <w:rsid w:val="00F81D4B"/>
    <w:rsid w:val="00F83038"/>
    <w:rsid w:val="00F92FBB"/>
    <w:rsid w:val="00F93491"/>
    <w:rsid w:val="00F94C2F"/>
    <w:rsid w:val="00F95772"/>
    <w:rsid w:val="00F964BF"/>
    <w:rsid w:val="00F968F8"/>
    <w:rsid w:val="00FA4323"/>
    <w:rsid w:val="00FB1465"/>
    <w:rsid w:val="00FB5B35"/>
    <w:rsid w:val="00FB6444"/>
    <w:rsid w:val="00FB6B29"/>
    <w:rsid w:val="00FB7E80"/>
    <w:rsid w:val="00FC13DB"/>
    <w:rsid w:val="00FC31CD"/>
    <w:rsid w:val="00FC7D9D"/>
    <w:rsid w:val="00FD00D3"/>
    <w:rsid w:val="00FD1F8B"/>
    <w:rsid w:val="00FD2886"/>
    <w:rsid w:val="00FD2F8A"/>
    <w:rsid w:val="00FD77B6"/>
    <w:rsid w:val="00FE316A"/>
    <w:rsid w:val="00FE55BE"/>
    <w:rsid w:val="00FF0BEE"/>
    <w:rsid w:val="00FF1DC9"/>
    <w:rsid w:val="00FF45CC"/>
    <w:rsid w:val="00FF4861"/>
    <w:rsid w:val="00FF6192"/>
    <w:rsid w:val="11C44D14"/>
    <w:rsid w:val="362E9A97"/>
    <w:rsid w:val="553ADF21"/>
    <w:rsid w:val="59ABAEA8"/>
    <w:rsid w:val="60654993"/>
    <w:rsid w:val="6FF105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00A18"/>
  <w15:docId w15:val="{A7B00BEC-B88D-4E7B-9835-3DC2C444D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6839"/>
    <w:pPr>
      <w:spacing w:after="160" w:line="278" w:lineRule="auto"/>
    </w:pPr>
    <w:rPr>
      <w:rFonts w:eastAsiaTheme="minorHAnsi"/>
      <w:kern w:val="2"/>
      <w:sz w:val="24"/>
      <w:szCs w:val="24"/>
      <w:lang w:eastAsia="en-US"/>
      <w14:ligatures w14:val="standardContextual"/>
    </w:rPr>
  </w:style>
  <w:style w:type="paragraph" w:styleId="Heading1">
    <w:name w:val="heading 1"/>
    <w:basedOn w:val="Normal"/>
    <w:link w:val="Heading1Char"/>
    <w:rsid w:val="003B68CF"/>
    <w:pPr>
      <w:keepNext/>
      <w:numPr>
        <w:numId w:val="33"/>
      </w:numPr>
      <w:spacing w:before="120" w:after="240"/>
      <w:outlineLvl w:val="0"/>
    </w:pPr>
    <w:rPr>
      <w:b/>
    </w:rPr>
  </w:style>
  <w:style w:type="paragraph" w:styleId="Heading2">
    <w:name w:val="heading 2"/>
    <w:basedOn w:val="BodyText"/>
    <w:link w:val="Heading2Char"/>
    <w:rsid w:val="003B68CF"/>
    <w:pPr>
      <w:numPr>
        <w:ilvl w:val="1"/>
        <w:numId w:val="33"/>
      </w:numPr>
      <w:spacing w:before="210"/>
      <w:contextualSpacing/>
      <w:outlineLvl w:val="1"/>
    </w:pPr>
    <w:rPr>
      <w:color w:val="000000"/>
    </w:rPr>
  </w:style>
  <w:style w:type="paragraph" w:styleId="Heading3">
    <w:name w:val="heading 3"/>
    <w:basedOn w:val="BodyText"/>
    <w:link w:val="Heading3Char"/>
    <w:rsid w:val="003B68CF"/>
    <w:pPr>
      <w:numPr>
        <w:ilvl w:val="2"/>
        <w:numId w:val="33"/>
      </w:numPr>
      <w:outlineLvl w:val="2"/>
    </w:pPr>
  </w:style>
  <w:style w:type="paragraph" w:styleId="Heading4">
    <w:name w:val="heading 4"/>
    <w:basedOn w:val="BodyText"/>
    <w:link w:val="Heading4Char"/>
    <w:rsid w:val="003B68CF"/>
    <w:pPr>
      <w:numPr>
        <w:ilvl w:val="3"/>
        <w:numId w:val="33"/>
      </w:numPr>
      <w:outlineLvl w:val="3"/>
    </w:pPr>
  </w:style>
  <w:style w:type="paragraph" w:styleId="Heading5">
    <w:name w:val="heading 5"/>
    <w:basedOn w:val="BodyText"/>
    <w:link w:val="Heading5Char"/>
    <w:rsid w:val="003B68CF"/>
    <w:pPr>
      <w:numPr>
        <w:ilvl w:val="4"/>
        <w:numId w:val="33"/>
      </w:numPr>
      <w:outlineLvl w:val="4"/>
    </w:pPr>
  </w:style>
  <w:style w:type="paragraph" w:styleId="Heading6">
    <w:name w:val="heading 6"/>
    <w:basedOn w:val="Normal"/>
    <w:next w:val="Normal"/>
    <w:link w:val="Heading6Char"/>
    <w:autoRedefine/>
    <w:rsid w:val="003B68CF"/>
    <w:pPr>
      <w:keepNext/>
      <w:numPr>
        <w:ilvl w:val="5"/>
        <w:numId w:val="33"/>
      </w:numPr>
      <w:spacing w:after="210"/>
      <w:outlineLvl w:val="5"/>
    </w:pPr>
  </w:style>
  <w:style w:type="paragraph" w:styleId="Heading7">
    <w:name w:val="heading 7"/>
    <w:basedOn w:val="Normal"/>
    <w:next w:val="Normal"/>
    <w:link w:val="Heading7Char"/>
    <w:rsid w:val="003B68CF"/>
    <w:pPr>
      <w:keepNext/>
      <w:numPr>
        <w:ilvl w:val="6"/>
        <w:numId w:val="33"/>
      </w:numPr>
      <w:spacing w:after="210"/>
      <w:outlineLvl w:val="6"/>
    </w:pPr>
    <w:rPr>
      <w:b/>
      <w:smallCaps/>
      <w:color w:val="000000"/>
    </w:rPr>
  </w:style>
  <w:style w:type="paragraph" w:styleId="Heading8">
    <w:name w:val="heading 8"/>
    <w:basedOn w:val="BodyText"/>
    <w:next w:val="Normal"/>
    <w:link w:val="Heading8Char"/>
    <w:autoRedefine/>
    <w:rsid w:val="003B68CF"/>
    <w:pPr>
      <w:keepNext/>
      <w:pageBreakBefore/>
      <w:numPr>
        <w:ilvl w:val="7"/>
        <w:numId w:val="33"/>
      </w:numPr>
      <w:pBdr>
        <w:bottom w:val="single" w:sz="4" w:space="1" w:color="auto"/>
      </w:pBdr>
      <w:outlineLvl w:val="7"/>
    </w:pPr>
    <w:rPr>
      <w:b/>
    </w:rPr>
  </w:style>
  <w:style w:type="paragraph" w:styleId="Heading9">
    <w:name w:val="heading 9"/>
    <w:basedOn w:val="Normal"/>
    <w:next w:val="Normal"/>
    <w:link w:val="Heading9Char"/>
    <w:rsid w:val="003B68CF"/>
    <w:pPr>
      <w:numPr>
        <w:ilvl w:val="8"/>
        <w:numId w:val="33"/>
      </w:num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rsid w:val="0035683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56839"/>
  </w:style>
  <w:style w:type="paragraph" w:customStyle="1" w:styleId="Abstract">
    <w:name w:val="Abstract"/>
    <w:link w:val="AbstractChar"/>
    <w:rsid w:val="00C503F6"/>
    <w:pPr>
      <w:spacing w:after="120" w:line="240" w:lineRule="auto"/>
    </w:pPr>
    <w:rPr>
      <w:rFonts w:ascii="Arial" w:eastAsia="Arial Unicode MS" w:hAnsi="Arial" w:cs="Arial"/>
      <w:color w:val="000000"/>
      <w:sz w:val="24"/>
      <w:szCs w:val="24"/>
      <w:lang w:val="en-US" w:eastAsia="en-US"/>
    </w:rPr>
  </w:style>
  <w:style w:type="character" w:customStyle="1" w:styleId="AbstractChar">
    <w:name w:val="Abstract Char"/>
    <w:link w:val="Abstract"/>
    <w:rsid w:val="00C503F6"/>
    <w:rPr>
      <w:rFonts w:ascii="Arial" w:eastAsia="Arial Unicode MS" w:hAnsi="Arial" w:cs="Arial"/>
      <w:color w:val="000000"/>
      <w:sz w:val="24"/>
      <w:szCs w:val="24"/>
      <w:lang w:val="en-US" w:eastAsia="en-US"/>
    </w:rPr>
  </w:style>
  <w:style w:type="paragraph" w:customStyle="1" w:styleId="Annex">
    <w:name w:val="Annex"/>
    <w:basedOn w:val="Paragraph"/>
    <w:next w:val="Paragraph"/>
    <w:qFormat/>
    <w:rsid w:val="00C503F6"/>
    <w:pPr>
      <w:numPr>
        <w:numId w:val="4"/>
      </w:numPr>
      <w:spacing w:before="240" w:after="240"/>
      <w:ind w:left="0" w:firstLine="0"/>
    </w:pPr>
    <w:rPr>
      <w:b/>
    </w:rPr>
  </w:style>
  <w:style w:type="paragraph" w:customStyle="1" w:styleId="AuthoringGroup">
    <w:name w:val="Authoring Group"/>
    <w:link w:val="AuthoringGroupChar"/>
    <w:rsid w:val="00C503F6"/>
    <w:pPr>
      <w:spacing w:after="120" w:line="240" w:lineRule="auto"/>
    </w:pPr>
    <w:rPr>
      <w:rFonts w:ascii="Arial" w:eastAsia="Arial Unicode MS" w:hAnsi="Arial" w:cs="Arial"/>
      <w:color w:val="000000"/>
      <w:sz w:val="24"/>
      <w:lang w:val="en-US" w:eastAsia="en-US"/>
    </w:rPr>
  </w:style>
  <w:style w:type="character" w:customStyle="1" w:styleId="AuthoringGroupChar">
    <w:name w:val="Authoring Group Char"/>
    <w:link w:val="AuthoringGroup"/>
    <w:rsid w:val="00C503F6"/>
    <w:rPr>
      <w:rFonts w:ascii="Arial" w:eastAsia="Arial Unicode MS" w:hAnsi="Arial" w:cs="Arial"/>
      <w:color w:val="000000"/>
      <w:sz w:val="24"/>
      <w:lang w:val="en-US" w:eastAsia="en-US"/>
    </w:rPr>
  </w:style>
  <w:style w:type="paragraph" w:customStyle="1" w:styleId="Background">
    <w:name w:val="Background"/>
    <w:aliases w:val="(A) Background"/>
    <w:basedOn w:val="BodyText"/>
    <w:rsid w:val="003B68CF"/>
    <w:pPr>
      <w:numPr>
        <w:numId w:val="24"/>
      </w:numPr>
      <w:spacing w:before="120"/>
    </w:pPr>
  </w:style>
  <w:style w:type="paragraph" w:customStyle="1" w:styleId="BulletList1">
    <w:name w:val="Bullet List 1"/>
    <w:aliases w:val="Bullet1"/>
    <w:basedOn w:val="BodyText"/>
    <w:rsid w:val="003B68CF"/>
    <w:pPr>
      <w:numPr>
        <w:numId w:val="26"/>
      </w:numPr>
    </w:pPr>
  </w:style>
  <w:style w:type="paragraph" w:customStyle="1" w:styleId="BulletList2">
    <w:name w:val="Bullet List 2"/>
    <w:aliases w:val="Bullet2"/>
    <w:basedOn w:val="Normal"/>
    <w:rsid w:val="003B68CF"/>
    <w:pPr>
      <w:numPr>
        <w:ilvl w:val="1"/>
        <w:numId w:val="26"/>
      </w:numPr>
    </w:pPr>
  </w:style>
  <w:style w:type="paragraph" w:customStyle="1" w:styleId="BulletList3">
    <w:name w:val="Bullet List 3"/>
    <w:aliases w:val="Bullet3"/>
    <w:basedOn w:val="Normal"/>
    <w:rsid w:val="003B68CF"/>
    <w:pPr>
      <w:numPr>
        <w:numId w:val="27"/>
      </w:numPr>
      <w:spacing w:after="240"/>
    </w:pPr>
  </w:style>
  <w:style w:type="paragraph" w:customStyle="1" w:styleId="TitleClause">
    <w:name w:val="Title Clause"/>
    <w:basedOn w:val="Normal"/>
    <w:rsid w:val="00C503F6"/>
    <w:pPr>
      <w:keepNext/>
      <w:numPr>
        <w:numId w:val="17"/>
      </w:numPr>
      <w:spacing w:before="240" w:after="240" w:line="300" w:lineRule="atLeast"/>
      <w:jc w:val="both"/>
      <w:outlineLvl w:val="0"/>
    </w:pPr>
    <w:rPr>
      <w:rFonts w:ascii="Arial" w:eastAsia="Arial Unicode MS" w:hAnsi="Arial" w:cs="Arial"/>
      <w:b/>
      <w:color w:val="000000"/>
      <w:kern w:val="28"/>
      <w:szCs w:val="20"/>
    </w:rPr>
  </w:style>
  <w:style w:type="paragraph" w:customStyle="1" w:styleId="ClauseNoTitle">
    <w:name w:val="Clause No Title"/>
    <w:basedOn w:val="TitleClause"/>
    <w:rsid w:val="00C503F6"/>
    <w:rPr>
      <w:b w:val="0"/>
      <w:smallCaps/>
    </w:rPr>
  </w:style>
  <w:style w:type="paragraph" w:customStyle="1" w:styleId="ClosingPara">
    <w:name w:val="Closing Para"/>
    <w:basedOn w:val="Normal"/>
    <w:rsid w:val="00C503F6"/>
    <w:pPr>
      <w:spacing w:before="120" w:after="240" w:line="300" w:lineRule="atLeast"/>
      <w:jc w:val="both"/>
    </w:pPr>
    <w:rPr>
      <w:rFonts w:ascii="Arial" w:eastAsia="Arial Unicode MS" w:hAnsi="Arial" w:cs="Arial"/>
      <w:color w:val="000000"/>
      <w:szCs w:val="20"/>
    </w:rPr>
  </w:style>
  <w:style w:type="paragraph" w:customStyle="1" w:styleId="ClosingSignOff">
    <w:name w:val="Closing SignOff"/>
    <w:basedOn w:val="Normal"/>
    <w:rsid w:val="00C503F6"/>
    <w:pPr>
      <w:spacing w:after="120" w:line="300" w:lineRule="atLeast"/>
      <w:jc w:val="both"/>
    </w:pPr>
    <w:rPr>
      <w:rFonts w:ascii="Arial" w:eastAsia="Arial Unicode MS" w:hAnsi="Arial" w:cs="Arial"/>
      <w:color w:val="000000"/>
      <w:szCs w:val="20"/>
    </w:rPr>
  </w:style>
  <w:style w:type="paragraph" w:customStyle="1" w:styleId="CoversheetTitle">
    <w:name w:val="Coversheet Title"/>
    <w:basedOn w:val="Normal"/>
    <w:rsid w:val="003B68CF"/>
    <w:pPr>
      <w:tabs>
        <w:tab w:val="left" w:pos="2268"/>
      </w:tabs>
      <w:spacing w:after="210"/>
    </w:pPr>
    <w:rPr>
      <w:rFonts w:eastAsia="Calibri"/>
      <w:color w:val="414042"/>
      <w:sz w:val="44"/>
    </w:rPr>
  </w:style>
  <w:style w:type="paragraph" w:customStyle="1" w:styleId="CoverSheetHeading">
    <w:name w:val="Cover Sheet Heading"/>
    <w:aliases w:val="Coversheet Title2"/>
    <w:basedOn w:val="CoversheetTitle"/>
    <w:rsid w:val="00C503F6"/>
    <w:rPr>
      <w:color w:val="000000"/>
    </w:rPr>
  </w:style>
  <w:style w:type="paragraph" w:customStyle="1" w:styleId="CoverSheetSubjectText">
    <w:name w:val="Cover Sheet Subject Text"/>
    <w:basedOn w:val="Normal"/>
    <w:rsid w:val="00C503F6"/>
    <w:pPr>
      <w:spacing w:line="300" w:lineRule="atLeast"/>
      <w:jc w:val="center"/>
    </w:pPr>
    <w:rPr>
      <w:rFonts w:ascii="Arial" w:eastAsia="Arial Unicode MS" w:hAnsi="Arial" w:cs="Arial"/>
      <w:color w:val="000000"/>
      <w:szCs w:val="20"/>
    </w:rPr>
  </w:style>
  <w:style w:type="paragraph" w:customStyle="1" w:styleId="CoverSheetSubjectTitle">
    <w:name w:val="Cover Sheet Subject Title"/>
    <w:basedOn w:val="Normal"/>
    <w:rsid w:val="00C503F6"/>
    <w:pPr>
      <w:spacing w:line="300" w:lineRule="atLeast"/>
      <w:jc w:val="center"/>
    </w:pPr>
    <w:rPr>
      <w:rFonts w:ascii="Arial" w:eastAsia="Arial Unicode MS" w:hAnsi="Arial" w:cs="Arial"/>
      <w:color w:val="000000"/>
      <w:szCs w:val="20"/>
    </w:rPr>
  </w:style>
  <w:style w:type="paragraph" w:customStyle="1" w:styleId="DefinedTermPara">
    <w:name w:val="Defined Term Para"/>
    <w:basedOn w:val="Paragraph"/>
    <w:qFormat/>
    <w:rsid w:val="00C503F6"/>
    <w:pPr>
      <w:numPr>
        <w:numId w:val="18"/>
      </w:numPr>
    </w:pPr>
  </w:style>
  <w:style w:type="paragraph" w:customStyle="1" w:styleId="DescriptiveHeading">
    <w:name w:val="DescriptiveHeading"/>
    <w:next w:val="Paragraph"/>
    <w:link w:val="DescriptiveHeadingChar"/>
    <w:rsid w:val="00C503F6"/>
    <w:pPr>
      <w:spacing w:before="360" w:after="360" w:line="240" w:lineRule="auto"/>
      <w:outlineLvl w:val="0"/>
    </w:pPr>
    <w:rPr>
      <w:rFonts w:ascii="Arial" w:eastAsia="Arial Unicode MS" w:hAnsi="Arial" w:cs="Arial"/>
      <w:b/>
      <w:color w:val="000000"/>
      <w:lang w:val="en-US" w:eastAsia="en-US"/>
    </w:rPr>
  </w:style>
  <w:style w:type="character" w:customStyle="1" w:styleId="DescriptiveHeadingChar">
    <w:name w:val="DescriptiveHeading Char"/>
    <w:link w:val="DescriptiveHeading"/>
    <w:rsid w:val="00C503F6"/>
    <w:rPr>
      <w:rFonts w:ascii="Arial" w:eastAsia="Arial Unicode MS" w:hAnsi="Arial" w:cs="Arial"/>
      <w:b/>
      <w:color w:val="000000"/>
      <w:lang w:val="en-US" w:eastAsia="en-US"/>
    </w:rPr>
  </w:style>
  <w:style w:type="paragraph" w:customStyle="1" w:styleId="DraftingnoteSection1Para">
    <w:name w:val="Draftingnote Section1 Para"/>
    <w:basedOn w:val="Normal"/>
    <w:rsid w:val="00C503F6"/>
    <w:pPr>
      <w:spacing w:after="120" w:line="300" w:lineRule="atLeast"/>
      <w:jc w:val="both"/>
    </w:pPr>
    <w:rPr>
      <w:rFonts w:ascii="Arial" w:eastAsia="Arial Unicode MS" w:hAnsi="Arial" w:cs="Arial"/>
      <w:color w:val="000000"/>
      <w:szCs w:val="20"/>
    </w:rPr>
  </w:style>
  <w:style w:type="paragraph" w:customStyle="1" w:styleId="DraftingnoteSection1Title">
    <w:name w:val="Draftingnote Section1 Title"/>
    <w:basedOn w:val="Normal"/>
    <w:rsid w:val="00C503F6"/>
    <w:pPr>
      <w:spacing w:after="120" w:line="300" w:lineRule="atLeast"/>
      <w:jc w:val="both"/>
    </w:pPr>
    <w:rPr>
      <w:rFonts w:ascii="Arial" w:eastAsia="Arial Unicode MS" w:hAnsi="Arial" w:cs="Arial"/>
      <w:b/>
      <w:color w:val="000000"/>
      <w:sz w:val="36"/>
      <w:szCs w:val="20"/>
    </w:rPr>
  </w:style>
  <w:style w:type="paragraph" w:customStyle="1" w:styleId="DraftingnoteSection2Para">
    <w:name w:val="Draftingnote Section2 Para"/>
    <w:basedOn w:val="Normal"/>
    <w:rsid w:val="00C503F6"/>
    <w:pPr>
      <w:spacing w:after="120" w:line="300" w:lineRule="atLeast"/>
      <w:jc w:val="both"/>
    </w:pPr>
    <w:rPr>
      <w:rFonts w:ascii="Arial" w:eastAsia="Arial Unicode MS" w:hAnsi="Arial" w:cs="Arial"/>
      <w:color w:val="000000"/>
      <w:szCs w:val="20"/>
    </w:rPr>
  </w:style>
  <w:style w:type="paragraph" w:customStyle="1" w:styleId="DraftingnoteSection2Title">
    <w:name w:val="Draftingnote Section2 Title"/>
    <w:basedOn w:val="Normal"/>
    <w:rsid w:val="00C503F6"/>
    <w:pPr>
      <w:spacing w:after="120" w:line="300" w:lineRule="atLeast"/>
      <w:jc w:val="both"/>
    </w:pPr>
    <w:rPr>
      <w:rFonts w:ascii="Arial" w:eastAsia="Arial Unicode MS" w:hAnsi="Arial" w:cs="Arial"/>
      <w:b/>
      <w:color w:val="000000"/>
      <w:sz w:val="28"/>
      <w:szCs w:val="20"/>
    </w:rPr>
  </w:style>
  <w:style w:type="paragraph" w:customStyle="1" w:styleId="DraftingnoteSection3Para">
    <w:name w:val="Draftingnote Section3 Para"/>
    <w:basedOn w:val="Normal"/>
    <w:rsid w:val="00C503F6"/>
    <w:pPr>
      <w:spacing w:after="120" w:line="300" w:lineRule="atLeast"/>
      <w:jc w:val="both"/>
    </w:pPr>
    <w:rPr>
      <w:rFonts w:ascii="Arial" w:eastAsia="Arial Unicode MS" w:hAnsi="Arial" w:cs="Arial"/>
      <w:color w:val="000000"/>
      <w:szCs w:val="20"/>
    </w:rPr>
  </w:style>
  <w:style w:type="paragraph" w:customStyle="1" w:styleId="DraftingnoteSection3Title">
    <w:name w:val="Draftingnote Section3 Title"/>
    <w:basedOn w:val="Normal"/>
    <w:rsid w:val="00C503F6"/>
    <w:pPr>
      <w:spacing w:after="120" w:line="300" w:lineRule="atLeast"/>
      <w:jc w:val="both"/>
    </w:pPr>
    <w:rPr>
      <w:rFonts w:ascii="Arial" w:eastAsia="Arial Unicode MS" w:hAnsi="Arial" w:cs="Arial"/>
      <w:b/>
      <w:i/>
      <w:color w:val="000000"/>
      <w:sz w:val="28"/>
      <w:szCs w:val="20"/>
    </w:rPr>
  </w:style>
  <w:style w:type="paragraph" w:customStyle="1" w:styleId="DraftingnoteSection4Para">
    <w:name w:val="Draftingnote Section4 Para"/>
    <w:basedOn w:val="Normal"/>
    <w:rsid w:val="00C503F6"/>
    <w:pPr>
      <w:spacing w:after="120" w:line="300" w:lineRule="atLeast"/>
      <w:jc w:val="both"/>
    </w:pPr>
    <w:rPr>
      <w:rFonts w:ascii="Arial" w:eastAsia="Arial Unicode MS" w:hAnsi="Arial" w:cs="Arial"/>
      <w:color w:val="000000"/>
      <w:szCs w:val="20"/>
    </w:rPr>
  </w:style>
  <w:style w:type="paragraph" w:customStyle="1" w:styleId="DraftingnoteSection4Title">
    <w:name w:val="Draftingnote Section4 Title"/>
    <w:basedOn w:val="Normal"/>
    <w:rsid w:val="00C503F6"/>
    <w:pPr>
      <w:spacing w:after="120" w:line="300" w:lineRule="atLeast"/>
      <w:jc w:val="both"/>
    </w:pPr>
    <w:rPr>
      <w:rFonts w:ascii="Arial" w:eastAsia="Arial Unicode MS" w:hAnsi="Arial" w:cs="Arial"/>
      <w:b/>
      <w:i/>
      <w:color w:val="000000"/>
      <w:sz w:val="28"/>
      <w:szCs w:val="20"/>
    </w:rPr>
  </w:style>
  <w:style w:type="paragraph" w:customStyle="1" w:styleId="DraftingnoteTitle">
    <w:name w:val="Draftingnote Title"/>
    <w:basedOn w:val="Normal"/>
    <w:rsid w:val="00C503F6"/>
    <w:pPr>
      <w:spacing w:after="120" w:line="300" w:lineRule="atLeast"/>
      <w:jc w:val="both"/>
    </w:pPr>
    <w:rPr>
      <w:rFonts w:ascii="Arial" w:eastAsia="Arial Unicode MS" w:hAnsi="Arial" w:cs="Arial"/>
      <w:b/>
      <w:color w:val="000000"/>
      <w:sz w:val="28"/>
      <w:szCs w:val="20"/>
    </w:rPr>
  </w:style>
  <w:style w:type="paragraph" w:customStyle="1" w:styleId="FulltextBridgehead">
    <w:name w:val="Fulltext Bridgehead"/>
    <w:basedOn w:val="Normal"/>
    <w:rsid w:val="00C503F6"/>
    <w:pPr>
      <w:spacing w:after="120" w:line="300" w:lineRule="atLeast"/>
      <w:jc w:val="both"/>
    </w:pPr>
    <w:rPr>
      <w:rFonts w:ascii="Arial" w:eastAsia="Arial Unicode MS" w:hAnsi="Arial" w:cs="Arial"/>
      <w:b/>
      <w:color w:val="000000"/>
      <w:sz w:val="48"/>
      <w:szCs w:val="20"/>
    </w:rPr>
  </w:style>
  <w:style w:type="paragraph" w:customStyle="1" w:styleId="FulltextSection1Para">
    <w:name w:val="Fulltext Section1 Para"/>
    <w:basedOn w:val="Normal"/>
    <w:rsid w:val="00C503F6"/>
    <w:pPr>
      <w:spacing w:after="120" w:line="300" w:lineRule="atLeast"/>
      <w:jc w:val="both"/>
    </w:pPr>
    <w:rPr>
      <w:rFonts w:ascii="Arial" w:eastAsia="Arial Unicode MS" w:hAnsi="Arial" w:cs="Arial"/>
      <w:color w:val="000000"/>
      <w:szCs w:val="20"/>
    </w:rPr>
  </w:style>
  <w:style w:type="paragraph" w:customStyle="1" w:styleId="FulltextSection1Title">
    <w:name w:val="Fulltext Section1 Title"/>
    <w:basedOn w:val="Normal"/>
    <w:rsid w:val="00C503F6"/>
    <w:pPr>
      <w:spacing w:after="120" w:line="300" w:lineRule="atLeast"/>
      <w:jc w:val="both"/>
    </w:pPr>
    <w:rPr>
      <w:rFonts w:ascii="Arial" w:eastAsia="Arial Unicode MS" w:hAnsi="Arial" w:cs="Arial"/>
      <w:b/>
      <w:color w:val="000000"/>
      <w:sz w:val="36"/>
      <w:szCs w:val="20"/>
    </w:rPr>
  </w:style>
  <w:style w:type="paragraph" w:customStyle="1" w:styleId="FulltextSection2Para">
    <w:name w:val="Fulltext Section2 Para"/>
    <w:basedOn w:val="Normal"/>
    <w:rsid w:val="00C503F6"/>
    <w:pPr>
      <w:spacing w:after="120" w:line="300" w:lineRule="atLeast"/>
      <w:jc w:val="both"/>
    </w:pPr>
    <w:rPr>
      <w:rFonts w:ascii="Arial" w:eastAsia="Arial Unicode MS" w:hAnsi="Arial" w:cs="Arial"/>
      <w:color w:val="000000"/>
      <w:szCs w:val="20"/>
    </w:rPr>
  </w:style>
  <w:style w:type="paragraph" w:customStyle="1" w:styleId="FulltextSection2Title">
    <w:name w:val="Fulltext Section2 Title"/>
    <w:basedOn w:val="Normal"/>
    <w:rsid w:val="00C503F6"/>
    <w:pPr>
      <w:spacing w:after="120" w:line="300" w:lineRule="atLeast"/>
      <w:jc w:val="both"/>
    </w:pPr>
    <w:rPr>
      <w:rFonts w:ascii="Arial" w:eastAsia="Arial Unicode MS" w:hAnsi="Arial" w:cs="Arial"/>
      <w:b/>
      <w:color w:val="000000"/>
      <w:sz w:val="28"/>
      <w:szCs w:val="20"/>
    </w:rPr>
  </w:style>
  <w:style w:type="paragraph" w:customStyle="1" w:styleId="FulltextSection3Para">
    <w:name w:val="Fulltext Section3 Para"/>
    <w:basedOn w:val="Normal"/>
    <w:rsid w:val="00C503F6"/>
    <w:pPr>
      <w:spacing w:after="120" w:line="300" w:lineRule="atLeast"/>
      <w:jc w:val="both"/>
    </w:pPr>
    <w:rPr>
      <w:rFonts w:ascii="Arial" w:eastAsia="Arial Unicode MS" w:hAnsi="Arial" w:cs="Arial"/>
      <w:color w:val="000000"/>
      <w:szCs w:val="20"/>
    </w:rPr>
  </w:style>
  <w:style w:type="paragraph" w:customStyle="1" w:styleId="FulltextSection3Title">
    <w:name w:val="Fulltext Section3 Title"/>
    <w:basedOn w:val="Normal"/>
    <w:rsid w:val="00C503F6"/>
    <w:pPr>
      <w:spacing w:after="120" w:line="300" w:lineRule="atLeast"/>
      <w:jc w:val="both"/>
    </w:pPr>
    <w:rPr>
      <w:rFonts w:ascii="Arial" w:eastAsia="Arial Unicode MS" w:hAnsi="Arial" w:cs="Arial"/>
      <w:b/>
      <w:i/>
      <w:color w:val="000000"/>
      <w:sz w:val="28"/>
      <w:szCs w:val="20"/>
    </w:rPr>
  </w:style>
  <w:style w:type="paragraph" w:customStyle="1" w:styleId="FulltextSection4Para">
    <w:name w:val="Fulltext Section4 Para"/>
    <w:basedOn w:val="Normal"/>
    <w:rsid w:val="00C503F6"/>
    <w:pPr>
      <w:spacing w:after="120" w:line="300" w:lineRule="atLeast"/>
      <w:jc w:val="both"/>
    </w:pPr>
    <w:rPr>
      <w:rFonts w:ascii="Arial" w:eastAsia="Arial Unicode MS" w:hAnsi="Arial" w:cs="Arial"/>
      <w:color w:val="000000"/>
      <w:szCs w:val="20"/>
    </w:rPr>
  </w:style>
  <w:style w:type="paragraph" w:customStyle="1" w:styleId="FulltextSection4Title">
    <w:name w:val="Fulltext Section4 Title"/>
    <w:basedOn w:val="Normal"/>
    <w:rsid w:val="00C503F6"/>
    <w:pPr>
      <w:spacing w:after="120" w:line="300" w:lineRule="atLeast"/>
      <w:jc w:val="both"/>
    </w:pPr>
    <w:rPr>
      <w:rFonts w:ascii="Arial" w:eastAsia="Arial Unicode MS" w:hAnsi="Arial" w:cs="Arial"/>
      <w:b/>
      <w:i/>
      <w:color w:val="000000"/>
      <w:sz w:val="28"/>
      <w:szCs w:val="20"/>
    </w:rPr>
  </w:style>
  <w:style w:type="paragraph" w:customStyle="1" w:styleId="GlossItemGlossdefPara">
    <w:name w:val="GlossItem Glossdef Para"/>
    <w:basedOn w:val="Normal"/>
    <w:rsid w:val="00C503F6"/>
    <w:pPr>
      <w:spacing w:after="120" w:line="300" w:lineRule="atLeast"/>
      <w:jc w:val="both"/>
    </w:pPr>
    <w:rPr>
      <w:rFonts w:ascii="Arial" w:eastAsia="Arial Unicode MS" w:hAnsi="Arial" w:cs="Arial"/>
      <w:color w:val="000000"/>
      <w:szCs w:val="20"/>
    </w:rPr>
  </w:style>
  <w:style w:type="paragraph" w:customStyle="1" w:styleId="GlossItemGlossterm">
    <w:name w:val="GlossItem Glossterm"/>
    <w:basedOn w:val="Normal"/>
    <w:rsid w:val="00C503F6"/>
    <w:pPr>
      <w:spacing w:after="120" w:line="300" w:lineRule="atLeast"/>
      <w:jc w:val="both"/>
    </w:pPr>
    <w:rPr>
      <w:rFonts w:ascii="Arial" w:eastAsia="Arial Unicode MS" w:hAnsi="Arial" w:cs="Arial"/>
      <w:b/>
      <w:color w:val="000000"/>
      <w:sz w:val="48"/>
      <w:szCs w:val="20"/>
    </w:rPr>
  </w:style>
  <w:style w:type="paragraph" w:customStyle="1" w:styleId="HeadingAddressLine">
    <w:name w:val="Heading Address Line"/>
    <w:basedOn w:val="Normal"/>
    <w:rsid w:val="00C503F6"/>
    <w:pPr>
      <w:spacing w:after="120" w:line="300" w:lineRule="atLeast"/>
      <w:jc w:val="both"/>
    </w:pPr>
    <w:rPr>
      <w:rFonts w:ascii="Arial" w:eastAsia="Arial Unicode MS" w:hAnsi="Arial" w:cs="Arial"/>
      <w:color w:val="000000"/>
      <w:szCs w:val="20"/>
    </w:rPr>
  </w:style>
  <w:style w:type="paragraph" w:customStyle="1" w:styleId="HeadingDate">
    <w:name w:val="Heading Date"/>
    <w:basedOn w:val="Normal"/>
    <w:rsid w:val="00C503F6"/>
    <w:pPr>
      <w:spacing w:after="120" w:line="300" w:lineRule="atLeast"/>
      <w:jc w:val="both"/>
    </w:pPr>
    <w:rPr>
      <w:rFonts w:ascii="Arial" w:eastAsia="Arial Unicode MS" w:hAnsi="Arial" w:cs="Arial"/>
      <w:color w:val="000000"/>
      <w:szCs w:val="20"/>
    </w:rPr>
  </w:style>
  <w:style w:type="paragraph" w:customStyle="1" w:styleId="HeadingLetterheadBasedOnAttribute">
    <w:name w:val="Heading Letterhead Based On Attribute"/>
    <w:basedOn w:val="Normal"/>
    <w:rsid w:val="00C503F6"/>
    <w:pPr>
      <w:spacing w:after="120" w:line="300" w:lineRule="atLeast"/>
      <w:jc w:val="both"/>
    </w:pPr>
    <w:rPr>
      <w:rFonts w:ascii="Arial" w:eastAsia="Arial Unicode MS" w:hAnsi="Arial" w:cs="Arial"/>
      <w:color w:val="000000"/>
      <w:szCs w:val="20"/>
    </w:rPr>
  </w:style>
  <w:style w:type="paragraph" w:customStyle="1" w:styleId="HeadingSalutation">
    <w:name w:val="Heading Salutation"/>
    <w:basedOn w:val="Normal"/>
    <w:rsid w:val="00C503F6"/>
    <w:pPr>
      <w:spacing w:after="120" w:line="300" w:lineRule="atLeast"/>
      <w:jc w:val="both"/>
    </w:pPr>
    <w:rPr>
      <w:rFonts w:ascii="Arial" w:eastAsia="Arial Unicode MS" w:hAnsi="Arial" w:cs="Arial"/>
      <w:color w:val="000000"/>
      <w:szCs w:val="20"/>
    </w:rPr>
  </w:style>
  <w:style w:type="paragraph" w:customStyle="1" w:styleId="IgnoredSpacing">
    <w:name w:val="Ignored Spacing"/>
    <w:link w:val="IgnoredSpacingChar"/>
    <w:rsid w:val="00C503F6"/>
    <w:pPr>
      <w:spacing w:after="120" w:line="240" w:lineRule="auto"/>
    </w:pPr>
    <w:rPr>
      <w:rFonts w:ascii="Arial" w:eastAsia="Arial Unicode MS" w:hAnsi="Arial" w:cs="Arial"/>
      <w:color w:val="000000"/>
      <w:sz w:val="24"/>
      <w:szCs w:val="24"/>
      <w:lang w:val="en-US" w:eastAsia="en-US"/>
    </w:rPr>
  </w:style>
  <w:style w:type="character" w:customStyle="1" w:styleId="IgnoredSpacingChar">
    <w:name w:val="Ignored Spacing Char"/>
    <w:link w:val="IgnoredSpacing"/>
    <w:rsid w:val="00C503F6"/>
    <w:rPr>
      <w:rFonts w:ascii="Arial" w:eastAsia="Arial Unicode MS" w:hAnsi="Arial" w:cs="Arial"/>
      <w:color w:val="000000"/>
      <w:sz w:val="24"/>
      <w:szCs w:val="24"/>
      <w:lang w:val="en-US" w:eastAsia="en-US"/>
    </w:rPr>
  </w:style>
  <w:style w:type="paragraph" w:customStyle="1" w:styleId="InternalAuthor">
    <w:name w:val="Internal Author"/>
    <w:link w:val="InternalAuthorChar"/>
    <w:rsid w:val="00C503F6"/>
    <w:pPr>
      <w:spacing w:after="120" w:line="240" w:lineRule="auto"/>
    </w:pPr>
    <w:rPr>
      <w:rFonts w:ascii="Arial" w:eastAsia="Arial Unicode MS" w:hAnsi="Arial" w:cs="Arial"/>
      <w:color w:val="000000"/>
      <w:sz w:val="24"/>
      <w:lang w:val="en-US" w:eastAsia="en-US"/>
    </w:rPr>
  </w:style>
  <w:style w:type="character" w:customStyle="1" w:styleId="InternalAuthorChar">
    <w:name w:val="Internal Author Char"/>
    <w:link w:val="InternalAuthor"/>
    <w:rsid w:val="00C503F6"/>
    <w:rPr>
      <w:rFonts w:ascii="Arial" w:eastAsia="Arial Unicode MS" w:hAnsi="Arial" w:cs="Arial"/>
      <w:color w:val="000000"/>
      <w:sz w:val="24"/>
      <w:lang w:val="en-US" w:eastAsia="en-US"/>
    </w:rPr>
  </w:style>
  <w:style w:type="paragraph" w:customStyle="1" w:styleId="MaintenanceEditor">
    <w:name w:val="Maintenance Editor"/>
    <w:link w:val="MaintenanceEditorChar"/>
    <w:rsid w:val="00C503F6"/>
    <w:pPr>
      <w:spacing w:after="120" w:line="240" w:lineRule="auto"/>
    </w:pPr>
    <w:rPr>
      <w:rFonts w:ascii="Arial" w:eastAsia="Arial Unicode MS" w:hAnsi="Arial" w:cs="Arial"/>
      <w:color w:val="000000"/>
      <w:sz w:val="24"/>
      <w:lang w:val="en-US" w:eastAsia="en-US"/>
    </w:rPr>
  </w:style>
  <w:style w:type="character" w:customStyle="1" w:styleId="MaintenanceEditorChar">
    <w:name w:val="Maintenance Editor Char"/>
    <w:link w:val="MaintenanceEditor"/>
    <w:rsid w:val="00C503F6"/>
    <w:rPr>
      <w:rFonts w:ascii="Arial" w:eastAsia="Arial Unicode MS" w:hAnsi="Arial" w:cs="Arial"/>
      <w:color w:val="000000"/>
      <w:sz w:val="24"/>
      <w:lang w:val="en-US" w:eastAsia="en-US"/>
    </w:rPr>
  </w:style>
  <w:style w:type="paragraph" w:customStyle="1" w:styleId="ParaClause">
    <w:name w:val="Para Clause"/>
    <w:basedOn w:val="Normal"/>
    <w:rsid w:val="00C503F6"/>
    <w:pPr>
      <w:spacing w:before="120" w:after="120" w:line="300" w:lineRule="atLeast"/>
      <w:ind w:left="720"/>
      <w:jc w:val="both"/>
    </w:pPr>
    <w:rPr>
      <w:rFonts w:ascii="Arial" w:eastAsia="Arial Unicode MS" w:hAnsi="Arial" w:cs="Arial"/>
      <w:color w:val="000000"/>
      <w:szCs w:val="20"/>
    </w:rPr>
  </w:style>
  <w:style w:type="paragraph" w:customStyle="1" w:styleId="Parasubclause1">
    <w:name w:val="Para subclause 1"/>
    <w:aliases w:val="BIWS Heading 2"/>
    <w:basedOn w:val="Normal"/>
    <w:rsid w:val="00C503F6"/>
    <w:pPr>
      <w:spacing w:before="240" w:after="120" w:line="300" w:lineRule="atLeast"/>
      <w:ind w:left="720"/>
      <w:jc w:val="both"/>
    </w:pPr>
    <w:rPr>
      <w:rFonts w:ascii="Arial" w:eastAsia="Arial Unicode MS" w:hAnsi="Arial" w:cs="Arial"/>
      <w:color w:val="000000"/>
      <w:szCs w:val="20"/>
    </w:rPr>
  </w:style>
  <w:style w:type="paragraph" w:customStyle="1" w:styleId="Untitledsubclause1">
    <w:name w:val="Untitled subclause 1"/>
    <w:basedOn w:val="Normal"/>
    <w:rsid w:val="00C503F6"/>
    <w:pPr>
      <w:numPr>
        <w:ilvl w:val="1"/>
        <w:numId w:val="17"/>
      </w:numPr>
      <w:spacing w:before="280" w:after="120" w:line="300" w:lineRule="atLeast"/>
      <w:jc w:val="both"/>
      <w:outlineLvl w:val="1"/>
    </w:pPr>
    <w:rPr>
      <w:rFonts w:ascii="Arial" w:eastAsia="Arial Unicode MS" w:hAnsi="Arial" w:cs="Arial"/>
      <w:color w:val="000000"/>
      <w:szCs w:val="20"/>
    </w:rPr>
  </w:style>
  <w:style w:type="paragraph" w:customStyle="1" w:styleId="Parasubclause2">
    <w:name w:val="Para subclause 2"/>
    <w:aliases w:val="BIWS Heading 3"/>
    <w:basedOn w:val="Normal"/>
    <w:rsid w:val="00C503F6"/>
    <w:pPr>
      <w:spacing w:after="240" w:line="300" w:lineRule="atLeast"/>
      <w:ind w:left="1559"/>
      <w:jc w:val="both"/>
    </w:pPr>
    <w:rPr>
      <w:rFonts w:ascii="Arial" w:eastAsia="Arial Unicode MS" w:hAnsi="Arial" w:cs="Arial"/>
      <w:color w:val="000000"/>
      <w:szCs w:val="20"/>
    </w:rPr>
  </w:style>
  <w:style w:type="paragraph" w:customStyle="1" w:styleId="Untitledsubclause2">
    <w:name w:val="Untitled subclause 2"/>
    <w:basedOn w:val="Normal"/>
    <w:rsid w:val="00C503F6"/>
    <w:pPr>
      <w:numPr>
        <w:ilvl w:val="2"/>
        <w:numId w:val="17"/>
      </w:numPr>
      <w:spacing w:after="120" w:line="300" w:lineRule="atLeast"/>
      <w:jc w:val="both"/>
      <w:outlineLvl w:val="2"/>
    </w:pPr>
    <w:rPr>
      <w:rFonts w:ascii="Arial" w:eastAsia="Arial Unicode MS" w:hAnsi="Arial" w:cs="Arial"/>
      <w:color w:val="000000"/>
      <w:szCs w:val="20"/>
    </w:rPr>
  </w:style>
  <w:style w:type="paragraph" w:customStyle="1" w:styleId="Parasubclause3">
    <w:name w:val="Para subclause 3"/>
    <w:aliases w:val="BIWS Heading 4"/>
    <w:basedOn w:val="Normal"/>
    <w:next w:val="Untitledsubclause2"/>
    <w:rsid w:val="00C503F6"/>
    <w:pPr>
      <w:spacing w:after="120" w:line="300" w:lineRule="atLeast"/>
      <w:ind w:left="2268"/>
      <w:jc w:val="both"/>
    </w:pPr>
    <w:rPr>
      <w:rFonts w:ascii="Arial" w:eastAsia="Arial Unicode MS" w:hAnsi="Arial" w:cs="Arial"/>
      <w:color w:val="000000"/>
      <w:szCs w:val="20"/>
    </w:rPr>
  </w:style>
  <w:style w:type="paragraph" w:customStyle="1" w:styleId="Untitledsubclause3">
    <w:name w:val="Untitled subclause 3"/>
    <w:basedOn w:val="Normal"/>
    <w:rsid w:val="00C503F6"/>
    <w:pPr>
      <w:numPr>
        <w:ilvl w:val="3"/>
        <w:numId w:val="17"/>
      </w:numPr>
      <w:tabs>
        <w:tab w:val="left" w:pos="2261"/>
      </w:tabs>
      <w:spacing w:after="120" w:line="300" w:lineRule="atLeast"/>
      <w:jc w:val="both"/>
      <w:outlineLvl w:val="3"/>
    </w:pPr>
    <w:rPr>
      <w:rFonts w:ascii="Arial" w:eastAsia="Arial Unicode MS" w:hAnsi="Arial" w:cs="Arial"/>
      <w:color w:val="000000"/>
      <w:szCs w:val="20"/>
    </w:rPr>
  </w:style>
  <w:style w:type="paragraph" w:customStyle="1" w:styleId="Parasubclause4">
    <w:name w:val="Para subclause 4"/>
    <w:aliases w:val="BIWS Heading 5"/>
    <w:basedOn w:val="Parasubclause3"/>
    <w:rsid w:val="00C503F6"/>
    <w:pPr>
      <w:spacing w:after="240"/>
      <w:ind w:left="3028"/>
    </w:pPr>
  </w:style>
  <w:style w:type="paragraph" w:customStyle="1" w:styleId="Untitledsubclause4">
    <w:name w:val="Untitled subclause 4"/>
    <w:basedOn w:val="Normal"/>
    <w:rsid w:val="00C503F6"/>
    <w:pPr>
      <w:numPr>
        <w:ilvl w:val="4"/>
        <w:numId w:val="17"/>
      </w:numPr>
      <w:spacing w:after="120" w:line="300" w:lineRule="atLeast"/>
      <w:jc w:val="both"/>
      <w:outlineLvl w:val="4"/>
    </w:pPr>
    <w:rPr>
      <w:rFonts w:ascii="Arial" w:eastAsia="Arial Unicode MS" w:hAnsi="Arial" w:cs="Arial"/>
      <w:color w:val="000000"/>
      <w:szCs w:val="20"/>
    </w:rPr>
  </w:style>
  <w:style w:type="paragraph" w:customStyle="1" w:styleId="Para">
    <w:name w:val="Para"/>
    <w:aliases w:val="PLC Style - Normal"/>
    <w:basedOn w:val="Normal"/>
    <w:rsid w:val="00C503F6"/>
    <w:pPr>
      <w:spacing w:after="120" w:line="300" w:lineRule="atLeast"/>
      <w:jc w:val="both"/>
    </w:pPr>
    <w:rPr>
      <w:rFonts w:ascii="Arial" w:eastAsia="Arial Unicode MS" w:hAnsi="Arial" w:cs="Arial"/>
      <w:color w:val="000000"/>
      <w:szCs w:val="20"/>
    </w:rPr>
  </w:style>
  <w:style w:type="paragraph" w:customStyle="1" w:styleId="Parties">
    <w:name w:val="Parties"/>
    <w:aliases w:val="(1) Parties"/>
    <w:basedOn w:val="BodyText"/>
    <w:rsid w:val="003B68CF"/>
    <w:pPr>
      <w:numPr>
        <w:numId w:val="35"/>
      </w:numPr>
    </w:pPr>
  </w:style>
  <w:style w:type="paragraph" w:customStyle="1" w:styleId="ResourceHistoryAuthor">
    <w:name w:val="Resource History Author"/>
    <w:link w:val="ResourceHistoryAuthorChar"/>
    <w:rsid w:val="00C503F6"/>
    <w:pPr>
      <w:spacing w:after="120" w:line="240" w:lineRule="auto"/>
    </w:pPr>
    <w:rPr>
      <w:rFonts w:ascii="Arial" w:eastAsia="Arial Unicode MS" w:hAnsi="Arial" w:cs="Arial"/>
      <w:color w:val="000000"/>
      <w:sz w:val="24"/>
      <w:szCs w:val="24"/>
      <w:lang w:val="en-US" w:eastAsia="en-US"/>
    </w:rPr>
  </w:style>
  <w:style w:type="character" w:customStyle="1" w:styleId="ResourceHistoryAuthorChar">
    <w:name w:val="Resource History Author Char"/>
    <w:link w:val="ResourceHistoryAuthor"/>
    <w:rsid w:val="00C503F6"/>
    <w:rPr>
      <w:rFonts w:ascii="Arial" w:eastAsia="Arial Unicode MS" w:hAnsi="Arial" w:cs="Arial"/>
      <w:color w:val="000000"/>
      <w:sz w:val="24"/>
      <w:szCs w:val="24"/>
      <w:lang w:val="en-US" w:eastAsia="en-US"/>
    </w:rPr>
  </w:style>
  <w:style w:type="paragraph" w:customStyle="1" w:styleId="ResourceHistoryDate">
    <w:name w:val="Resource History Date"/>
    <w:link w:val="ResourceHistoryDateChar"/>
    <w:rsid w:val="00C503F6"/>
    <w:pPr>
      <w:spacing w:after="120" w:line="240" w:lineRule="auto"/>
    </w:pPr>
    <w:rPr>
      <w:rFonts w:ascii="Arial" w:eastAsia="Arial Unicode MS" w:hAnsi="Arial" w:cs="Arial"/>
      <w:color w:val="000000"/>
      <w:sz w:val="24"/>
      <w:szCs w:val="24"/>
      <w:lang w:val="en-US" w:eastAsia="en-US"/>
    </w:rPr>
  </w:style>
  <w:style w:type="character" w:customStyle="1" w:styleId="ResourceHistoryDateChar">
    <w:name w:val="Resource History Date Char"/>
    <w:link w:val="ResourceHistoryDate"/>
    <w:rsid w:val="00C503F6"/>
    <w:rPr>
      <w:rFonts w:ascii="Arial" w:eastAsia="Arial Unicode MS" w:hAnsi="Arial" w:cs="Arial"/>
      <w:color w:val="000000"/>
      <w:sz w:val="24"/>
      <w:szCs w:val="24"/>
      <w:lang w:val="en-US" w:eastAsia="en-US"/>
    </w:rPr>
  </w:style>
  <w:style w:type="paragraph" w:customStyle="1" w:styleId="ResourceHistoryDesc">
    <w:name w:val="Resource History Desc"/>
    <w:link w:val="ResourceHistoryDescChar"/>
    <w:rsid w:val="00C503F6"/>
    <w:pPr>
      <w:spacing w:after="120" w:line="240" w:lineRule="auto"/>
    </w:pPr>
    <w:rPr>
      <w:rFonts w:ascii="Verdana" w:eastAsia="Times New Roman" w:hAnsi="Verdana" w:cs="Verdana"/>
      <w:color w:val="000000"/>
      <w:sz w:val="18"/>
      <w:szCs w:val="24"/>
      <w:lang w:val="en-US" w:eastAsia="en-US"/>
    </w:rPr>
  </w:style>
  <w:style w:type="character" w:customStyle="1" w:styleId="ResourceHistoryDescChar">
    <w:name w:val="Resource History Desc Char"/>
    <w:link w:val="ResourceHistoryDesc"/>
    <w:rsid w:val="00C503F6"/>
    <w:rPr>
      <w:rFonts w:ascii="Verdana" w:eastAsia="Times New Roman" w:hAnsi="Verdana" w:cs="Verdana"/>
      <w:color w:val="000000"/>
      <w:sz w:val="18"/>
      <w:szCs w:val="24"/>
      <w:lang w:val="en-US" w:eastAsia="en-US"/>
    </w:rPr>
  </w:style>
  <w:style w:type="paragraph" w:customStyle="1" w:styleId="ResourceHistoryTitle">
    <w:name w:val="Resource History Title"/>
    <w:link w:val="ResourceHistoryTitleChar"/>
    <w:rsid w:val="00C503F6"/>
    <w:pPr>
      <w:spacing w:after="120" w:line="240" w:lineRule="auto"/>
    </w:pPr>
    <w:rPr>
      <w:rFonts w:ascii="Arial" w:eastAsia="Arial Unicode MS" w:hAnsi="Arial" w:cs="Arial"/>
      <w:b/>
      <w:bCs/>
      <w:color w:val="000000"/>
      <w:sz w:val="24"/>
      <w:lang w:val="en-US" w:eastAsia="en-US"/>
    </w:rPr>
  </w:style>
  <w:style w:type="character" w:customStyle="1" w:styleId="ResourceHistoryTitleChar">
    <w:name w:val="Resource History Title Char"/>
    <w:link w:val="ResourceHistoryTitle"/>
    <w:rsid w:val="00C503F6"/>
    <w:rPr>
      <w:rFonts w:ascii="Arial" w:eastAsia="Arial Unicode MS" w:hAnsi="Arial" w:cs="Arial"/>
      <w:b/>
      <w:bCs/>
      <w:color w:val="000000"/>
      <w:sz w:val="24"/>
      <w:lang w:val="en-US" w:eastAsia="en-US"/>
    </w:rPr>
  </w:style>
  <w:style w:type="paragraph" w:customStyle="1" w:styleId="ResourceType">
    <w:name w:val="Resource Type"/>
    <w:link w:val="ResourceTypeChar"/>
    <w:rsid w:val="00C503F6"/>
    <w:pPr>
      <w:spacing w:after="120" w:line="240" w:lineRule="auto"/>
    </w:pPr>
    <w:rPr>
      <w:rFonts w:ascii="Arial" w:eastAsia="Arial Unicode MS" w:hAnsi="Arial" w:cs="Arial"/>
      <w:color w:val="000000"/>
      <w:sz w:val="24"/>
      <w:szCs w:val="24"/>
      <w:lang w:val="en-US" w:eastAsia="en-US"/>
    </w:rPr>
  </w:style>
  <w:style w:type="character" w:customStyle="1" w:styleId="ResourceTypeChar">
    <w:name w:val="Resource Type Char"/>
    <w:link w:val="ResourceType"/>
    <w:rsid w:val="00C503F6"/>
    <w:rPr>
      <w:rFonts w:ascii="Arial" w:eastAsia="Arial Unicode MS" w:hAnsi="Arial" w:cs="Arial"/>
      <w:color w:val="000000"/>
      <w:sz w:val="24"/>
      <w:szCs w:val="24"/>
      <w:lang w:val="en-US" w:eastAsia="en-US"/>
    </w:rPr>
  </w:style>
  <w:style w:type="paragraph" w:customStyle="1" w:styleId="ScheduleHeading-Single">
    <w:name w:val="Schedule Heading - Single"/>
    <w:aliases w:val="Sch   main head inc single"/>
    <w:basedOn w:val="Normal"/>
    <w:next w:val="Normal"/>
    <w:rsid w:val="00C503F6"/>
    <w:pPr>
      <w:numPr>
        <w:numId w:val="1"/>
      </w:numPr>
      <w:spacing w:before="240" w:after="360" w:line="300" w:lineRule="atLeast"/>
      <w:jc w:val="both"/>
    </w:pPr>
    <w:rPr>
      <w:rFonts w:ascii="Arial" w:eastAsia="Arial Unicode MS" w:hAnsi="Arial" w:cs="Arial"/>
      <w:b/>
      <w:color w:val="000000"/>
      <w:kern w:val="28"/>
      <w:szCs w:val="20"/>
    </w:rPr>
  </w:style>
  <w:style w:type="paragraph" w:customStyle="1" w:styleId="ScheduleHeading">
    <w:name w:val="Schedule Heading"/>
    <w:aliases w:val="Sch   main head"/>
    <w:basedOn w:val="Normal"/>
    <w:next w:val="Normal"/>
    <w:autoRedefine/>
    <w:rsid w:val="00C503F6"/>
    <w:pPr>
      <w:keepNext/>
      <w:pageBreakBefore/>
      <w:numPr>
        <w:numId w:val="2"/>
      </w:numPr>
      <w:spacing w:before="240" w:after="360" w:line="300" w:lineRule="atLeast"/>
      <w:jc w:val="center"/>
      <w:outlineLvl w:val="0"/>
    </w:pPr>
    <w:rPr>
      <w:rFonts w:ascii="Arial" w:eastAsia="Arial Unicode MS" w:hAnsi="Arial" w:cs="Arial"/>
      <w:b/>
      <w:color w:val="000000"/>
      <w:kern w:val="28"/>
      <w:szCs w:val="20"/>
    </w:rPr>
  </w:style>
  <w:style w:type="paragraph" w:customStyle="1" w:styleId="SectionHeading">
    <w:name w:val="Section Heading"/>
    <w:aliases w:val="1stIntroHeadings"/>
    <w:basedOn w:val="Normal"/>
    <w:next w:val="Normal"/>
    <w:rsid w:val="003B68CF"/>
    <w:pPr>
      <w:tabs>
        <w:tab w:val="left" w:pos="709"/>
      </w:tabs>
      <w:spacing w:after="210"/>
    </w:pPr>
    <w:rPr>
      <w:b/>
      <w:caps/>
    </w:rPr>
  </w:style>
  <w:style w:type="paragraph" w:customStyle="1" w:styleId="Shortquestion">
    <w:name w:val="Shortquestion"/>
    <w:basedOn w:val="Normal"/>
    <w:rsid w:val="00C503F6"/>
    <w:pPr>
      <w:spacing w:after="120" w:line="300" w:lineRule="atLeast"/>
      <w:jc w:val="both"/>
    </w:pPr>
    <w:rPr>
      <w:rFonts w:ascii="Arial" w:eastAsia="Arial Unicode MS" w:hAnsi="Arial" w:cs="Arial"/>
      <w:color w:val="000000"/>
      <w:szCs w:val="20"/>
    </w:rPr>
  </w:style>
  <w:style w:type="paragraph" w:customStyle="1" w:styleId="SpeedreadPara">
    <w:name w:val="Speedread Para"/>
    <w:basedOn w:val="Normal"/>
    <w:rsid w:val="00C503F6"/>
    <w:pPr>
      <w:spacing w:after="120" w:line="300" w:lineRule="atLeast"/>
      <w:jc w:val="both"/>
    </w:pPr>
    <w:rPr>
      <w:rFonts w:ascii="Arial" w:eastAsia="Arial Unicode MS" w:hAnsi="Arial" w:cs="Arial"/>
      <w:color w:val="000000"/>
      <w:szCs w:val="20"/>
    </w:rPr>
  </w:style>
  <w:style w:type="paragraph" w:customStyle="1" w:styleId="SpeedreadSection1Para">
    <w:name w:val="Speedread Section1 Para"/>
    <w:basedOn w:val="Normal"/>
    <w:rsid w:val="00C503F6"/>
    <w:pPr>
      <w:spacing w:after="120" w:line="300" w:lineRule="atLeast"/>
      <w:jc w:val="both"/>
    </w:pPr>
    <w:rPr>
      <w:rFonts w:ascii="Arial" w:eastAsia="Arial Unicode MS" w:hAnsi="Arial" w:cs="Arial"/>
      <w:color w:val="000000"/>
      <w:szCs w:val="20"/>
    </w:rPr>
  </w:style>
  <w:style w:type="paragraph" w:customStyle="1" w:styleId="SpeedreadSection1Text">
    <w:name w:val="Speedread Section1 Text"/>
    <w:basedOn w:val="Normal"/>
    <w:rsid w:val="00C503F6"/>
    <w:pPr>
      <w:spacing w:after="120" w:line="300" w:lineRule="atLeast"/>
      <w:jc w:val="both"/>
    </w:pPr>
    <w:rPr>
      <w:rFonts w:ascii="Arial" w:eastAsia="Arial Unicode MS" w:hAnsi="Arial" w:cs="Arial"/>
      <w:color w:val="000000"/>
      <w:szCs w:val="20"/>
    </w:rPr>
  </w:style>
  <w:style w:type="paragraph" w:customStyle="1" w:styleId="SpeedreadText">
    <w:name w:val="Speedread Text"/>
    <w:basedOn w:val="Normal"/>
    <w:rsid w:val="00C503F6"/>
    <w:pPr>
      <w:spacing w:after="120" w:line="300" w:lineRule="atLeast"/>
      <w:jc w:val="both"/>
    </w:pPr>
    <w:rPr>
      <w:rFonts w:ascii="Arial" w:eastAsia="Arial Unicode MS" w:hAnsi="Arial" w:cs="Arial"/>
      <w:color w:val="000000"/>
      <w:szCs w:val="20"/>
    </w:rPr>
  </w:style>
  <w:style w:type="paragraph" w:customStyle="1" w:styleId="SpeedreadTitle">
    <w:name w:val="Speedread Title"/>
    <w:basedOn w:val="Normal"/>
    <w:rsid w:val="00C503F6"/>
    <w:pPr>
      <w:spacing w:after="120" w:line="300" w:lineRule="atLeast"/>
      <w:jc w:val="both"/>
    </w:pPr>
    <w:rPr>
      <w:rFonts w:ascii="Arial" w:eastAsia="Arial Unicode MS" w:hAnsi="Arial" w:cs="Arial"/>
      <w:b/>
      <w:color w:val="000000"/>
      <w:sz w:val="36"/>
      <w:szCs w:val="20"/>
    </w:rPr>
  </w:style>
  <w:style w:type="paragraph" w:customStyle="1" w:styleId="TemplateType">
    <w:name w:val="Template Type"/>
    <w:link w:val="TemplateTypeChar"/>
    <w:rsid w:val="00C503F6"/>
    <w:pPr>
      <w:spacing w:after="120" w:line="240" w:lineRule="auto"/>
    </w:pPr>
    <w:rPr>
      <w:rFonts w:ascii="Arial" w:eastAsia="Arial Unicode MS" w:hAnsi="Arial" w:cs="Arial"/>
      <w:color w:val="000000"/>
      <w:sz w:val="24"/>
      <w:szCs w:val="24"/>
      <w:lang w:val="en-US" w:eastAsia="en-US"/>
    </w:rPr>
  </w:style>
  <w:style w:type="character" w:customStyle="1" w:styleId="TemplateTypeChar">
    <w:name w:val="Template Type Char"/>
    <w:link w:val="TemplateType"/>
    <w:rsid w:val="00C503F6"/>
    <w:rPr>
      <w:rFonts w:ascii="Arial" w:eastAsia="Arial Unicode MS" w:hAnsi="Arial" w:cs="Arial"/>
      <w:color w:val="000000"/>
      <w:sz w:val="24"/>
      <w:szCs w:val="24"/>
      <w:lang w:val="en-US" w:eastAsia="en-US"/>
    </w:rPr>
  </w:style>
  <w:style w:type="paragraph" w:styleId="Title">
    <w:name w:val="Title"/>
    <w:aliases w:val="Title Page"/>
    <w:basedOn w:val="Normal"/>
    <w:next w:val="Normal"/>
    <w:link w:val="TitleChar"/>
    <w:autoRedefine/>
    <w:rsid w:val="003B68CF"/>
    <w:pPr>
      <w:tabs>
        <w:tab w:val="left" w:pos="2268"/>
      </w:tabs>
      <w:spacing w:line="216" w:lineRule="exact"/>
      <w:contextualSpacing/>
    </w:pPr>
    <w:rPr>
      <w:kern w:val="28"/>
      <w:sz w:val="44"/>
      <w:szCs w:val="56"/>
    </w:rPr>
  </w:style>
  <w:style w:type="character" w:customStyle="1" w:styleId="TitleChar">
    <w:name w:val="Title Char"/>
    <w:aliases w:val="Title Page Char"/>
    <w:link w:val="Title"/>
    <w:rsid w:val="003B68CF"/>
    <w:rPr>
      <w:rFonts w:ascii="Georgia" w:eastAsia="Times New Roman" w:hAnsi="Georgia"/>
      <w:kern w:val="28"/>
      <w:sz w:val="44"/>
      <w:szCs w:val="56"/>
      <w:lang w:eastAsia="en-US"/>
    </w:rPr>
  </w:style>
  <w:style w:type="paragraph" w:styleId="Footer">
    <w:name w:val="footer"/>
    <w:basedOn w:val="Normal"/>
    <w:next w:val="Normal"/>
    <w:link w:val="FooterChar"/>
    <w:rsid w:val="003B68CF"/>
    <w:pPr>
      <w:tabs>
        <w:tab w:val="center" w:pos="4153"/>
        <w:tab w:val="right" w:pos="8306"/>
      </w:tabs>
      <w:spacing w:after="240"/>
    </w:pPr>
  </w:style>
  <w:style w:type="character" w:customStyle="1" w:styleId="FooterChar">
    <w:name w:val="Footer Char"/>
    <w:basedOn w:val="DefaultParagraphFont"/>
    <w:link w:val="Footer"/>
    <w:rsid w:val="003B68CF"/>
    <w:rPr>
      <w:rFonts w:ascii="Georgia" w:eastAsia="Times New Roman" w:hAnsi="Georgia"/>
      <w:sz w:val="20"/>
      <w:szCs w:val="18"/>
      <w:lang w:eastAsia="en-US"/>
    </w:rPr>
  </w:style>
  <w:style w:type="character" w:styleId="Hyperlink">
    <w:name w:val="Hyperlink"/>
    <w:rsid w:val="003B68CF"/>
    <w:rPr>
      <w:rFonts w:ascii="Georgia" w:hAnsi="Georgia"/>
      <w:color w:val="0000FF"/>
      <w:u w:val="single"/>
    </w:rPr>
  </w:style>
  <w:style w:type="paragraph" w:customStyle="1" w:styleId="Bullet4">
    <w:name w:val="Bullet4"/>
    <w:basedOn w:val="Normal"/>
    <w:rsid w:val="003B68CF"/>
    <w:pPr>
      <w:numPr>
        <w:numId w:val="28"/>
      </w:numPr>
      <w:spacing w:after="240"/>
    </w:pPr>
  </w:style>
  <w:style w:type="paragraph" w:customStyle="1" w:styleId="Paragraph">
    <w:name w:val="Paragraph"/>
    <w:basedOn w:val="Normal"/>
    <w:link w:val="ParagraphChar"/>
    <w:qFormat/>
    <w:rsid w:val="00C503F6"/>
    <w:pPr>
      <w:spacing w:after="120" w:line="300" w:lineRule="atLeast"/>
      <w:jc w:val="both"/>
    </w:pPr>
    <w:rPr>
      <w:rFonts w:ascii="Arial" w:eastAsia="Arial Unicode MS" w:hAnsi="Arial" w:cs="Arial"/>
      <w:color w:val="000000"/>
      <w:szCs w:val="20"/>
    </w:rPr>
  </w:style>
  <w:style w:type="paragraph" w:customStyle="1" w:styleId="IgnoredTemplateText">
    <w:name w:val="Ignored Template Text"/>
    <w:link w:val="IgnoredTemplateTextChar"/>
    <w:rsid w:val="00C503F6"/>
    <w:pPr>
      <w:pBdr>
        <w:top w:val="single" w:sz="4" w:space="1" w:color="auto"/>
        <w:left w:val="single" w:sz="4" w:space="4" w:color="auto"/>
        <w:bottom w:val="single" w:sz="4" w:space="1" w:color="auto"/>
        <w:right w:val="single" w:sz="4" w:space="4" w:color="auto"/>
      </w:pBdr>
      <w:shd w:val="pct15" w:color="auto" w:fill="FBD4B4" w:themeFill="accent6" w:themeFillTint="66"/>
      <w:spacing w:after="120" w:line="240" w:lineRule="auto"/>
    </w:pPr>
    <w:rPr>
      <w:rFonts w:ascii="Arial" w:eastAsia="Arial Unicode MS" w:hAnsi="Arial" w:cs="Arial"/>
      <w:b/>
      <w:i/>
      <w:color w:val="000000"/>
      <w:szCs w:val="18"/>
      <w:lang w:val="en-US" w:eastAsia="en-US"/>
    </w:rPr>
  </w:style>
  <w:style w:type="character" w:customStyle="1" w:styleId="IgnoredTemplateTextChar">
    <w:name w:val="Ignored Template Text Char"/>
    <w:link w:val="IgnoredTemplateText"/>
    <w:rsid w:val="00C503F6"/>
    <w:rPr>
      <w:rFonts w:ascii="Arial" w:eastAsia="Arial Unicode MS" w:hAnsi="Arial" w:cs="Arial"/>
      <w:b/>
      <w:i/>
      <w:color w:val="000000"/>
      <w:szCs w:val="18"/>
      <w:shd w:val="pct15" w:color="auto" w:fill="FBD4B4" w:themeFill="accent6" w:themeFillTint="66"/>
      <w:lang w:val="en-US" w:eastAsia="en-US"/>
    </w:rPr>
  </w:style>
  <w:style w:type="paragraph" w:customStyle="1" w:styleId="InternalTOC">
    <w:name w:val="Internal TOC"/>
    <w:rsid w:val="00C503F6"/>
    <w:pPr>
      <w:spacing w:after="120" w:line="240" w:lineRule="auto"/>
    </w:pPr>
    <w:rPr>
      <w:rFonts w:ascii="Arial" w:eastAsia="Arial Unicode MS" w:hAnsi="Arial" w:cs="Arial"/>
      <w:color w:val="000000"/>
      <w:lang w:val="en-US" w:eastAsia="en-US"/>
    </w:rPr>
  </w:style>
  <w:style w:type="paragraph" w:customStyle="1" w:styleId="HeadingLevel1">
    <w:name w:val="Heading Level 1"/>
    <w:basedOn w:val="Normal"/>
    <w:next w:val="Paragraph"/>
    <w:rsid w:val="00C503F6"/>
    <w:pPr>
      <w:keepNext/>
      <w:spacing w:after="120" w:line="300" w:lineRule="atLeast"/>
      <w:jc w:val="both"/>
      <w:outlineLvl w:val="1"/>
    </w:pPr>
    <w:rPr>
      <w:rFonts w:ascii="Arial" w:eastAsia="Arial Unicode MS" w:hAnsi="Arial" w:cs="Arial"/>
      <w:b/>
      <w:color w:val="000000"/>
      <w:sz w:val="36"/>
      <w:szCs w:val="20"/>
    </w:rPr>
  </w:style>
  <w:style w:type="paragraph" w:customStyle="1" w:styleId="HeadingLevel2">
    <w:name w:val="Heading Level 2"/>
    <w:basedOn w:val="Normal"/>
    <w:next w:val="Paragraph"/>
    <w:rsid w:val="00C503F6"/>
    <w:pPr>
      <w:keepNext/>
      <w:spacing w:after="120" w:line="300" w:lineRule="atLeast"/>
      <w:jc w:val="both"/>
      <w:outlineLvl w:val="2"/>
    </w:pPr>
    <w:rPr>
      <w:rFonts w:ascii="Arial" w:eastAsia="Arial Unicode MS" w:hAnsi="Arial" w:cs="Arial"/>
      <w:b/>
      <w:color w:val="000000"/>
      <w:sz w:val="28"/>
      <w:szCs w:val="20"/>
    </w:rPr>
  </w:style>
  <w:style w:type="paragraph" w:customStyle="1" w:styleId="HeadingLevel3">
    <w:name w:val="Heading Level 3"/>
    <w:basedOn w:val="Normal"/>
    <w:next w:val="Paragraph"/>
    <w:rsid w:val="00C503F6"/>
    <w:pPr>
      <w:keepNext/>
      <w:spacing w:after="120" w:line="300" w:lineRule="atLeast"/>
      <w:jc w:val="both"/>
      <w:outlineLvl w:val="3"/>
    </w:pPr>
    <w:rPr>
      <w:rFonts w:ascii="Arial" w:eastAsia="Arial Unicode MS" w:hAnsi="Arial" w:cs="Arial"/>
      <w:b/>
      <w:i/>
      <w:color w:val="000000"/>
      <w:sz w:val="28"/>
      <w:szCs w:val="20"/>
    </w:rPr>
  </w:style>
  <w:style w:type="paragraph" w:styleId="Header">
    <w:name w:val="header"/>
    <w:basedOn w:val="Normal"/>
    <w:link w:val="HeaderChar"/>
    <w:rsid w:val="003B68CF"/>
    <w:pPr>
      <w:tabs>
        <w:tab w:val="center" w:pos="4680"/>
        <w:tab w:val="right" w:pos="9360"/>
      </w:tabs>
    </w:pPr>
  </w:style>
  <w:style w:type="character" w:customStyle="1" w:styleId="HeaderChar">
    <w:name w:val="Header Char"/>
    <w:basedOn w:val="DefaultParagraphFont"/>
    <w:link w:val="Header"/>
    <w:rsid w:val="003B68CF"/>
    <w:rPr>
      <w:rFonts w:ascii="Georgia" w:eastAsia="Times New Roman" w:hAnsi="Georgia"/>
      <w:sz w:val="20"/>
      <w:szCs w:val="18"/>
      <w:lang w:eastAsia="en-US"/>
    </w:rPr>
  </w:style>
  <w:style w:type="character" w:styleId="PlaceholderText">
    <w:name w:val="Placeholder Text"/>
    <w:basedOn w:val="DefaultParagraphFont"/>
    <w:uiPriority w:val="99"/>
    <w:rsid w:val="00C503F6"/>
    <w:rPr>
      <w:color w:val="000000"/>
    </w:rPr>
  </w:style>
  <w:style w:type="paragraph" w:styleId="BalloonText">
    <w:name w:val="Balloon Text"/>
    <w:basedOn w:val="Normal"/>
    <w:link w:val="BalloonTextChar"/>
    <w:rsid w:val="003B68CF"/>
    <w:rPr>
      <w:rFonts w:cs="Tahoma"/>
      <w:szCs w:val="16"/>
    </w:rPr>
  </w:style>
  <w:style w:type="character" w:customStyle="1" w:styleId="BalloonTextChar">
    <w:name w:val="Balloon Text Char"/>
    <w:link w:val="BalloonText"/>
    <w:rsid w:val="003B68CF"/>
    <w:rPr>
      <w:rFonts w:ascii="Georgia" w:eastAsia="Times New Roman" w:hAnsi="Georgia" w:cs="Tahoma"/>
      <w:sz w:val="20"/>
      <w:szCs w:val="16"/>
      <w:lang w:eastAsia="en-US"/>
    </w:rPr>
  </w:style>
  <w:style w:type="paragraph" w:customStyle="1" w:styleId="PinPointRef">
    <w:name w:val="PinPoint Ref"/>
    <w:link w:val="PinPointRefChar"/>
    <w:qFormat/>
    <w:rsid w:val="00C503F6"/>
    <w:pPr>
      <w:spacing w:after="0" w:line="240" w:lineRule="auto"/>
    </w:pPr>
    <w:rPr>
      <w:rFonts w:ascii="Times New Roman" w:eastAsia="Times New Roman" w:hAnsi="Times New Roman" w:cs="Times New Roman"/>
      <w:b/>
      <w:vanish/>
      <w:color w:val="000000"/>
      <w:sz w:val="18"/>
      <w:szCs w:val="20"/>
      <w:lang w:eastAsia="en-US"/>
    </w:rPr>
  </w:style>
  <w:style w:type="character" w:customStyle="1" w:styleId="PinPointRefChar">
    <w:name w:val="PinPoint Ref Char"/>
    <w:basedOn w:val="DefaultParagraphFont"/>
    <w:link w:val="PinPointRef"/>
    <w:rsid w:val="00C503F6"/>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qFormat/>
    <w:rsid w:val="00C503F6"/>
    <w:pPr>
      <w:spacing w:before="120" w:after="0" w:line="240" w:lineRule="auto"/>
      <w:ind w:left="720"/>
    </w:pPr>
    <w:rPr>
      <w:rFonts w:ascii="Arial" w:eastAsia="Arial Unicode MS" w:hAnsi="Arial" w:cs="Arial"/>
      <w:color w:val="000000"/>
      <w:sz w:val="18"/>
      <w:szCs w:val="20"/>
      <w:lang w:eastAsia="en-US"/>
    </w:rPr>
  </w:style>
  <w:style w:type="character" w:customStyle="1" w:styleId="BlockQuoteChar">
    <w:name w:val="Block Quote Char"/>
    <w:basedOn w:val="DefaultParagraphFont"/>
    <w:link w:val="BlockQuote"/>
    <w:rsid w:val="00C503F6"/>
    <w:rPr>
      <w:rFonts w:ascii="Arial" w:eastAsia="Arial Unicode MS" w:hAnsi="Arial" w:cs="Arial"/>
      <w:color w:val="000000"/>
      <w:sz w:val="18"/>
      <w:szCs w:val="20"/>
      <w:lang w:eastAsia="en-US"/>
    </w:rPr>
  </w:style>
  <w:style w:type="paragraph" w:customStyle="1" w:styleId="ListParagraphLevel1">
    <w:name w:val="List Paragraph Level 1"/>
    <w:link w:val="ListParagraphLevel1Char"/>
    <w:rsid w:val="00C503F6"/>
    <w:pPr>
      <w:spacing w:after="120" w:line="240" w:lineRule="auto"/>
      <w:ind w:left="357"/>
      <w:jc w:val="both"/>
    </w:pPr>
    <w:rPr>
      <w:rFonts w:ascii="Arial" w:eastAsia="Arial Unicode MS" w:hAnsi="Arial" w:cs="Arial"/>
      <w:color w:val="000000"/>
      <w:szCs w:val="24"/>
      <w:lang w:val="en-US" w:eastAsia="en-US"/>
    </w:rPr>
  </w:style>
  <w:style w:type="paragraph" w:customStyle="1" w:styleId="ListParagraphLevel2">
    <w:name w:val="List Paragraph Level 2"/>
    <w:link w:val="ListParagraphLevel2Char"/>
    <w:qFormat/>
    <w:rsid w:val="00C503F6"/>
    <w:pPr>
      <w:spacing w:after="120" w:line="240" w:lineRule="auto"/>
      <w:ind w:left="1077"/>
      <w:jc w:val="both"/>
    </w:pPr>
    <w:rPr>
      <w:rFonts w:ascii="Arial" w:eastAsia="Arial Unicode MS" w:hAnsi="Arial" w:cs="Arial"/>
      <w:color w:val="000000"/>
      <w:szCs w:val="24"/>
      <w:lang w:val="en-US" w:eastAsia="en-US"/>
    </w:rPr>
  </w:style>
  <w:style w:type="character" w:customStyle="1" w:styleId="ListParagraphLevel1Char">
    <w:name w:val="List Paragraph Level 1 Char"/>
    <w:basedOn w:val="DefaultParagraphFont"/>
    <w:link w:val="ListParagraphLevel1"/>
    <w:rsid w:val="00C503F6"/>
    <w:rPr>
      <w:rFonts w:ascii="Arial" w:eastAsia="Arial Unicode MS" w:hAnsi="Arial" w:cs="Arial"/>
      <w:color w:val="000000"/>
      <w:szCs w:val="24"/>
      <w:lang w:val="en-US" w:eastAsia="en-US"/>
    </w:rPr>
  </w:style>
  <w:style w:type="character" w:customStyle="1" w:styleId="ListParagraphLevel2Char">
    <w:name w:val="List Paragraph Level 2 Char"/>
    <w:basedOn w:val="DefaultParagraphFont"/>
    <w:link w:val="ListParagraphLevel2"/>
    <w:rsid w:val="00C503F6"/>
    <w:rPr>
      <w:rFonts w:ascii="Arial" w:eastAsia="Arial Unicode MS" w:hAnsi="Arial" w:cs="Arial"/>
      <w:color w:val="000000"/>
      <w:szCs w:val="24"/>
      <w:lang w:val="en-US" w:eastAsia="en-US"/>
    </w:rPr>
  </w:style>
  <w:style w:type="paragraph" w:customStyle="1" w:styleId="IntroDefault">
    <w:name w:val="Intro Default"/>
    <w:basedOn w:val="Paragraph"/>
    <w:qFormat/>
    <w:rsid w:val="00C503F6"/>
  </w:style>
  <w:style w:type="paragraph" w:customStyle="1" w:styleId="IntroCustom">
    <w:name w:val="Intro Custom"/>
    <w:basedOn w:val="Paragraph"/>
    <w:qFormat/>
    <w:rsid w:val="00C503F6"/>
  </w:style>
  <w:style w:type="paragraph" w:customStyle="1" w:styleId="PrecedentType">
    <w:name w:val="Precedent Type"/>
    <w:basedOn w:val="IgnoredSpacing"/>
    <w:qFormat/>
    <w:rsid w:val="00C503F6"/>
  </w:style>
  <w:style w:type="paragraph" w:customStyle="1" w:styleId="Operative">
    <w:name w:val="Operative"/>
    <w:basedOn w:val="IgnoredSpacing"/>
    <w:qFormat/>
    <w:rsid w:val="00C503F6"/>
    <w:rPr>
      <w:vanish/>
    </w:rPr>
  </w:style>
  <w:style w:type="paragraph" w:customStyle="1" w:styleId="SpeedreadBulletList1">
    <w:name w:val="Speedread Bullet List 1"/>
    <w:basedOn w:val="BulletList1"/>
    <w:qFormat/>
    <w:rsid w:val="00C503F6"/>
    <w:rPr>
      <w:color w:val="000000"/>
    </w:rPr>
  </w:style>
  <w:style w:type="paragraph" w:customStyle="1" w:styleId="PartiesTitle">
    <w:name w:val="Parties Title"/>
    <w:basedOn w:val="Paragraph"/>
    <w:qFormat/>
    <w:rsid w:val="00C503F6"/>
    <w:rPr>
      <w:b/>
    </w:rPr>
  </w:style>
  <w:style w:type="table" w:styleId="TableGrid">
    <w:name w:val="Table Grid"/>
    <w:basedOn w:val="TableNormal"/>
    <w:rsid w:val="003B68CF"/>
    <w:pPr>
      <w:spacing w:after="0" w:line="240" w:lineRule="auto"/>
    </w:pPr>
    <w:rPr>
      <w:rFonts w:ascii="Georgia" w:eastAsia="Times New Roman" w:hAnsi="Georg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Paragraph">
    <w:name w:val="Question Paragraph"/>
    <w:link w:val="QuestionParagraphChar"/>
    <w:qFormat/>
    <w:rsid w:val="00C503F6"/>
    <w:pPr>
      <w:numPr>
        <w:numId w:val="3"/>
      </w:numPr>
      <w:shd w:val="clear" w:color="auto" w:fill="D9D9D9" w:themeFill="background1" w:themeFillShade="D9"/>
      <w:spacing w:after="120" w:line="240" w:lineRule="auto"/>
      <w:ind w:left="357" w:hanging="357"/>
      <w:outlineLvl w:val="0"/>
    </w:pPr>
    <w:rPr>
      <w:rFonts w:ascii="Arial" w:eastAsia="Arial Unicode MS" w:hAnsi="Arial" w:cs="Arial"/>
      <w:color w:val="000000"/>
      <w:lang w:val="en-US" w:eastAsia="en-US"/>
    </w:rPr>
  </w:style>
  <w:style w:type="paragraph" w:customStyle="1" w:styleId="BulletList1Pattern">
    <w:name w:val="Bullet List 1 + Pattern"/>
    <w:basedOn w:val="BulletList1"/>
    <w:qFormat/>
    <w:rsid w:val="00C503F6"/>
    <w:pPr>
      <w:shd w:val="clear" w:color="auto" w:fill="D9D9D9" w:themeFill="background1" w:themeFillShade="D9"/>
      <w:spacing w:after="120"/>
      <w:ind w:left="714" w:hanging="357"/>
    </w:pPr>
    <w:rPr>
      <w:color w:val="000000"/>
    </w:rPr>
  </w:style>
  <w:style w:type="character" w:customStyle="1" w:styleId="QuestionParagraphChar">
    <w:name w:val="Question Paragraph Char"/>
    <w:basedOn w:val="DefaultParagraphFont"/>
    <w:link w:val="QuestionParagraph"/>
    <w:rsid w:val="00C503F6"/>
    <w:rPr>
      <w:rFonts w:ascii="Arial" w:eastAsia="Arial Unicode MS" w:hAnsi="Arial" w:cs="Arial"/>
      <w:color w:val="000000"/>
      <w:shd w:val="clear" w:color="auto" w:fill="D9D9D9" w:themeFill="background1" w:themeFillShade="D9"/>
      <w:lang w:val="en-US" w:eastAsia="en-US"/>
    </w:rPr>
  </w:style>
  <w:style w:type="paragraph" w:customStyle="1" w:styleId="BulletList2Pattern">
    <w:name w:val="Bullet List 2 + Pattern"/>
    <w:basedOn w:val="BulletList2"/>
    <w:qFormat/>
    <w:rsid w:val="00C503F6"/>
    <w:pPr>
      <w:shd w:val="clear" w:color="auto" w:fill="D9D9D9" w:themeFill="background1" w:themeFillShade="D9"/>
      <w:ind w:left="1077"/>
    </w:pPr>
    <w:rPr>
      <w:color w:val="000000"/>
    </w:rPr>
  </w:style>
  <w:style w:type="paragraph" w:customStyle="1" w:styleId="TestimoniumContract">
    <w:name w:val="Testimonium Contract"/>
    <w:basedOn w:val="Paragraph"/>
    <w:qFormat/>
    <w:rsid w:val="00C503F6"/>
  </w:style>
  <w:style w:type="paragraph" w:customStyle="1" w:styleId="TestimoniumDeed">
    <w:name w:val="Testimonium Deed"/>
    <w:basedOn w:val="Paragraph"/>
    <w:qFormat/>
    <w:rsid w:val="00C503F6"/>
  </w:style>
  <w:style w:type="paragraph" w:customStyle="1" w:styleId="Titlesubclause2">
    <w:name w:val="Title subclause2"/>
    <w:basedOn w:val="Untitledsubclause2"/>
    <w:qFormat/>
    <w:rsid w:val="00C503F6"/>
    <w:rPr>
      <w:b/>
    </w:rPr>
  </w:style>
  <w:style w:type="paragraph" w:customStyle="1" w:styleId="Titlesubclause3">
    <w:name w:val="Title subclause3"/>
    <w:basedOn w:val="Untitledsubclause3"/>
    <w:qFormat/>
    <w:rsid w:val="00C503F6"/>
    <w:rPr>
      <w:b/>
    </w:rPr>
  </w:style>
  <w:style w:type="paragraph" w:customStyle="1" w:styleId="Titlesubclause4">
    <w:name w:val="Title subclause4"/>
    <w:basedOn w:val="Untitledsubclause4"/>
    <w:qFormat/>
    <w:rsid w:val="00C503F6"/>
    <w:rPr>
      <w:b/>
    </w:rPr>
  </w:style>
  <w:style w:type="paragraph" w:customStyle="1" w:styleId="UntitledClause">
    <w:name w:val="Untitled Clause"/>
    <w:basedOn w:val="TitleClause"/>
    <w:qFormat/>
    <w:rsid w:val="00C503F6"/>
    <w:pPr>
      <w:spacing w:before="120"/>
    </w:pPr>
    <w:rPr>
      <w:b w:val="0"/>
    </w:rPr>
  </w:style>
  <w:style w:type="paragraph" w:customStyle="1" w:styleId="Titlesubclause1">
    <w:name w:val="Title subclause1"/>
    <w:basedOn w:val="Untitledsubclause1"/>
    <w:qFormat/>
    <w:rsid w:val="00C503F6"/>
    <w:pPr>
      <w:spacing w:before="120"/>
    </w:pPr>
    <w:rPr>
      <w:b/>
    </w:rPr>
  </w:style>
  <w:style w:type="paragraph" w:customStyle="1" w:styleId="Schedule">
    <w:name w:val="Schedule"/>
    <w:basedOn w:val="BodyText"/>
    <w:next w:val="Part"/>
    <w:rsid w:val="003B68CF"/>
    <w:pPr>
      <w:keepNext/>
      <w:pageBreakBefore/>
      <w:numPr>
        <w:numId w:val="36"/>
      </w:numPr>
      <w:spacing w:before="210"/>
      <w:jc w:val="left"/>
    </w:pPr>
    <w:rPr>
      <w:b/>
    </w:rPr>
  </w:style>
  <w:style w:type="character" w:customStyle="1" w:styleId="Heading1Char">
    <w:name w:val="Heading 1 Char"/>
    <w:basedOn w:val="DefaultParagraphFont"/>
    <w:link w:val="Heading1"/>
    <w:rsid w:val="003B68CF"/>
    <w:rPr>
      <w:rFonts w:ascii="Georgia" w:eastAsia="Times New Roman" w:hAnsi="Georgia"/>
      <w:b/>
      <w:sz w:val="20"/>
      <w:szCs w:val="18"/>
      <w:lang w:eastAsia="en-US"/>
    </w:rPr>
  </w:style>
  <w:style w:type="character" w:customStyle="1" w:styleId="Heading2Char">
    <w:name w:val="Heading 2 Char"/>
    <w:basedOn w:val="DefaultParagraphFont"/>
    <w:link w:val="Heading2"/>
    <w:rsid w:val="003B68CF"/>
    <w:rPr>
      <w:rFonts w:ascii="Georgia" w:eastAsia="Times New Roman" w:hAnsi="Georgia"/>
      <w:color w:val="000000"/>
      <w:sz w:val="20"/>
      <w:szCs w:val="18"/>
      <w:lang w:eastAsia="en-US"/>
    </w:rPr>
  </w:style>
  <w:style w:type="character" w:customStyle="1" w:styleId="Heading3Char">
    <w:name w:val="Heading 3 Char"/>
    <w:basedOn w:val="DefaultParagraphFont"/>
    <w:link w:val="Heading3"/>
    <w:rsid w:val="003B68CF"/>
    <w:rPr>
      <w:rFonts w:ascii="Georgia" w:eastAsia="Times New Roman" w:hAnsi="Georgia"/>
      <w:sz w:val="20"/>
      <w:szCs w:val="18"/>
      <w:lang w:eastAsia="en-US"/>
    </w:rPr>
  </w:style>
  <w:style w:type="character" w:customStyle="1" w:styleId="Heading4Char">
    <w:name w:val="Heading 4 Char"/>
    <w:basedOn w:val="DefaultParagraphFont"/>
    <w:link w:val="Heading4"/>
    <w:rsid w:val="003B68CF"/>
    <w:rPr>
      <w:rFonts w:ascii="Georgia" w:eastAsia="Times New Roman" w:hAnsi="Georgia"/>
      <w:sz w:val="20"/>
      <w:szCs w:val="18"/>
      <w:lang w:eastAsia="en-US"/>
    </w:rPr>
  </w:style>
  <w:style w:type="character" w:customStyle="1" w:styleId="Heading5Char">
    <w:name w:val="Heading 5 Char"/>
    <w:basedOn w:val="DefaultParagraphFont"/>
    <w:link w:val="Heading5"/>
    <w:rsid w:val="003B68CF"/>
    <w:rPr>
      <w:rFonts w:ascii="Georgia" w:eastAsia="Times New Roman" w:hAnsi="Georgia"/>
      <w:sz w:val="20"/>
      <w:szCs w:val="18"/>
      <w:lang w:eastAsia="en-US"/>
    </w:rPr>
  </w:style>
  <w:style w:type="character" w:customStyle="1" w:styleId="Heading6Char">
    <w:name w:val="Heading 6 Char"/>
    <w:basedOn w:val="DefaultParagraphFont"/>
    <w:link w:val="Heading6"/>
    <w:rsid w:val="003B68CF"/>
    <w:rPr>
      <w:rFonts w:ascii="Georgia" w:eastAsia="Times New Roman" w:hAnsi="Georgia"/>
      <w:sz w:val="20"/>
      <w:szCs w:val="18"/>
      <w:lang w:eastAsia="en-US"/>
    </w:rPr>
  </w:style>
  <w:style w:type="character" w:customStyle="1" w:styleId="Heading7Char">
    <w:name w:val="Heading 7 Char"/>
    <w:basedOn w:val="DefaultParagraphFont"/>
    <w:link w:val="Heading7"/>
    <w:rsid w:val="003B68CF"/>
    <w:rPr>
      <w:rFonts w:ascii="Georgia" w:eastAsia="Times New Roman" w:hAnsi="Georgia"/>
      <w:b/>
      <w:smallCaps/>
      <w:color w:val="000000"/>
      <w:sz w:val="20"/>
      <w:szCs w:val="18"/>
      <w:lang w:eastAsia="en-US"/>
    </w:rPr>
  </w:style>
  <w:style w:type="character" w:customStyle="1" w:styleId="Heading8Char">
    <w:name w:val="Heading 8 Char"/>
    <w:basedOn w:val="DefaultParagraphFont"/>
    <w:link w:val="Heading8"/>
    <w:rsid w:val="003B68CF"/>
    <w:rPr>
      <w:rFonts w:ascii="Georgia" w:eastAsia="Times New Roman" w:hAnsi="Georgia"/>
      <w:b/>
      <w:sz w:val="20"/>
      <w:szCs w:val="18"/>
      <w:lang w:eastAsia="en-US"/>
    </w:rPr>
  </w:style>
  <w:style w:type="character" w:customStyle="1" w:styleId="Heading9Char">
    <w:name w:val="Heading 9 Char"/>
    <w:link w:val="Heading9"/>
    <w:rsid w:val="003B68CF"/>
    <w:rPr>
      <w:rFonts w:ascii="Calibri Light" w:eastAsia="Times New Roman" w:hAnsi="Calibri Light"/>
      <w:lang w:eastAsia="en-US"/>
    </w:rPr>
  </w:style>
  <w:style w:type="paragraph" w:customStyle="1" w:styleId="ScheduleTitle">
    <w:name w:val="Schedule Title"/>
    <w:basedOn w:val="Paragraph"/>
    <w:qFormat/>
    <w:rsid w:val="00C503F6"/>
    <w:rPr>
      <w:b/>
    </w:rPr>
  </w:style>
  <w:style w:type="paragraph" w:customStyle="1" w:styleId="Part">
    <w:name w:val="Part"/>
    <w:basedOn w:val="BodyText"/>
    <w:next w:val="BodyText"/>
    <w:rsid w:val="003B68CF"/>
    <w:pPr>
      <w:keepNext/>
      <w:numPr>
        <w:ilvl w:val="1"/>
        <w:numId w:val="36"/>
      </w:numPr>
      <w:spacing w:before="120" w:after="240"/>
      <w:jc w:val="left"/>
      <w:outlineLvl w:val="0"/>
    </w:pPr>
    <w:rPr>
      <w:b/>
      <w:kern w:val="28"/>
    </w:rPr>
  </w:style>
  <w:style w:type="paragraph" w:customStyle="1" w:styleId="AnnexTitle">
    <w:name w:val="Annex Title"/>
    <w:basedOn w:val="Paragraph"/>
    <w:next w:val="Paragraph"/>
    <w:qFormat/>
    <w:rsid w:val="00C503F6"/>
    <w:pPr>
      <w:spacing w:before="240" w:after="240"/>
    </w:pPr>
    <w:rPr>
      <w:b/>
    </w:rPr>
  </w:style>
  <w:style w:type="paragraph" w:customStyle="1" w:styleId="PartTitle">
    <w:name w:val="Part Title"/>
    <w:basedOn w:val="Paragraph"/>
    <w:qFormat/>
    <w:rsid w:val="00C503F6"/>
    <w:rPr>
      <w:b/>
    </w:rPr>
  </w:style>
  <w:style w:type="paragraph" w:customStyle="1" w:styleId="Testimonium">
    <w:name w:val="Testimonium"/>
    <w:basedOn w:val="Normal"/>
    <w:rsid w:val="003B68CF"/>
    <w:pPr>
      <w:spacing w:before="360" w:after="360"/>
    </w:pPr>
  </w:style>
  <w:style w:type="character" w:customStyle="1" w:styleId="apple-converted-space">
    <w:name w:val="apple-converted-space"/>
    <w:basedOn w:val="DefaultParagraphFont"/>
    <w:rsid w:val="00C503F6"/>
    <w:rPr>
      <w:color w:val="000000"/>
    </w:rPr>
  </w:style>
  <w:style w:type="character" w:styleId="Emphasis">
    <w:name w:val="Emphasis"/>
    <w:rsid w:val="003B68CF"/>
    <w:rPr>
      <w:rFonts w:cs="Times New Roman"/>
      <w:i/>
    </w:rPr>
  </w:style>
  <w:style w:type="paragraph" w:customStyle="1" w:styleId="NoNumTitle-Clause">
    <w:name w:val="No Num Title - Clause"/>
    <w:basedOn w:val="TitleClause"/>
    <w:qFormat/>
    <w:rsid w:val="00C503F6"/>
    <w:pPr>
      <w:numPr>
        <w:numId w:val="0"/>
      </w:numPr>
      <w:ind w:left="720"/>
    </w:pPr>
  </w:style>
  <w:style w:type="paragraph" w:customStyle="1" w:styleId="NoNumTitlesubclause1">
    <w:name w:val="No Num Title subclause1"/>
    <w:basedOn w:val="Titlesubclause1"/>
    <w:qFormat/>
    <w:rsid w:val="00C503F6"/>
    <w:pPr>
      <w:numPr>
        <w:ilvl w:val="0"/>
        <w:numId w:val="0"/>
      </w:numPr>
      <w:ind w:left="720"/>
    </w:pPr>
  </w:style>
  <w:style w:type="paragraph" w:customStyle="1" w:styleId="AddressLine">
    <w:name w:val="Address Line"/>
    <w:basedOn w:val="Paragraph"/>
    <w:qFormat/>
    <w:rsid w:val="00C503F6"/>
  </w:style>
  <w:style w:type="paragraph" w:styleId="Date">
    <w:name w:val="Date"/>
    <w:basedOn w:val="Paragraph"/>
    <w:qFormat/>
    <w:rsid w:val="00C503F6"/>
  </w:style>
  <w:style w:type="paragraph" w:customStyle="1" w:styleId="SalutationPara">
    <w:name w:val="Salutation Para"/>
    <w:basedOn w:val="Paragraph"/>
    <w:next w:val="Paragraph"/>
    <w:qFormat/>
    <w:rsid w:val="00C503F6"/>
    <w:pPr>
      <w:spacing w:before="240"/>
    </w:pPr>
  </w:style>
  <w:style w:type="character" w:styleId="FollowedHyperlink">
    <w:name w:val="FollowedHyperlink"/>
    <w:rsid w:val="003B68CF"/>
    <w:rPr>
      <w:color w:val="800080"/>
      <w:u w:val="single"/>
    </w:rPr>
  </w:style>
  <w:style w:type="character" w:customStyle="1" w:styleId="DefTerm">
    <w:name w:val="DefTerm"/>
    <w:basedOn w:val="DefaultParagraphFont"/>
    <w:uiPriority w:val="1"/>
    <w:qFormat/>
    <w:rsid w:val="00C503F6"/>
    <w:rPr>
      <w:b/>
      <w:color w:val="000000"/>
    </w:rPr>
  </w:style>
  <w:style w:type="table" w:customStyle="1" w:styleId="ShadedTable">
    <w:name w:val="Shaded Table"/>
    <w:basedOn w:val="TableNormal"/>
    <w:uiPriority w:val="99"/>
    <w:rsid w:val="00C503F6"/>
    <w:pPr>
      <w:spacing w:after="0" w:line="240" w:lineRule="auto"/>
    </w:pPr>
    <w:rPr>
      <w:color w:val="000000"/>
    </w:rPr>
    <w:tblPr>
      <w:tblBorders>
        <w:top w:val="single" w:sz="4" w:space="0" w:color="auto"/>
        <w:left w:val="single" w:sz="4" w:space="0" w:color="auto"/>
        <w:bottom w:val="single" w:sz="4" w:space="0" w:color="auto"/>
        <w:right w:val="single" w:sz="4" w:space="0" w:color="auto"/>
      </w:tblBorders>
    </w:tblPr>
    <w:tcPr>
      <w:shd w:val="clear" w:color="auto" w:fill="EEECE1" w:themeFill="background2"/>
    </w:tcPr>
  </w:style>
  <w:style w:type="paragraph" w:customStyle="1" w:styleId="Letterhead">
    <w:name w:val="Letterhead"/>
    <w:basedOn w:val="Paragraph"/>
    <w:qFormat/>
    <w:rsid w:val="00C503F6"/>
    <w:rPr>
      <w:i/>
    </w:rPr>
  </w:style>
  <w:style w:type="paragraph" w:customStyle="1" w:styleId="LetterTitle">
    <w:name w:val="Letter Title"/>
    <w:basedOn w:val="Paragraph"/>
    <w:qFormat/>
    <w:rsid w:val="00C503F6"/>
    <w:rPr>
      <w:b/>
    </w:rPr>
  </w:style>
  <w:style w:type="paragraph" w:customStyle="1" w:styleId="LongQuestionPara">
    <w:name w:val="Long Question Para"/>
    <w:basedOn w:val="Paragraph"/>
    <w:link w:val="LongQuestionParaChar"/>
    <w:rsid w:val="00C503F6"/>
    <w:pPr>
      <w:numPr>
        <w:numId w:val="5"/>
      </w:numPr>
      <w:spacing w:before="240" w:after="240" w:line="240" w:lineRule="auto"/>
      <w:outlineLvl w:val="1"/>
    </w:pPr>
    <w:rPr>
      <w:lang w:val="en-US"/>
    </w:rPr>
  </w:style>
  <w:style w:type="character" w:customStyle="1" w:styleId="LongQuestionParaChar">
    <w:name w:val="Long Question Para Char"/>
    <w:basedOn w:val="DefaultParagraphFont"/>
    <w:link w:val="LongQuestionPara"/>
    <w:rsid w:val="00C503F6"/>
    <w:rPr>
      <w:rFonts w:ascii="Arial" w:eastAsia="Arial Unicode MS" w:hAnsi="Arial" w:cs="Arial"/>
      <w:color w:val="000000"/>
      <w:sz w:val="20"/>
      <w:szCs w:val="20"/>
      <w:lang w:val="en-US" w:eastAsia="en-US"/>
    </w:rPr>
  </w:style>
  <w:style w:type="paragraph" w:customStyle="1" w:styleId="ShortQuestionPara">
    <w:name w:val="Short Question Para"/>
    <w:basedOn w:val="Paragraph"/>
    <w:link w:val="ShortQuestionParaChar"/>
    <w:rsid w:val="00C503F6"/>
    <w:pPr>
      <w:shd w:val="clear" w:color="auto" w:fill="D9D9D9" w:themeFill="background1" w:themeFillShade="D9"/>
      <w:tabs>
        <w:tab w:val="left" w:pos="270"/>
      </w:tabs>
      <w:spacing w:after="40" w:line="240" w:lineRule="auto"/>
      <w:outlineLvl w:val="1"/>
    </w:pPr>
    <w:rPr>
      <w:bCs/>
      <w:lang w:val="en-US"/>
    </w:rPr>
  </w:style>
  <w:style w:type="character" w:customStyle="1" w:styleId="ShortQuestionParaChar">
    <w:name w:val="Short Question Para Char"/>
    <w:basedOn w:val="DefaultParagraphFont"/>
    <w:link w:val="ShortQuestionPara"/>
    <w:rsid w:val="00C503F6"/>
    <w:rPr>
      <w:rFonts w:ascii="Arial" w:eastAsia="Arial Unicode MS" w:hAnsi="Arial" w:cs="Arial"/>
      <w:bCs/>
      <w:color w:val="000000"/>
      <w:sz w:val="20"/>
      <w:szCs w:val="20"/>
      <w:shd w:val="clear" w:color="auto" w:fill="D9D9D9" w:themeFill="background1" w:themeFillShade="D9"/>
      <w:lang w:val="en-US" w:eastAsia="en-US"/>
    </w:rPr>
  </w:style>
  <w:style w:type="character" w:customStyle="1" w:styleId="ParagraphChar">
    <w:name w:val="Paragraph Char"/>
    <w:basedOn w:val="DefaultParagraphFont"/>
    <w:link w:val="Paragraph"/>
    <w:rsid w:val="00C503F6"/>
    <w:rPr>
      <w:rFonts w:ascii="Arial" w:eastAsia="Arial Unicode MS" w:hAnsi="Arial" w:cs="Arial"/>
      <w:color w:val="000000"/>
      <w:szCs w:val="20"/>
      <w:lang w:eastAsia="en-US"/>
    </w:rPr>
  </w:style>
  <w:style w:type="paragraph" w:customStyle="1" w:styleId="811D3A974D454A258B71E3C4DE24C4F210">
    <w:name w:val="811D3A974D454A258B71E3C4DE24C4F210"/>
    <w:rsid w:val="00BD4BA4"/>
    <w:pPr>
      <w:spacing w:after="120" w:line="240" w:lineRule="auto"/>
    </w:pPr>
    <w:rPr>
      <w:rFonts w:ascii="Arial" w:eastAsia="Arial Unicode MS" w:hAnsi="Arial" w:cs="Arial"/>
      <w:color w:val="000000"/>
      <w:sz w:val="24"/>
      <w:lang w:val="en-US" w:eastAsia="en-US"/>
    </w:rPr>
  </w:style>
  <w:style w:type="paragraph" w:customStyle="1" w:styleId="ListParagraphLevel3">
    <w:name w:val="List Paragraph Level 3"/>
    <w:qFormat/>
    <w:rsid w:val="00C503F6"/>
    <w:pPr>
      <w:spacing w:after="120" w:line="240" w:lineRule="auto"/>
      <w:ind w:left="2160"/>
    </w:pPr>
    <w:rPr>
      <w:rFonts w:ascii="Times New Roman" w:eastAsia="Times New Roman" w:hAnsi="Times New Roman" w:cs="Times New Roman"/>
      <w:color w:val="000000"/>
      <w:sz w:val="24"/>
      <w:szCs w:val="20"/>
      <w:lang w:eastAsia="en-US"/>
    </w:rPr>
  </w:style>
  <w:style w:type="paragraph" w:customStyle="1" w:styleId="DocumentTitle">
    <w:name w:val="Document Title"/>
    <w:basedOn w:val="Paragraph"/>
    <w:qFormat/>
    <w:rsid w:val="00C503F6"/>
    <w:pPr>
      <w:jc w:val="center"/>
    </w:pPr>
    <w:rPr>
      <w:sz w:val="28"/>
    </w:rPr>
  </w:style>
  <w:style w:type="paragraph" w:customStyle="1" w:styleId="Title-Clause">
    <w:name w:val="Title - Clause"/>
    <w:aliases w:val="BIWS Heading 1"/>
    <w:basedOn w:val="Normal"/>
    <w:rsid w:val="00C503F6"/>
    <w:pPr>
      <w:keepNext/>
      <w:tabs>
        <w:tab w:val="num" w:pos="720"/>
      </w:tabs>
      <w:spacing w:before="240" w:after="240" w:line="300" w:lineRule="atLeast"/>
      <w:ind w:left="720" w:hanging="720"/>
      <w:jc w:val="both"/>
      <w:outlineLvl w:val="0"/>
    </w:pPr>
    <w:rPr>
      <w:rFonts w:ascii="Arial" w:eastAsia="Arial Unicode MS" w:hAnsi="Arial" w:cs="Arial"/>
      <w:b/>
      <w:color w:val="000000"/>
      <w:kern w:val="28"/>
      <w:szCs w:val="20"/>
    </w:rPr>
  </w:style>
  <w:style w:type="paragraph" w:customStyle="1" w:styleId="Para-Clause-nonum">
    <w:name w:val="Para - Clause - no num"/>
    <w:aliases w:val="Body  clause"/>
    <w:basedOn w:val="Normal"/>
    <w:next w:val="Title-Clause"/>
    <w:rsid w:val="00C503F6"/>
    <w:pPr>
      <w:spacing w:before="120" w:after="120" w:line="300" w:lineRule="atLeast"/>
      <w:ind w:left="720"/>
      <w:jc w:val="both"/>
    </w:pPr>
    <w:rPr>
      <w:rFonts w:ascii="Arial" w:eastAsia="Arial Unicode MS" w:hAnsi="Arial" w:cs="Arial"/>
      <w:color w:val="000000"/>
      <w:szCs w:val="20"/>
    </w:rPr>
  </w:style>
  <w:style w:type="paragraph" w:customStyle="1" w:styleId="Para-Clause">
    <w:name w:val="Para - Clause"/>
    <w:basedOn w:val="Title-Clause"/>
    <w:qFormat/>
    <w:rsid w:val="00C503F6"/>
    <w:pPr>
      <w:spacing w:before="120"/>
    </w:pPr>
    <w:rPr>
      <w:b w:val="0"/>
    </w:rPr>
  </w:style>
  <w:style w:type="paragraph" w:customStyle="1" w:styleId="CoversheetParagraph">
    <w:name w:val="Coversheet Paragraph"/>
    <w:basedOn w:val="Body"/>
    <w:autoRedefine/>
    <w:rsid w:val="003B68CF"/>
    <w:pPr>
      <w:jc w:val="center"/>
    </w:pPr>
  </w:style>
  <w:style w:type="paragraph" w:customStyle="1" w:styleId="CoversheetIntro">
    <w:name w:val="Coversheet Intro"/>
    <w:basedOn w:val="CoversheetTitle"/>
    <w:qFormat/>
    <w:rsid w:val="00C503F6"/>
    <w:rPr>
      <w:smallCaps/>
      <w:color w:val="000000"/>
      <w:sz w:val="22"/>
    </w:rPr>
  </w:style>
  <w:style w:type="paragraph" w:customStyle="1" w:styleId="CoversheetStaticText">
    <w:name w:val="Coversheet Static Text"/>
    <w:basedOn w:val="CoversheetIntro"/>
    <w:qFormat/>
    <w:rsid w:val="00C503F6"/>
    <w:rPr>
      <w:b/>
    </w:rPr>
  </w:style>
  <w:style w:type="paragraph" w:customStyle="1" w:styleId="CoversheetParty">
    <w:name w:val="Coversheet Party"/>
    <w:basedOn w:val="CoversheetIntro"/>
    <w:qFormat/>
    <w:rsid w:val="00C503F6"/>
  </w:style>
  <w:style w:type="paragraph" w:customStyle="1" w:styleId="NoNumUntitledClause">
    <w:name w:val="No Num Untitled Clause"/>
    <w:basedOn w:val="UntitledClause"/>
    <w:qFormat/>
    <w:rsid w:val="00C503F6"/>
    <w:pPr>
      <w:numPr>
        <w:numId w:val="0"/>
      </w:numPr>
      <w:ind w:left="720"/>
    </w:pPr>
  </w:style>
  <w:style w:type="paragraph" w:customStyle="1" w:styleId="BackgroundSubclause1">
    <w:name w:val="Background Subclause1"/>
    <w:basedOn w:val="Background"/>
    <w:qFormat/>
    <w:rsid w:val="00C503F6"/>
    <w:pPr>
      <w:numPr>
        <w:numId w:val="0"/>
      </w:numPr>
      <w:tabs>
        <w:tab w:val="num" w:pos="1247"/>
      </w:tabs>
      <w:ind w:left="1247" w:hanging="680"/>
    </w:pPr>
    <w:rPr>
      <w:color w:val="000000"/>
    </w:rPr>
  </w:style>
  <w:style w:type="paragraph" w:customStyle="1" w:styleId="BackgroundSubclause2">
    <w:name w:val="Background Subclause2"/>
    <w:basedOn w:val="Background"/>
    <w:qFormat/>
    <w:rsid w:val="00C503F6"/>
    <w:pPr>
      <w:numPr>
        <w:numId w:val="0"/>
      </w:numPr>
      <w:tabs>
        <w:tab w:val="num" w:pos="3062"/>
      </w:tabs>
      <w:ind w:left="3062" w:hanging="681"/>
    </w:pPr>
    <w:rPr>
      <w:color w:val="000000"/>
    </w:rPr>
  </w:style>
  <w:style w:type="paragraph" w:customStyle="1" w:styleId="HeadingLevel2CQA">
    <w:name w:val="Heading Level 2 CQA"/>
    <w:basedOn w:val="HeadingLevel2"/>
    <w:qFormat/>
    <w:rsid w:val="00C503F6"/>
  </w:style>
  <w:style w:type="paragraph" w:customStyle="1" w:styleId="ClauseBullet1">
    <w:name w:val="Clause Bullet 1"/>
    <w:basedOn w:val="ParaClause"/>
    <w:qFormat/>
    <w:rsid w:val="00C503F6"/>
    <w:pPr>
      <w:numPr>
        <w:numId w:val="6"/>
      </w:numPr>
      <w:ind w:left="1077" w:hanging="357"/>
      <w:outlineLvl w:val="0"/>
    </w:pPr>
  </w:style>
  <w:style w:type="paragraph" w:customStyle="1" w:styleId="ClauseBullet2">
    <w:name w:val="Clause Bullet 2"/>
    <w:basedOn w:val="ParaClause"/>
    <w:qFormat/>
    <w:rsid w:val="00C503F6"/>
    <w:pPr>
      <w:numPr>
        <w:numId w:val="7"/>
      </w:numPr>
      <w:ind w:left="1434" w:hanging="357"/>
      <w:outlineLvl w:val="1"/>
    </w:pPr>
  </w:style>
  <w:style w:type="paragraph" w:customStyle="1" w:styleId="subclause1Bullet1">
    <w:name w:val="subclause 1 Bullet 1"/>
    <w:basedOn w:val="Parasubclause1"/>
    <w:qFormat/>
    <w:rsid w:val="00C503F6"/>
    <w:pPr>
      <w:numPr>
        <w:numId w:val="8"/>
      </w:numPr>
    </w:pPr>
  </w:style>
  <w:style w:type="paragraph" w:customStyle="1" w:styleId="subclause2Bullet1">
    <w:name w:val="subclause 2 Bullet 1"/>
    <w:basedOn w:val="Parasubclause2"/>
    <w:qFormat/>
    <w:rsid w:val="00C503F6"/>
    <w:pPr>
      <w:numPr>
        <w:numId w:val="10"/>
      </w:numPr>
      <w:ind w:left="1434" w:hanging="357"/>
    </w:pPr>
  </w:style>
  <w:style w:type="paragraph" w:customStyle="1" w:styleId="subclause3Bullet1">
    <w:name w:val="subclause 3 Bullet 1"/>
    <w:basedOn w:val="Parasubclause3"/>
    <w:qFormat/>
    <w:rsid w:val="00C503F6"/>
    <w:pPr>
      <w:numPr>
        <w:numId w:val="9"/>
      </w:numPr>
      <w:ind w:left="2273" w:hanging="357"/>
    </w:pPr>
  </w:style>
  <w:style w:type="paragraph" w:customStyle="1" w:styleId="subclause1Bullet2">
    <w:name w:val="subclause 1 Bullet 2"/>
    <w:basedOn w:val="Parasubclause1"/>
    <w:qFormat/>
    <w:rsid w:val="00C503F6"/>
    <w:pPr>
      <w:numPr>
        <w:numId w:val="11"/>
      </w:numPr>
      <w:ind w:left="1434" w:hanging="357"/>
    </w:pPr>
  </w:style>
  <w:style w:type="paragraph" w:customStyle="1" w:styleId="subclause2Bullet2">
    <w:name w:val="subclause 2 Bullet 2"/>
    <w:basedOn w:val="Parasubclause2"/>
    <w:qFormat/>
    <w:rsid w:val="00C503F6"/>
    <w:pPr>
      <w:numPr>
        <w:numId w:val="12"/>
      </w:numPr>
      <w:ind w:left="2273" w:hanging="357"/>
    </w:pPr>
  </w:style>
  <w:style w:type="paragraph" w:customStyle="1" w:styleId="subclause3Bullet2">
    <w:name w:val="subclause 3 Bullet 2"/>
    <w:basedOn w:val="Parasubclause3"/>
    <w:qFormat/>
    <w:rsid w:val="00C503F6"/>
    <w:pPr>
      <w:numPr>
        <w:numId w:val="13"/>
      </w:numPr>
      <w:ind w:left="2982" w:hanging="357"/>
    </w:pPr>
  </w:style>
  <w:style w:type="paragraph" w:customStyle="1" w:styleId="DefinedTermBullet">
    <w:name w:val="Defined Term Bullet"/>
    <w:basedOn w:val="DefinedTermPara"/>
    <w:qFormat/>
    <w:rsid w:val="00C503F6"/>
    <w:pPr>
      <w:numPr>
        <w:numId w:val="14"/>
      </w:numPr>
    </w:pPr>
  </w:style>
  <w:style w:type="paragraph" w:customStyle="1" w:styleId="DefinedTermNumber">
    <w:name w:val="Defined Term Number"/>
    <w:basedOn w:val="DefinedTermPara"/>
    <w:qFormat/>
    <w:rsid w:val="00C503F6"/>
    <w:pPr>
      <w:numPr>
        <w:ilvl w:val="1"/>
      </w:numPr>
    </w:pPr>
  </w:style>
  <w:style w:type="paragraph" w:customStyle="1" w:styleId="AdditionalTitle">
    <w:name w:val="Additional Title"/>
    <w:basedOn w:val="Paragraph"/>
    <w:qFormat/>
    <w:rsid w:val="00C503F6"/>
    <w:pPr>
      <w:jc w:val="left"/>
    </w:pPr>
    <w:rPr>
      <w:b/>
    </w:rPr>
  </w:style>
  <w:style w:type="character" w:customStyle="1" w:styleId="error">
    <w:name w:val="error"/>
    <w:basedOn w:val="DefaultParagraphFont"/>
    <w:rsid w:val="00C503F6"/>
    <w:rPr>
      <w:color w:val="000000"/>
    </w:rPr>
  </w:style>
  <w:style w:type="paragraph" w:customStyle="1" w:styleId="NoNumUntitledsubclause1">
    <w:name w:val="No Num Untitled subclause 1"/>
    <w:basedOn w:val="Untitledsubclause1"/>
    <w:qFormat/>
    <w:rsid w:val="00C503F6"/>
    <w:pPr>
      <w:numPr>
        <w:ilvl w:val="0"/>
        <w:numId w:val="0"/>
      </w:numPr>
      <w:ind w:left="720"/>
    </w:pPr>
  </w:style>
  <w:style w:type="paragraph" w:customStyle="1" w:styleId="BackgroundParaClause">
    <w:name w:val="Background Para Clause"/>
    <w:basedOn w:val="Background"/>
    <w:qFormat/>
    <w:rsid w:val="00C503F6"/>
    <w:pPr>
      <w:numPr>
        <w:numId w:val="0"/>
      </w:numPr>
    </w:pPr>
    <w:rPr>
      <w:color w:val="000000"/>
    </w:rPr>
  </w:style>
  <w:style w:type="paragraph" w:customStyle="1" w:styleId="BackgroundParaSubclause1">
    <w:name w:val="Background Para Subclause1"/>
    <w:basedOn w:val="BackgroundSubclause1"/>
    <w:qFormat/>
    <w:rsid w:val="00C503F6"/>
    <w:pPr>
      <w:tabs>
        <w:tab w:val="clear" w:pos="1247"/>
      </w:tabs>
      <w:ind w:left="994" w:firstLine="0"/>
    </w:pPr>
    <w:rPr>
      <w:lang w:val="en-US"/>
    </w:rPr>
  </w:style>
  <w:style w:type="paragraph" w:customStyle="1" w:styleId="BackgroundParaSubclause2">
    <w:name w:val="Background Para Subclause2"/>
    <w:basedOn w:val="BackgroundSubclause2"/>
    <w:qFormat/>
    <w:rsid w:val="00C503F6"/>
    <w:pPr>
      <w:tabs>
        <w:tab w:val="clear" w:pos="3062"/>
      </w:tabs>
      <w:ind w:left="1701" w:firstLine="0"/>
    </w:pPr>
    <w:rPr>
      <w:lang w:val="en-US"/>
    </w:rPr>
  </w:style>
  <w:style w:type="paragraph" w:customStyle="1" w:styleId="ClauseBulletPara">
    <w:name w:val="Clause Bullet Para"/>
    <w:basedOn w:val="ClauseBullet1"/>
    <w:qFormat/>
    <w:rsid w:val="00C503F6"/>
    <w:pPr>
      <w:numPr>
        <w:numId w:val="0"/>
      </w:numPr>
      <w:ind w:left="1080"/>
    </w:pPr>
    <w:rPr>
      <w:lang w:val="en-US"/>
    </w:rPr>
  </w:style>
  <w:style w:type="paragraph" w:customStyle="1" w:styleId="ClauseBullet2Para">
    <w:name w:val="Clause Bullet 2 Para"/>
    <w:basedOn w:val="ClauseBullet2"/>
    <w:qFormat/>
    <w:rsid w:val="00C503F6"/>
    <w:pPr>
      <w:numPr>
        <w:numId w:val="0"/>
      </w:numPr>
      <w:ind w:left="1440"/>
    </w:pPr>
    <w:rPr>
      <w:lang w:val="en-US"/>
    </w:rPr>
  </w:style>
  <w:style w:type="paragraph" w:customStyle="1" w:styleId="ACTJurisdictionCheckList">
    <w:name w:val="ACTJurisdictionCheckList"/>
    <w:basedOn w:val="Normal"/>
    <w:rsid w:val="00C503F6"/>
    <w:pPr>
      <w:spacing w:after="120" w:line="300" w:lineRule="atLeast"/>
    </w:pPr>
    <w:rPr>
      <w:rFonts w:ascii="Arial" w:eastAsia="Arial Unicode MS" w:hAnsi="Arial" w:cs="Arial"/>
      <w:b/>
      <w:color w:val="000000"/>
      <w:sz w:val="28"/>
    </w:rPr>
  </w:style>
  <w:style w:type="paragraph" w:customStyle="1" w:styleId="JurisdictionDraftingnoteTitle">
    <w:name w:val="Jurisdiction Draftingnote Title"/>
    <w:basedOn w:val="DraftingnoteTitle"/>
    <w:qFormat/>
    <w:rsid w:val="00C503F6"/>
  </w:style>
  <w:style w:type="paragraph" w:customStyle="1" w:styleId="ScheduleTitleClause">
    <w:name w:val="Schedule Title Clause"/>
    <w:basedOn w:val="Normal"/>
    <w:rsid w:val="00C503F6"/>
    <w:pPr>
      <w:keepNext/>
      <w:numPr>
        <w:ilvl w:val="2"/>
        <w:numId w:val="15"/>
      </w:numPr>
      <w:spacing w:before="240" w:after="240" w:line="300" w:lineRule="atLeast"/>
      <w:jc w:val="both"/>
      <w:outlineLvl w:val="0"/>
    </w:pPr>
    <w:rPr>
      <w:rFonts w:ascii="Arial" w:eastAsia="Arial Unicode MS" w:hAnsi="Arial" w:cs="Arial"/>
      <w:b/>
      <w:color w:val="000000"/>
      <w:kern w:val="28"/>
      <w:szCs w:val="20"/>
    </w:rPr>
  </w:style>
  <w:style w:type="paragraph" w:customStyle="1" w:styleId="ScheduleUntitledsubclause1">
    <w:name w:val="Schedule Untitled subclause 1"/>
    <w:basedOn w:val="Normal"/>
    <w:rsid w:val="00C503F6"/>
    <w:pPr>
      <w:numPr>
        <w:ilvl w:val="3"/>
        <w:numId w:val="15"/>
      </w:numPr>
      <w:spacing w:before="280" w:after="120" w:line="300" w:lineRule="atLeast"/>
      <w:jc w:val="both"/>
      <w:outlineLvl w:val="1"/>
    </w:pPr>
    <w:rPr>
      <w:rFonts w:ascii="Arial" w:eastAsia="Arial Unicode MS" w:hAnsi="Arial" w:cs="Arial"/>
      <w:color w:val="000000"/>
      <w:szCs w:val="20"/>
    </w:rPr>
  </w:style>
  <w:style w:type="paragraph" w:customStyle="1" w:styleId="ScheduleUntitledsubclause2">
    <w:name w:val="Schedule Untitled subclause 2"/>
    <w:basedOn w:val="Normal"/>
    <w:rsid w:val="00C503F6"/>
    <w:pPr>
      <w:numPr>
        <w:ilvl w:val="4"/>
        <w:numId w:val="15"/>
      </w:numPr>
      <w:spacing w:after="120" w:line="300" w:lineRule="atLeast"/>
      <w:jc w:val="both"/>
      <w:outlineLvl w:val="2"/>
    </w:pPr>
    <w:rPr>
      <w:rFonts w:ascii="Arial" w:eastAsia="Arial Unicode MS" w:hAnsi="Arial" w:cs="Arial"/>
      <w:color w:val="000000"/>
      <w:szCs w:val="20"/>
    </w:rPr>
  </w:style>
  <w:style w:type="paragraph" w:customStyle="1" w:styleId="ScheduleUntitledsubclause3">
    <w:name w:val="Schedule Untitled subclause 3"/>
    <w:basedOn w:val="Normal"/>
    <w:rsid w:val="00C503F6"/>
    <w:pPr>
      <w:numPr>
        <w:ilvl w:val="5"/>
        <w:numId w:val="15"/>
      </w:numPr>
      <w:tabs>
        <w:tab w:val="left" w:pos="2261"/>
      </w:tabs>
      <w:spacing w:after="120" w:line="300" w:lineRule="atLeast"/>
      <w:jc w:val="both"/>
      <w:outlineLvl w:val="3"/>
    </w:pPr>
    <w:rPr>
      <w:rFonts w:ascii="Arial" w:eastAsia="Arial Unicode MS" w:hAnsi="Arial" w:cs="Arial"/>
      <w:color w:val="000000"/>
      <w:szCs w:val="20"/>
    </w:rPr>
  </w:style>
  <w:style w:type="paragraph" w:customStyle="1" w:styleId="ScheduleUntitledsubclause4">
    <w:name w:val="Schedule Untitled subclause 4"/>
    <w:basedOn w:val="Normal"/>
    <w:rsid w:val="00C503F6"/>
    <w:pPr>
      <w:spacing w:after="120" w:line="300" w:lineRule="atLeast"/>
      <w:jc w:val="both"/>
      <w:outlineLvl w:val="4"/>
    </w:pPr>
    <w:rPr>
      <w:rFonts w:ascii="Arial" w:eastAsia="Arial Unicode MS" w:hAnsi="Arial" w:cs="Arial"/>
      <w:color w:val="000000"/>
      <w:szCs w:val="20"/>
    </w:rPr>
  </w:style>
  <w:style w:type="paragraph" w:customStyle="1" w:styleId="BulletListPattern1">
    <w:name w:val="Bullet List Pattern 1"/>
    <w:basedOn w:val="BulletList1"/>
    <w:qFormat/>
    <w:rsid w:val="00C503F6"/>
    <w:pPr>
      <w:shd w:val="clear" w:color="auto" w:fill="D9D9D9" w:themeFill="background1" w:themeFillShade="D9"/>
      <w:spacing w:after="120"/>
      <w:ind w:left="714" w:hanging="357"/>
    </w:pPr>
    <w:rPr>
      <w:color w:val="000000"/>
    </w:rPr>
  </w:style>
  <w:style w:type="paragraph" w:customStyle="1" w:styleId="BulletListPattern2">
    <w:name w:val="Bullet List Pattern 2"/>
    <w:basedOn w:val="BulletList2"/>
    <w:qFormat/>
    <w:rsid w:val="00C503F6"/>
    <w:pPr>
      <w:shd w:val="clear" w:color="auto" w:fill="D9D9D9" w:themeFill="background1" w:themeFillShade="D9"/>
      <w:ind w:left="1077"/>
    </w:pPr>
    <w:rPr>
      <w:color w:val="000000"/>
    </w:rPr>
  </w:style>
  <w:style w:type="paragraph" w:customStyle="1" w:styleId="ScheduleUntitledClause">
    <w:name w:val="Schedule Untitled Clause"/>
    <w:basedOn w:val="ScheduleTitleClause"/>
    <w:qFormat/>
    <w:rsid w:val="00C503F6"/>
    <w:pPr>
      <w:spacing w:before="120"/>
    </w:pPr>
    <w:rPr>
      <w:b w:val="0"/>
    </w:rPr>
  </w:style>
  <w:style w:type="paragraph" w:customStyle="1" w:styleId="EmptyClausePara">
    <w:name w:val="Empty Clause Para"/>
    <w:basedOn w:val="IgnoredSpacing"/>
    <w:qFormat/>
    <w:rsid w:val="00C503F6"/>
  </w:style>
  <w:style w:type="paragraph" w:styleId="ListParagraph">
    <w:name w:val="List Paragraph"/>
    <w:basedOn w:val="Normal"/>
    <w:link w:val="ListParagraphChar"/>
    <w:rsid w:val="003B68CF"/>
    <w:pPr>
      <w:spacing w:after="210"/>
      <w:ind w:left="567"/>
      <w:contextualSpacing/>
    </w:pPr>
  </w:style>
  <w:style w:type="paragraph" w:customStyle="1" w:styleId="ScheduleTitlesubclause1">
    <w:name w:val="Schedule Title subclause1"/>
    <w:basedOn w:val="ScheduleUntitledsubclause1"/>
    <w:qFormat/>
    <w:rsid w:val="00C503F6"/>
    <w:pPr>
      <w:spacing w:before="120"/>
    </w:pPr>
    <w:rPr>
      <w:b/>
    </w:rPr>
  </w:style>
  <w:style w:type="paragraph" w:customStyle="1" w:styleId="835FF0B0D5344FE4A8EE41F54AA7E17C16">
    <w:name w:val="835FF0B0D5344FE4A8EE41F54AA7E17C16"/>
    <w:rsid w:val="00A200E2"/>
    <w:pPr>
      <w:spacing w:after="120" w:line="240" w:lineRule="auto"/>
    </w:pPr>
    <w:rPr>
      <w:rFonts w:ascii="Arial" w:eastAsia="Times New Roman" w:hAnsi="Arial" w:cs="Times New Roman"/>
      <w:color w:val="000000"/>
      <w:sz w:val="24"/>
      <w:szCs w:val="24"/>
      <w:lang w:val="en-US" w:eastAsia="en-US"/>
    </w:rPr>
  </w:style>
  <w:style w:type="character" w:customStyle="1" w:styleId="UnresolvedMention1">
    <w:name w:val="Unresolved Mention1"/>
    <w:basedOn w:val="DefaultParagraphFont"/>
    <w:uiPriority w:val="99"/>
    <w:semiHidden/>
    <w:unhideWhenUsed/>
    <w:rsid w:val="0004392C"/>
    <w:rPr>
      <w:color w:val="000000"/>
      <w:shd w:val="clear" w:color="auto" w:fill="E6E6E6"/>
    </w:rPr>
  </w:style>
  <w:style w:type="paragraph" w:customStyle="1" w:styleId="SectorSpecificNoteTitle">
    <w:name w:val="Sector Specific Note Title"/>
    <w:basedOn w:val="JurisdictionDraftingnoteTitle"/>
    <w:qFormat/>
    <w:rsid w:val="00C503F6"/>
  </w:style>
  <w:style w:type="table" w:customStyle="1" w:styleId="ShadedTable1">
    <w:name w:val="Shaded Table1"/>
    <w:basedOn w:val="TableNormal"/>
    <w:uiPriority w:val="99"/>
    <w:rsid w:val="00C503F6"/>
    <w:pPr>
      <w:spacing w:after="0" w:line="240" w:lineRule="auto"/>
    </w:pPr>
    <w:rPr>
      <w:color w:val="000000"/>
    </w:rPr>
    <w:tblPr>
      <w:tblBorders>
        <w:top w:val="single" w:sz="4" w:space="0" w:color="auto"/>
        <w:left w:val="single" w:sz="4" w:space="0" w:color="auto"/>
        <w:bottom w:val="single" w:sz="4" w:space="0" w:color="auto"/>
        <w:right w:val="single" w:sz="4" w:space="0" w:color="auto"/>
      </w:tblBorders>
    </w:tblPr>
    <w:tcPr>
      <w:shd w:val="clear" w:color="auto" w:fill="EEECE1" w:themeFill="background2"/>
    </w:tcPr>
  </w:style>
  <w:style w:type="paragraph" w:customStyle="1" w:styleId="IgnoredEmptysubclause">
    <w:name w:val="Ignored Empty subclause"/>
    <w:basedOn w:val="Normal"/>
    <w:link w:val="IgnoredEmptysubclauseChar"/>
    <w:qFormat/>
    <w:rsid w:val="00C503F6"/>
    <w:rPr>
      <w:color w:val="000000"/>
    </w:rPr>
  </w:style>
  <w:style w:type="character" w:customStyle="1" w:styleId="IgnoredEmptysubclauseChar">
    <w:name w:val="Ignored Empty subclause Char"/>
    <w:basedOn w:val="DefaultParagraphFont"/>
    <w:link w:val="IgnoredEmptysubclause"/>
    <w:rsid w:val="00C503F6"/>
    <w:rPr>
      <w:color w:val="000000"/>
    </w:rPr>
  </w:style>
  <w:style w:type="character" w:styleId="CommentReference">
    <w:name w:val="annotation reference"/>
    <w:basedOn w:val="DefaultParagraphFont"/>
    <w:uiPriority w:val="99"/>
    <w:semiHidden/>
    <w:unhideWhenUsed/>
    <w:rsid w:val="00D961E8"/>
    <w:rPr>
      <w:color w:val="000000"/>
      <w:sz w:val="16"/>
      <w:szCs w:val="16"/>
    </w:rPr>
  </w:style>
  <w:style w:type="paragraph" w:styleId="CommentText">
    <w:name w:val="annotation text"/>
    <w:basedOn w:val="Normal"/>
    <w:link w:val="CommentTextChar"/>
    <w:rsid w:val="003B68CF"/>
  </w:style>
  <w:style w:type="character" w:customStyle="1" w:styleId="CommentTextChar">
    <w:name w:val="Comment Text Char"/>
    <w:basedOn w:val="DefaultParagraphFont"/>
    <w:link w:val="CommentText"/>
    <w:rsid w:val="003B68CF"/>
    <w:rPr>
      <w:rFonts w:ascii="Georgia" w:eastAsia="Times New Roman" w:hAnsi="Georgia"/>
      <w:sz w:val="20"/>
      <w:szCs w:val="18"/>
      <w:lang w:eastAsia="en-US"/>
    </w:rPr>
  </w:style>
  <w:style w:type="paragraph" w:customStyle="1" w:styleId="6B1115FCC3DC4C6AB2CF846F0C50B663">
    <w:name w:val="6B1115FCC3DC4C6AB2CF846F0C50B663"/>
    <w:rsid w:val="00D4114D"/>
    <w:pPr>
      <w:spacing w:line="276" w:lineRule="auto"/>
    </w:pPr>
    <w:rPr>
      <w:color w:val="000000"/>
    </w:rPr>
  </w:style>
  <w:style w:type="paragraph" w:styleId="CommentSubject">
    <w:name w:val="annotation subject"/>
    <w:basedOn w:val="CommentText"/>
    <w:next w:val="CommentText"/>
    <w:link w:val="CommentSubjectChar"/>
    <w:uiPriority w:val="99"/>
    <w:semiHidden/>
    <w:unhideWhenUsed/>
    <w:rsid w:val="003F433E"/>
    <w:pPr>
      <w:spacing w:after="200"/>
    </w:pPr>
    <w:rPr>
      <w:rFonts w:eastAsiaTheme="minorEastAsia"/>
      <w:b/>
      <w:bCs/>
      <w:color w:val="000000"/>
      <w:lang w:eastAsia="en-GB"/>
    </w:rPr>
  </w:style>
  <w:style w:type="character" w:customStyle="1" w:styleId="CommentSubjectChar">
    <w:name w:val="Comment Subject Char"/>
    <w:basedOn w:val="CommentTextChar"/>
    <w:link w:val="CommentSubject"/>
    <w:uiPriority w:val="99"/>
    <w:semiHidden/>
    <w:rsid w:val="003F433E"/>
    <w:rPr>
      <w:rFonts w:ascii="Georgia" w:eastAsiaTheme="minorHAnsi" w:hAnsi="Georgia"/>
      <w:b/>
      <w:bCs/>
      <w:color w:val="000000"/>
      <w:sz w:val="20"/>
      <w:szCs w:val="20"/>
      <w:lang w:eastAsia="en-US"/>
    </w:rPr>
  </w:style>
  <w:style w:type="paragraph" w:styleId="Revision">
    <w:name w:val="Revision"/>
    <w:hidden/>
    <w:uiPriority w:val="99"/>
    <w:semiHidden/>
    <w:rsid w:val="00B76AA7"/>
    <w:pPr>
      <w:spacing w:after="0" w:line="240" w:lineRule="auto"/>
    </w:pPr>
    <w:rPr>
      <w:color w:val="000000"/>
    </w:rPr>
  </w:style>
  <w:style w:type="numbering" w:customStyle="1" w:styleId="ScheduleListStyle">
    <w:name w:val="ScheduleListStyle"/>
    <w:pPr>
      <w:numPr>
        <w:numId w:val="21"/>
      </w:numPr>
    </w:pPr>
  </w:style>
  <w:style w:type="paragraph" w:styleId="TOC1">
    <w:name w:val="toc 1"/>
    <w:basedOn w:val="TOC2"/>
    <w:next w:val="Normal"/>
    <w:autoRedefine/>
    <w:rsid w:val="003B68CF"/>
    <w:pPr>
      <w:tabs>
        <w:tab w:val="clear" w:pos="992"/>
      </w:tabs>
      <w:ind w:left="425" w:hanging="425"/>
    </w:pPr>
    <w:rPr>
      <w:noProof/>
    </w:rPr>
  </w:style>
  <w:style w:type="paragraph" w:styleId="BodyText">
    <w:name w:val="Body Text"/>
    <w:basedOn w:val="Normal"/>
    <w:link w:val="BodyTextChar"/>
    <w:qFormat/>
    <w:rsid w:val="003B68CF"/>
    <w:pPr>
      <w:spacing w:after="210"/>
      <w:jc w:val="both"/>
    </w:pPr>
  </w:style>
  <w:style w:type="character" w:customStyle="1" w:styleId="BodyTextChar">
    <w:name w:val="Body Text Char"/>
    <w:link w:val="BodyText"/>
    <w:rsid w:val="003B68CF"/>
    <w:rPr>
      <w:rFonts w:ascii="Georgia" w:eastAsia="Times New Roman" w:hAnsi="Georgia"/>
      <w:sz w:val="20"/>
      <w:szCs w:val="18"/>
      <w:lang w:eastAsia="en-US"/>
    </w:rPr>
  </w:style>
  <w:style w:type="character" w:customStyle="1" w:styleId="AlternativeText">
    <w:name w:val="Alternative Text"/>
    <w:rsid w:val="003B68CF"/>
    <w:rPr>
      <w:rFonts w:cs="Times New Roman"/>
    </w:rPr>
  </w:style>
  <w:style w:type="paragraph" w:customStyle="1" w:styleId="App1Number">
    <w:name w:val="App 1 Number"/>
    <w:basedOn w:val="BodyText"/>
    <w:rsid w:val="003B68CF"/>
    <w:pPr>
      <w:numPr>
        <w:ilvl w:val="1"/>
        <w:numId w:val="23"/>
      </w:numPr>
    </w:pPr>
  </w:style>
  <w:style w:type="paragraph" w:customStyle="1" w:styleId="App1Heading">
    <w:name w:val="App 1 Heading"/>
    <w:basedOn w:val="App1Number"/>
    <w:rsid w:val="003B68CF"/>
    <w:pPr>
      <w:keepNext/>
      <w:spacing w:before="210"/>
    </w:pPr>
    <w:rPr>
      <w:b/>
    </w:rPr>
  </w:style>
  <w:style w:type="paragraph" w:customStyle="1" w:styleId="App2Number">
    <w:name w:val="App 2 Number"/>
    <w:basedOn w:val="BodyText"/>
    <w:rsid w:val="003B68CF"/>
    <w:pPr>
      <w:numPr>
        <w:ilvl w:val="2"/>
        <w:numId w:val="23"/>
      </w:numPr>
    </w:pPr>
  </w:style>
  <w:style w:type="paragraph" w:customStyle="1" w:styleId="App2Heading">
    <w:name w:val="App 2 Heading"/>
    <w:basedOn w:val="App2Number"/>
    <w:rsid w:val="003B68CF"/>
    <w:pPr>
      <w:keepNext/>
    </w:pPr>
    <w:rPr>
      <w:b/>
    </w:rPr>
  </w:style>
  <w:style w:type="paragraph" w:customStyle="1" w:styleId="App3Number">
    <w:name w:val="App 3 Number"/>
    <w:basedOn w:val="BodyText"/>
    <w:rsid w:val="003B68CF"/>
    <w:pPr>
      <w:numPr>
        <w:ilvl w:val="3"/>
        <w:numId w:val="23"/>
      </w:numPr>
    </w:pPr>
  </w:style>
  <w:style w:type="paragraph" w:customStyle="1" w:styleId="App4Number">
    <w:name w:val="App 4 Number"/>
    <w:basedOn w:val="BodyText"/>
    <w:rsid w:val="003B68CF"/>
    <w:pPr>
      <w:numPr>
        <w:ilvl w:val="4"/>
        <w:numId w:val="23"/>
      </w:numPr>
    </w:pPr>
  </w:style>
  <w:style w:type="paragraph" w:customStyle="1" w:styleId="App5Number">
    <w:name w:val="App 5 Number"/>
    <w:basedOn w:val="BodyText"/>
    <w:rsid w:val="003B68CF"/>
    <w:pPr>
      <w:numPr>
        <w:ilvl w:val="5"/>
        <w:numId w:val="23"/>
      </w:numPr>
    </w:pPr>
  </w:style>
  <w:style w:type="paragraph" w:customStyle="1" w:styleId="Appendix">
    <w:name w:val="Appendix"/>
    <w:basedOn w:val="BodyText"/>
    <w:next w:val="BodyText"/>
    <w:rsid w:val="003B68CF"/>
    <w:pPr>
      <w:pageBreakBefore/>
      <w:numPr>
        <w:numId w:val="23"/>
      </w:numPr>
      <w:spacing w:before="210"/>
      <w:jc w:val="left"/>
    </w:pPr>
    <w:rPr>
      <w:b/>
    </w:rPr>
  </w:style>
  <w:style w:type="paragraph" w:customStyle="1" w:styleId="Background2">
    <w:name w:val="Background 2"/>
    <w:basedOn w:val="BodyText"/>
    <w:rsid w:val="003B68CF"/>
    <w:pPr>
      <w:numPr>
        <w:ilvl w:val="1"/>
        <w:numId w:val="24"/>
      </w:numPr>
    </w:pPr>
  </w:style>
  <w:style w:type="paragraph" w:customStyle="1" w:styleId="Background3">
    <w:name w:val="Background 3"/>
    <w:basedOn w:val="BodyText"/>
    <w:rsid w:val="003B68CF"/>
    <w:pPr>
      <w:numPr>
        <w:ilvl w:val="2"/>
        <w:numId w:val="24"/>
      </w:numPr>
    </w:pPr>
  </w:style>
  <w:style w:type="character" w:customStyle="1" w:styleId="ListParagraphChar">
    <w:name w:val="List Paragraph Char"/>
    <w:link w:val="ListParagraph"/>
    <w:rsid w:val="003B68CF"/>
    <w:rPr>
      <w:rFonts w:ascii="Georgia" w:eastAsia="Times New Roman" w:hAnsi="Georgia"/>
      <w:sz w:val="20"/>
      <w:szCs w:val="18"/>
      <w:lang w:eastAsia="en-US"/>
    </w:rPr>
  </w:style>
  <w:style w:type="paragraph" w:customStyle="1" w:styleId="Body">
    <w:name w:val="Body"/>
    <w:basedOn w:val="ListParagraph"/>
    <w:link w:val="BodyChar"/>
    <w:rsid w:val="003B68CF"/>
  </w:style>
  <w:style w:type="character" w:customStyle="1" w:styleId="BodyChar">
    <w:name w:val="Body Char"/>
    <w:link w:val="Body"/>
    <w:rsid w:val="003B68CF"/>
    <w:rPr>
      <w:rFonts w:ascii="Georgia" w:eastAsia="Times New Roman" w:hAnsi="Georgia"/>
      <w:sz w:val="20"/>
      <w:szCs w:val="18"/>
      <w:lang w:eastAsia="en-US"/>
    </w:rPr>
  </w:style>
  <w:style w:type="paragraph" w:customStyle="1" w:styleId="BodyText1">
    <w:name w:val="Body Text 1"/>
    <w:basedOn w:val="BodyText"/>
    <w:qFormat/>
    <w:rsid w:val="003B68CF"/>
    <w:pPr>
      <w:ind w:left="567"/>
    </w:pPr>
  </w:style>
  <w:style w:type="paragraph" w:styleId="BodyText2">
    <w:name w:val="Body Text 2"/>
    <w:basedOn w:val="BodyText"/>
    <w:link w:val="BodyText2Char"/>
    <w:rsid w:val="003B68CF"/>
    <w:pPr>
      <w:ind w:left="567"/>
    </w:pPr>
  </w:style>
  <w:style w:type="character" w:customStyle="1" w:styleId="BodyText2Char">
    <w:name w:val="Body Text 2 Char"/>
    <w:basedOn w:val="DefaultParagraphFont"/>
    <w:link w:val="BodyText2"/>
    <w:rsid w:val="003B68CF"/>
    <w:rPr>
      <w:rFonts w:ascii="Georgia" w:eastAsia="Times New Roman" w:hAnsi="Georgia"/>
      <w:sz w:val="20"/>
      <w:szCs w:val="18"/>
      <w:lang w:eastAsia="en-US"/>
    </w:rPr>
  </w:style>
  <w:style w:type="paragraph" w:styleId="BodyText3">
    <w:name w:val="Body Text 3"/>
    <w:basedOn w:val="BodyText"/>
    <w:link w:val="BodyText3Char"/>
    <w:rsid w:val="003B68CF"/>
    <w:pPr>
      <w:ind w:left="1247"/>
    </w:pPr>
    <w:rPr>
      <w:szCs w:val="16"/>
    </w:rPr>
  </w:style>
  <w:style w:type="character" w:customStyle="1" w:styleId="BodyText3Char">
    <w:name w:val="Body Text 3 Char"/>
    <w:link w:val="BodyText3"/>
    <w:rsid w:val="003B68CF"/>
    <w:rPr>
      <w:rFonts w:ascii="Georgia" w:eastAsia="Times New Roman" w:hAnsi="Georgia"/>
      <w:sz w:val="20"/>
      <w:szCs w:val="16"/>
      <w:lang w:eastAsia="en-US"/>
    </w:rPr>
  </w:style>
  <w:style w:type="paragraph" w:customStyle="1" w:styleId="BodyText4">
    <w:name w:val="Body Text 4"/>
    <w:basedOn w:val="BodyText"/>
    <w:rsid w:val="003B68CF"/>
    <w:pPr>
      <w:ind w:left="1673"/>
    </w:pPr>
  </w:style>
  <w:style w:type="paragraph" w:customStyle="1" w:styleId="BodyText5">
    <w:name w:val="Body Text 5"/>
    <w:basedOn w:val="BodyText"/>
    <w:rsid w:val="003B68CF"/>
    <w:pPr>
      <w:ind w:left="1673"/>
    </w:pPr>
  </w:style>
  <w:style w:type="paragraph" w:customStyle="1" w:styleId="Bullet">
    <w:name w:val="Bullet"/>
    <w:basedOn w:val="BodyText"/>
    <w:rsid w:val="003B68CF"/>
    <w:pPr>
      <w:numPr>
        <w:numId w:val="25"/>
      </w:numPr>
      <w:spacing w:after="240"/>
    </w:pPr>
  </w:style>
  <w:style w:type="paragraph" w:customStyle="1" w:styleId="Bullet5">
    <w:name w:val="Bullet5"/>
    <w:basedOn w:val="Normal"/>
    <w:rsid w:val="003B68CF"/>
    <w:pPr>
      <w:numPr>
        <w:numId w:val="29"/>
      </w:numPr>
      <w:spacing w:after="240"/>
    </w:pPr>
  </w:style>
  <w:style w:type="paragraph" w:customStyle="1" w:styleId="Bulletedlist">
    <w:name w:val="Bulleted list"/>
    <w:basedOn w:val="Body"/>
    <w:qFormat/>
    <w:rsid w:val="003B68CF"/>
    <w:pPr>
      <w:numPr>
        <w:numId w:val="30"/>
      </w:numPr>
    </w:pPr>
  </w:style>
  <w:style w:type="character" w:customStyle="1" w:styleId="Capitals">
    <w:name w:val="Capitals"/>
    <w:rsid w:val="003B68CF"/>
    <w:rPr>
      <w:rFonts w:cs="Times New Roman"/>
      <w:b/>
      <w:caps/>
    </w:rPr>
  </w:style>
  <w:style w:type="paragraph" w:customStyle="1" w:styleId="Comments">
    <w:name w:val="Comments"/>
    <w:basedOn w:val="Normal"/>
    <w:rsid w:val="003B68CF"/>
    <w:pPr>
      <w:ind w:left="284"/>
    </w:pPr>
    <w:rPr>
      <w:i/>
    </w:rPr>
  </w:style>
  <w:style w:type="paragraph" w:customStyle="1" w:styleId="CoverDate">
    <w:name w:val="Cover Date"/>
    <w:basedOn w:val="BodyText"/>
    <w:rsid w:val="003B68CF"/>
    <w:pPr>
      <w:jc w:val="center"/>
    </w:pPr>
    <w:rPr>
      <w:rFonts w:eastAsia="Calibri"/>
      <w:color w:val="414042"/>
    </w:rPr>
  </w:style>
  <w:style w:type="paragraph" w:customStyle="1" w:styleId="CoverPartyName">
    <w:name w:val="Cover Party Name"/>
    <w:basedOn w:val="BodyText"/>
    <w:rsid w:val="003B68CF"/>
    <w:pPr>
      <w:numPr>
        <w:numId w:val="31"/>
      </w:numPr>
      <w:spacing w:before="210"/>
      <w:jc w:val="left"/>
    </w:pPr>
    <w:rPr>
      <w:color w:val="414042"/>
      <w:sz w:val="44"/>
    </w:rPr>
  </w:style>
  <w:style w:type="table" w:customStyle="1" w:styleId="CoverTable">
    <w:name w:val="Cover Table"/>
    <w:basedOn w:val="TableNormal"/>
    <w:rsid w:val="003B68CF"/>
    <w:pPr>
      <w:spacing w:after="0" w:line="240" w:lineRule="auto"/>
    </w:pPr>
    <w:rPr>
      <w:rFonts w:ascii="Georgia" w:eastAsia="Times New Roman" w:hAnsi="Georgia" w:cs="Times New Roman"/>
      <w:sz w:val="20"/>
      <w:szCs w:val="20"/>
    </w:rPr>
    <w:tblPr/>
  </w:style>
  <w:style w:type="paragraph" w:customStyle="1" w:styleId="Definition1">
    <w:name w:val="Definition 1"/>
    <w:basedOn w:val="BodyText"/>
    <w:rsid w:val="003B68CF"/>
    <w:pPr>
      <w:numPr>
        <w:ilvl w:val="1"/>
        <w:numId w:val="32"/>
      </w:numPr>
    </w:pPr>
  </w:style>
  <w:style w:type="paragraph" w:customStyle="1" w:styleId="Definition2">
    <w:name w:val="Definition 2"/>
    <w:basedOn w:val="BodyText"/>
    <w:rsid w:val="003B68CF"/>
    <w:pPr>
      <w:numPr>
        <w:ilvl w:val="2"/>
        <w:numId w:val="32"/>
      </w:numPr>
    </w:pPr>
  </w:style>
  <w:style w:type="paragraph" w:customStyle="1" w:styleId="Definition3">
    <w:name w:val="Definition 3"/>
    <w:basedOn w:val="BodyText"/>
    <w:rsid w:val="003B68CF"/>
    <w:pPr>
      <w:numPr>
        <w:ilvl w:val="3"/>
        <w:numId w:val="32"/>
      </w:numPr>
    </w:pPr>
  </w:style>
  <w:style w:type="paragraph" w:customStyle="1" w:styleId="DefinitionDescription">
    <w:name w:val="Definition Description"/>
    <w:basedOn w:val="BodyText"/>
    <w:rsid w:val="003B68CF"/>
    <w:pPr>
      <w:numPr>
        <w:numId w:val="32"/>
      </w:numPr>
    </w:pPr>
  </w:style>
  <w:style w:type="paragraph" w:customStyle="1" w:styleId="DefinitionTerm">
    <w:name w:val="Definition Term"/>
    <w:basedOn w:val="DefinitionDescription"/>
    <w:next w:val="DefinitionDescription"/>
    <w:rsid w:val="003B68CF"/>
    <w:pPr>
      <w:keepNext/>
      <w:spacing w:after="0"/>
    </w:pPr>
    <w:rPr>
      <w:b/>
    </w:rPr>
  </w:style>
  <w:style w:type="character" w:customStyle="1" w:styleId="Defterm0">
    <w:name w:val="Defterm"/>
    <w:rsid w:val="003B68CF"/>
    <w:rPr>
      <w:rFonts w:ascii="Georgia" w:hAnsi="Georgia"/>
      <w:b/>
      <w:color w:val="000000"/>
      <w:sz w:val="18"/>
    </w:rPr>
  </w:style>
  <w:style w:type="paragraph" w:customStyle="1" w:styleId="FrontInformation">
    <w:name w:val="FrontInformation"/>
    <w:basedOn w:val="Normal"/>
    <w:autoRedefine/>
    <w:rsid w:val="003B68CF"/>
    <w:rPr>
      <w:color w:val="000000"/>
    </w:rPr>
  </w:style>
  <w:style w:type="paragraph" w:customStyle="1" w:styleId="HeadingTitle">
    <w:name w:val="HeadingTitle"/>
    <w:basedOn w:val="Normal"/>
    <w:rsid w:val="003B68CF"/>
    <w:pPr>
      <w:spacing w:before="210" w:after="210"/>
    </w:pPr>
    <w:rPr>
      <w:b/>
    </w:rPr>
  </w:style>
  <w:style w:type="paragraph" w:customStyle="1" w:styleId="Indent">
    <w:name w:val="Indent"/>
    <w:basedOn w:val="Normal"/>
    <w:link w:val="IndentChar"/>
    <w:autoRedefine/>
    <w:rsid w:val="003B68CF"/>
    <w:pPr>
      <w:ind w:left="567"/>
      <w:contextualSpacing/>
      <w:jc w:val="both"/>
    </w:pPr>
    <w:rPr>
      <w:rFonts w:eastAsia="Calibri"/>
      <w:szCs w:val="22"/>
    </w:rPr>
  </w:style>
  <w:style w:type="character" w:customStyle="1" w:styleId="IndentChar">
    <w:name w:val="Indent Char"/>
    <w:link w:val="Indent"/>
    <w:rsid w:val="003B68CF"/>
    <w:rPr>
      <w:rFonts w:ascii="Georgia" w:eastAsia="Calibri" w:hAnsi="Georgia"/>
      <w:sz w:val="20"/>
      <w:lang w:eastAsia="en-US"/>
    </w:rPr>
  </w:style>
  <w:style w:type="character" w:customStyle="1" w:styleId="InsertText">
    <w:name w:val="Insert Text"/>
    <w:rsid w:val="003B68CF"/>
    <w:rPr>
      <w:rFonts w:ascii="Georgia" w:hAnsi="Georgia" w:cs="Times New Roman"/>
      <w:i w:val="0"/>
      <w:caps/>
      <w:smallCaps w:val="0"/>
      <w:sz w:val="18"/>
    </w:rPr>
  </w:style>
  <w:style w:type="character" w:customStyle="1" w:styleId="IntenseCapitals">
    <w:name w:val="Intense Capitals"/>
    <w:rsid w:val="003B68CF"/>
    <w:rPr>
      <w:rFonts w:cs="Times New Roman"/>
      <w:b/>
      <w:caps/>
    </w:rPr>
  </w:style>
  <w:style w:type="character" w:styleId="IntenseEmphasis">
    <w:name w:val="Intense Emphasis"/>
    <w:rsid w:val="003B68CF"/>
    <w:rPr>
      <w:rFonts w:cs="Times New Roman"/>
      <w:b/>
      <w:i/>
    </w:rPr>
  </w:style>
  <w:style w:type="paragraph" w:customStyle="1" w:styleId="LV1">
    <w:name w:val="LV1"/>
    <w:basedOn w:val="BodyText"/>
    <w:qFormat/>
    <w:rsid w:val="003B68CF"/>
    <w:pPr>
      <w:keepNext/>
      <w:numPr>
        <w:numId w:val="34"/>
      </w:numPr>
    </w:pPr>
    <w:rPr>
      <w:b/>
    </w:rPr>
  </w:style>
  <w:style w:type="paragraph" w:customStyle="1" w:styleId="LV1Clause">
    <w:name w:val="LV1 Clause"/>
    <w:basedOn w:val="LV1"/>
    <w:qFormat/>
    <w:rsid w:val="003B68CF"/>
    <w:rPr>
      <w:b w:val="0"/>
    </w:rPr>
  </w:style>
  <w:style w:type="paragraph" w:customStyle="1" w:styleId="LV2">
    <w:name w:val="LV2"/>
    <w:basedOn w:val="BodyText"/>
    <w:qFormat/>
    <w:rsid w:val="003B68CF"/>
    <w:pPr>
      <w:numPr>
        <w:ilvl w:val="1"/>
        <w:numId w:val="34"/>
      </w:numPr>
    </w:pPr>
  </w:style>
  <w:style w:type="paragraph" w:customStyle="1" w:styleId="LV2Heading">
    <w:name w:val="LV2 Heading"/>
    <w:basedOn w:val="LV2"/>
    <w:qFormat/>
    <w:rsid w:val="003B68CF"/>
    <w:rPr>
      <w:b/>
    </w:rPr>
  </w:style>
  <w:style w:type="paragraph" w:customStyle="1" w:styleId="LV3">
    <w:name w:val="LV3"/>
    <w:basedOn w:val="BodyText"/>
    <w:qFormat/>
    <w:rsid w:val="003B68CF"/>
    <w:pPr>
      <w:numPr>
        <w:ilvl w:val="2"/>
        <w:numId w:val="34"/>
      </w:numPr>
    </w:pPr>
  </w:style>
  <w:style w:type="paragraph" w:customStyle="1" w:styleId="LV4">
    <w:name w:val="LV4"/>
    <w:basedOn w:val="Heading4"/>
    <w:qFormat/>
    <w:rsid w:val="003B68CF"/>
    <w:pPr>
      <w:numPr>
        <w:numId w:val="34"/>
      </w:numPr>
    </w:pPr>
  </w:style>
  <w:style w:type="paragraph" w:customStyle="1" w:styleId="LV5">
    <w:name w:val="LV5"/>
    <w:basedOn w:val="Heading5"/>
    <w:qFormat/>
    <w:rsid w:val="003B68CF"/>
    <w:pPr>
      <w:numPr>
        <w:numId w:val="34"/>
      </w:numPr>
    </w:pPr>
  </w:style>
  <w:style w:type="paragraph" w:customStyle="1" w:styleId="NewPage">
    <w:name w:val="New Page"/>
    <w:basedOn w:val="Normal"/>
    <w:autoRedefine/>
    <w:rsid w:val="003B68CF"/>
    <w:pPr>
      <w:pageBreakBefore/>
    </w:pPr>
  </w:style>
  <w:style w:type="paragraph" w:customStyle="1" w:styleId="NormalCell">
    <w:name w:val="NormalCell"/>
    <w:basedOn w:val="Normal"/>
    <w:rsid w:val="003B68CF"/>
  </w:style>
  <w:style w:type="paragraph" w:customStyle="1" w:styleId="NormalSmall">
    <w:name w:val="NormalSmall"/>
    <w:basedOn w:val="NormalCell"/>
    <w:rsid w:val="003B68CF"/>
  </w:style>
  <w:style w:type="character" w:customStyle="1" w:styleId="OptionalText">
    <w:name w:val="Optional Text"/>
    <w:rsid w:val="003B68CF"/>
    <w:rPr>
      <w:rFonts w:cs="Times New Roman"/>
    </w:rPr>
  </w:style>
  <w:style w:type="character" w:styleId="PageNumber">
    <w:name w:val="page number"/>
    <w:basedOn w:val="DefaultParagraphFont"/>
    <w:rsid w:val="003B68CF"/>
  </w:style>
  <w:style w:type="paragraph" w:customStyle="1" w:styleId="Parties2">
    <w:name w:val="Parties 2"/>
    <w:basedOn w:val="BodyText"/>
    <w:rsid w:val="003B68CF"/>
    <w:pPr>
      <w:numPr>
        <w:ilvl w:val="1"/>
        <w:numId w:val="35"/>
      </w:numPr>
    </w:pPr>
  </w:style>
  <w:style w:type="paragraph" w:customStyle="1" w:styleId="Sch1Heading">
    <w:name w:val="Sch 1 Heading"/>
    <w:basedOn w:val="BodyText"/>
    <w:rsid w:val="003B68CF"/>
    <w:pPr>
      <w:keepNext/>
      <w:numPr>
        <w:ilvl w:val="2"/>
        <w:numId w:val="36"/>
      </w:numPr>
      <w:spacing w:before="120" w:after="240"/>
      <w:outlineLvl w:val="0"/>
    </w:pPr>
    <w:rPr>
      <w:b/>
    </w:rPr>
  </w:style>
  <w:style w:type="paragraph" w:customStyle="1" w:styleId="Sch1Number">
    <w:name w:val="Sch 1 Number"/>
    <w:basedOn w:val="Sch1Heading"/>
    <w:rsid w:val="003B68CF"/>
    <w:rPr>
      <w:b w:val="0"/>
    </w:rPr>
  </w:style>
  <w:style w:type="paragraph" w:customStyle="1" w:styleId="Sch2Number">
    <w:name w:val="Sch 2 Number"/>
    <w:basedOn w:val="BodyText"/>
    <w:rsid w:val="003B68CF"/>
    <w:pPr>
      <w:numPr>
        <w:ilvl w:val="3"/>
        <w:numId w:val="36"/>
      </w:numPr>
      <w:spacing w:before="120" w:after="240"/>
      <w:outlineLvl w:val="1"/>
    </w:pPr>
    <w:rPr>
      <w:color w:val="000000"/>
    </w:rPr>
  </w:style>
  <w:style w:type="paragraph" w:customStyle="1" w:styleId="Sch2Heading">
    <w:name w:val="Sch 2 Heading"/>
    <w:basedOn w:val="Sch2Number"/>
    <w:rsid w:val="003B68CF"/>
    <w:pPr>
      <w:keepNext/>
    </w:pPr>
    <w:rPr>
      <w:b/>
    </w:rPr>
  </w:style>
  <w:style w:type="paragraph" w:customStyle="1" w:styleId="Sch3Number">
    <w:name w:val="Sch 3 Number"/>
    <w:basedOn w:val="BodyText"/>
    <w:rsid w:val="003B68CF"/>
    <w:pPr>
      <w:numPr>
        <w:ilvl w:val="4"/>
        <w:numId w:val="36"/>
      </w:numPr>
    </w:pPr>
  </w:style>
  <w:style w:type="paragraph" w:customStyle="1" w:styleId="Sch4Number">
    <w:name w:val="Sch 4 Number"/>
    <w:basedOn w:val="BodyText"/>
    <w:rsid w:val="003B68CF"/>
    <w:pPr>
      <w:numPr>
        <w:ilvl w:val="5"/>
        <w:numId w:val="36"/>
      </w:numPr>
    </w:pPr>
  </w:style>
  <w:style w:type="paragraph" w:customStyle="1" w:styleId="Sch5Number">
    <w:name w:val="Sch 5 Number"/>
    <w:basedOn w:val="BodyText"/>
    <w:rsid w:val="003B68CF"/>
    <w:pPr>
      <w:numPr>
        <w:ilvl w:val="6"/>
        <w:numId w:val="36"/>
      </w:numPr>
    </w:pPr>
  </w:style>
  <w:style w:type="character" w:customStyle="1" w:styleId="smallcaps">
    <w:name w:val="smallcaps"/>
    <w:rsid w:val="003B68CF"/>
    <w:rPr>
      <w:b/>
      <w:smallCaps/>
    </w:rPr>
  </w:style>
  <w:style w:type="character" w:customStyle="1" w:styleId="Strike">
    <w:name w:val="Strike"/>
    <w:rsid w:val="003B68CF"/>
    <w:rPr>
      <w:rFonts w:cs="Times New Roman"/>
      <w:strike/>
    </w:rPr>
  </w:style>
  <w:style w:type="character" w:styleId="Strong">
    <w:name w:val="Strong"/>
    <w:rsid w:val="003B68CF"/>
    <w:rPr>
      <w:b/>
      <w:bCs/>
    </w:rPr>
  </w:style>
  <w:style w:type="numbering" w:customStyle="1" w:styleId="StyleOutlinenumberedLeft0cmHanging1cm">
    <w:name w:val="Style Outline numbered Left:  0 cm Hanging:  1 cm"/>
    <w:basedOn w:val="NoList"/>
    <w:rsid w:val="003B68CF"/>
    <w:pPr>
      <w:numPr>
        <w:numId w:val="37"/>
      </w:numPr>
    </w:pPr>
  </w:style>
  <w:style w:type="paragraph" w:customStyle="1" w:styleId="StyleStyleCoversheetTitleLeft9pt">
    <w:name w:val="Style Style Coversheet Title + Left + 9 pt"/>
    <w:basedOn w:val="Normal"/>
    <w:rsid w:val="003B68CF"/>
  </w:style>
  <w:style w:type="paragraph" w:styleId="TOC2">
    <w:name w:val="toc 2"/>
    <w:basedOn w:val="Normal"/>
    <w:next w:val="Normal"/>
    <w:autoRedefine/>
    <w:rsid w:val="003B68CF"/>
    <w:pPr>
      <w:tabs>
        <w:tab w:val="left" w:pos="992"/>
        <w:tab w:val="right" w:pos="7229"/>
      </w:tabs>
      <w:spacing w:before="120" w:after="100" w:line="360" w:lineRule="auto"/>
      <w:ind w:left="284" w:hanging="284"/>
    </w:pPr>
  </w:style>
  <w:style w:type="paragraph" w:customStyle="1" w:styleId="StyleTOC2TopSinglesolidlineAuto05ptLinewidthFr">
    <w:name w:val="Style TOC 2 + Top: (Single solid line Auto  0.5 pt Line width Fr..."/>
    <w:basedOn w:val="TOC2"/>
    <w:rsid w:val="003B68CF"/>
    <w:pPr>
      <w:pBdr>
        <w:top w:val="single" w:sz="4" w:space="3" w:color="auto"/>
      </w:pBdr>
    </w:pPr>
    <w:rPr>
      <w:szCs w:val="20"/>
    </w:rPr>
  </w:style>
  <w:style w:type="numbering" w:customStyle="1" w:styleId="Style2">
    <w:name w:val="Style2"/>
    <w:rsid w:val="003B68CF"/>
    <w:pPr>
      <w:numPr>
        <w:numId w:val="38"/>
      </w:numPr>
    </w:pPr>
  </w:style>
  <w:style w:type="paragraph" w:customStyle="1" w:styleId="SubHeading">
    <w:name w:val="SubHeading"/>
    <w:basedOn w:val="BodyText"/>
    <w:rsid w:val="003B68CF"/>
    <w:pPr>
      <w:spacing w:before="120" w:after="240"/>
      <w:jc w:val="left"/>
    </w:pPr>
    <w:rPr>
      <w:b/>
    </w:rPr>
  </w:style>
  <w:style w:type="character" w:customStyle="1" w:styleId="Subscript">
    <w:name w:val="Subscript"/>
    <w:rsid w:val="003B68CF"/>
    <w:rPr>
      <w:rFonts w:cs="Times New Roman"/>
      <w:vertAlign w:val="subscript"/>
    </w:rPr>
  </w:style>
  <w:style w:type="character" w:customStyle="1" w:styleId="Superscript">
    <w:name w:val="Superscript"/>
    <w:rsid w:val="003B68CF"/>
    <w:rPr>
      <w:rFonts w:cs="Times New Roman"/>
      <w:vertAlign w:val="superscript"/>
    </w:rPr>
  </w:style>
  <w:style w:type="table" w:customStyle="1" w:styleId="TableGridStyle">
    <w:name w:val="Table Grid Style"/>
    <w:basedOn w:val="TableNormal"/>
    <w:rsid w:val="003B68CF"/>
    <w:pPr>
      <w:spacing w:after="0" w:line="240" w:lineRule="auto"/>
    </w:pPr>
    <w:rPr>
      <w:rFonts w:ascii="Century Gothic" w:eastAsia="Times New Roman" w:hAnsi="Georgia" w:cs="Times New Roman"/>
      <w:sz w:val="20"/>
      <w:szCs w:val="20"/>
    </w:rPr>
    <w:tblPr/>
  </w:style>
  <w:style w:type="paragraph" w:styleId="TOC3">
    <w:name w:val="toc 3"/>
    <w:basedOn w:val="Normal"/>
    <w:next w:val="Normal"/>
    <w:autoRedefine/>
    <w:rsid w:val="003B68CF"/>
    <w:pPr>
      <w:tabs>
        <w:tab w:val="left" w:pos="709"/>
        <w:tab w:val="right" w:leader="dot" w:pos="9072"/>
      </w:tabs>
      <w:ind w:left="709" w:right="96" w:hanging="709"/>
    </w:pPr>
    <w:rPr>
      <w:noProof/>
    </w:rPr>
  </w:style>
  <w:style w:type="paragraph" w:styleId="TOC4">
    <w:name w:val="toc 4"/>
    <w:basedOn w:val="Normal"/>
    <w:next w:val="Normal"/>
    <w:autoRedefine/>
    <w:rsid w:val="003B68CF"/>
    <w:pPr>
      <w:spacing w:after="100" w:line="276" w:lineRule="auto"/>
      <w:ind w:left="660"/>
    </w:pPr>
    <w:rPr>
      <w:szCs w:val="22"/>
    </w:rPr>
  </w:style>
  <w:style w:type="paragraph" w:styleId="TOC5">
    <w:name w:val="toc 5"/>
    <w:basedOn w:val="Normal"/>
    <w:next w:val="Normal"/>
    <w:autoRedefine/>
    <w:rsid w:val="003B68CF"/>
    <w:pPr>
      <w:spacing w:after="100" w:line="276" w:lineRule="auto"/>
      <w:ind w:left="880"/>
    </w:pPr>
    <w:rPr>
      <w:szCs w:val="22"/>
    </w:rPr>
  </w:style>
  <w:style w:type="paragraph" w:styleId="TOC6">
    <w:name w:val="toc 6"/>
    <w:basedOn w:val="Normal"/>
    <w:next w:val="Normal"/>
    <w:autoRedefine/>
    <w:rsid w:val="003B68CF"/>
    <w:pPr>
      <w:spacing w:after="100" w:line="276" w:lineRule="auto"/>
      <w:ind w:left="1100"/>
    </w:pPr>
    <w:rPr>
      <w:rFonts w:ascii="Calibri" w:hAnsi="Calibri"/>
      <w:szCs w:val="22"/>
    </w:rPr>
  </w:style>
  <w:style w:type="paragraph" w:styleId="TOC7">
    <w:name w:val="toc 7"/>
    <w:basedOn w:val="Normal"/>
    <w:next w:val="Normal"/>
    <w:autoRedefine/>
    <w:rsid w:val="003B68CF"/>
    <w:pPr>
      <w:spacing w:after="100" w:line="276" w:lineRule="auto"/>
      <w:ind w:left="1320"/>
    </w:pPr>
    <w:rPr>
      <w:rFonts w:ascii="Calibri" w:hAnsi="Calibri"/>
      <w:szCs w:val="22"/>
    </w:rPr>
  </w:style>
  <w:style w:type="paragraph" w:styleId="TOC8">
    <w:name w:val="toc 8"/>
    <w:basedOn w:val="Normal"/>
    <w:next w:val="Normal"/>
    <w:autoRedefine/>
    <w:rsid w:val="003B68CF"/>
    <w:pPr>
      <w:spacing w:after="100" w:line="276" w:lineRule="auto"/>
      <w:ind w:left="1540"/>
    </w:pPr>
    <w:rPr>
      <w:rFonts w:ascii="Calibri" w:hAnsi="Calibri"/>
      <w:szCs w:val="22"/>
    </w:rPr>
  </w:style>
  <w:style w:type="paragraph" w:styleId="TOC9">
    <w:name w:val="toc 9"/>
    <w:basedOn w:val="Normal"/>
    <w:next w:val="Normal"/>
    <w:autoRedefine/>
    <w:rsid w:val="003B68CF"/>
    <w:pPr>
      <w:spacing w:after="100" w:line="276" w:lineRule="auto"/>
      <w:ind w:left="1760"/>
    </w:pPr>
    <w:rPr>
      <w:rFonts w:ascii="Calibri" w:hAnsi="Calibri"/>
      <w:szCs w:val="22"/>
    </w:rPr>
  </w:style>
  <w:style w:type="paragraph" w:customStyle="1" w:styleId="TOCSubHeading">
    <w:name w:val="TOC Sub Heading"/>
    <w:basedOn w:val="CoversheetTitle"/>
    <w:rsid w:val="003B68CF"/>
  </w:style>
  <w:style w:type="paragraph" w:customStyle="1" w:styleId="XExecution">
    <w:name w:val="X Execution"/>
    <w:basedOn w:val="Normal"/>
    <w:rsid w:val="003B68CF"/>
    <w:pPr>
      <w:tabs>
        <w:tab w:val="left" w:pos="0"/>
        <w:tab w:val="left" w:pos="3544"/>
      </w:tabs>
      <w:spacing w:after="210"/>
      <w:ind w:right="459"/>
    </w:pPr>
    <w:rPr>
      <w:color w:val="000000"/>
    </w:rPr>
  </w:style>
  <w:style w:type="paragraph" w:customStyle="1" w:styleId="Linebreak">
    <w:name w:val="Line break"/>
    <w:basedOn w:val="Normal"/>
    <w:link w:val="LinebreakChar"/>
    <w:qFormat/>
    <w:rsid w:val="003B68CF"/>
    <w:pPr>
      <w:pBdr>
        <w:top w:val="single" w:sz="4" w:space="5" w:color="auto"/>
      </w:pBdr>
      <w:contextualSpacing/>
    </w:pPr>
    <w:rPr>
      <w:b/>
    </w:rPr>
  </w:style>
  <w:style w:type="character" w:customStyle="1" w:styleId="LinebreakChar">
    <w:name w:val="Line break Char"/>
    <w:basedOn w:val="DefaultParagraphFont"/>
    <w:link w:val="Linebreak"/>
    <w:rsid w:val="003B68CF"/>
    <w:rPr>
      <w:rFonts w:ascii="Georgia" w:eastAsia="Times New Roman" w:hAnsi="Georgia"/>
      <w:b/>
      <w:sz w:val="20"/>
      <w:szCs w:val="18"/>
      <w:lang w:eastAsia="en-US"/>
    </w:rPr>
  </w:style>
  <w:style w:type="paragraph" w:customStyle="1" w:styleId="DocTitle">
    <w:name w:val="Doc Title"/>
    <w:basedOn w:val="Linebreak"/>
    <w:link w:val="DocTitleChar"/>
    <w:qFormat/>
    <w:rsid w:val="003B68CF"/>
    <w:rPr>
      <w:color w:val="FA1E00"/>
    </w:rPr>
  </w:style>
  <w:style w:type="character" w:customStyle="1" w:styleId="DocTitleChar">
    <w:name w:val="Doc Title Char"/>
    <w:basedOn w:val="LinebreakChar"/>
    <w:link w:val="DocTitle"/>
    <w:rsid w:val="003B68CF"/>
    <w:rPr>
      <w:rFonts w:ascii="Georgia" w:eastAsia="Times New Roman" w:hAnsi="Georgia"/>
      <w:b/>
      <w:color w:val="FA1E00"/>
      <w:sz w:val="20"/>
      <w:szCs w:val="18"/>
      <w:lang w:eastAsia="en-US"/>
    </w:rPr>
  </w:style>
  <w:style w:type="character" w:styleId="Mention">
    <w:name w:val="Mention"/>
    <w:basedOn w:val="DefaultParagraphFont"/>
    <w:uiPriority w:val="99"/>
    <w:rsid w:val="005F62CC"/>
    <w:rPr>
      <w:color w:val="2B579A"/>
      <w:shd w:val="clear" w:color="auto" w:fill="E1DFDD"/>
    </w:rPr>
  </w:style>
  <w:style w:type="paragraph" w:customStyle="1" w:styleId="Normal1">
    <w:name w:val="Normal1"/>
    <w:link w:val="Normal1Char"/>
    <w:rsid w:val="00AD4323"/>
    <w:pPr>
      <w:spacing w:after="0" w:line="240" w:lineRule="auto"/>
    </w:pPr>
    <w:rPr>
      <w:rFonts w:ascii="Times New Roman" w:eastAsia="Times New Roman" w:hAnsi="Times New Roman" w:cs="Times New Roman"/>
      <w:color w:val="000000"/>
      <w:sz w:val="24"/>
      <w:szCs w:val="24"/>
      <w:lang w:eastAsia="en-US"/>
    </w:rPr>
  </w:style>
  <w:style w:type="character" w:customStyle="1" w:styleId="Normal1Char">
    <w:name w:val="Normal1 Char"/>
    <w:basedOn w:val="DefaultParagraphFont"/>
    <w:link w:val="Normal1"/>
    <w:rsid w:val="00AD4323"/>
    <w:rPr>
      <w:rFonts w:ascii="Times New Roman" w:eastAsia="Times New Roman" w:hAnsi="Times New Roman" w:cs="Times New Roman"/>
      <w:color w:val="000000"/>
      <w:sz w:val="24"/>
      <w:szCs w:val="24"/>
      <w:lang w:eastAsia="en-US"/>
    </w:rPr>
  </w:style>
  <w:style w:type="character" w:styleId="UnresolvedMention">
    <w:name w:val="Unresolved Mention"/>
    <w:basedOn w:val="DefaultParagraphFont"/>
    <w:uiPriority w:val="99"/>
    <w:rsid w:val="009458DD"/>
    <w:rPr>
      <w:color w:val="605E5C"/>
      <w:shd w:val="clear" w:color="auto" w:fill="E1DFDD"/>
    </w:rPr>
  </w:style>
  <w:style w:type="table" w:customStyle="1" w:styleId="TableGrid1">
    <w:name w:val="Table Grid1"/>
    <w:basedOn w:val="TableNormal"/>
    <w:next w:val="TableGrid"/>
    <w:uiPriority w:val="39"/>
    <w:rsid w:val="00F2377E"/>
    <w:pPr>
      <w:spacing w:before="160" w:after="0" w:line="240" w:lineRule="auto"/>
    </w:pPr>
    <w:rPr>
      <w:rFonts w:eastAsiaTheme="minorHAnsi"/>
      <w:color w:val="7F7F7F"/>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Word_Document.docx"/><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yperlink" Target="https://www.cymoedd.ac.uk/wp-content/uploads/2022/01/Safeguarding-and-PREVENT-Policy.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package" Target="embeddings/Microsoft_Word_Document1.docx"/><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dm:cachedDataManifest xmlns:cdm="http://schemas.microsoft.com/2004/VisualStudio/Tools/Applications/CachedDataManifest.xsd" cdm:revision="1"/>
</file>

<file path=customXml/item2.xml><?xml version="1.0" encoding="utf-8"?>
<ct:contentTypeSchema xmlns:ct="http://schemas.microsoft.com/office/2006/metadata/contentType" xmlns:ma="http://schemas.microsoft.com/office/2006/metadata/properties/metaAttributes" ct:_="" ma:_="" ma:contentTypeName="Document" ma:contentTypeID="0x01010006C043782AD9524E8A579B38E14A7AF0" ma:contentTypeVersion="3" ma:contentTypeDescription="Create a new document." ma:contentTypeScope="" ma:versionID="616efa0a46cd90a3c331af01283f4f12">
  <xsd:schema xmlns:xsd="http://www.w3.org/2001/XMLSchema" xmlns:xs="http://www.w3.org/2001/XMLSchema" xmlns:p="http://schemas.microsoft.com/office/2006/metadata/properties" xmlns:ns2="e418dbe5-d9c0-4970-a8c9-305308b23218" targetNamespace="http://schemas.microsoft.com/office/2006/metadata/properties" ma:root="true" ma:fieldsID="4ba2444d20564bcb5afbe73f8246b48b" ns2:_="">
    <xsd:import namespace="e418dbe5-d9c0-4970-a8c9-305308b2321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8dbe5-d9c0-4970-a8c9-305308b232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n-document xmlns:xsd="http://www.w3.org/2001/XMLSchema" xmlns:xsi="http://www.w3.org/2001/XMLSchema-instance" guid="0" synced="true" validated="true">
  <n-docbody>
    <standard.doc precedenttype="agreement">
      <prelim>
        <product.name>product.name0</product.name>
        <title>Procurement Act 2023: invitation to tender</title>
        <author>
          <link href="http://uk.practicallaw.com/about/our-team/uk-public-sector" style="ACTLinkURL">
            <ital>Practical Law Public Sector</ital>
          </link>
        </author>
        <resource.type>Standard documents</resource.type>
        <juris>juris0</juris>
        <juris>juris1</juris>
      </prelim>
      <abstract>
        <para>
          <paratext>A standard invitation to tender (ITT) document that can be used by a contracting authority purchasing services using the competitive flexible procedure in accordance with the Procurement Act 2023.</paratext>
        </para>
        <para>
          <paratext>.</paratext>
        </para>
      </abstract>
      <toc.identifier hasToc="true"/>
      <body>
        <cover.sheet>
          <head align="left" preservecase="true">
            <headtext>Invitation to tender</headtext>
          </head>
        </cover.sheet>
        <operative xrefname="paragraph">
          <drafting.note id="a616979" jurisdiction="">
            <head align="left" preservecase="true">
              <headtext>About this document</headtext>
            </head>
            <division id="a000002" level="1">
              <para>
                <paratext>
                  This invitation to tender (ITT) is intended for use by public sector bodies for procurements that are regulated by the 
                  <link href="w-041-5998" style="ACTLinkPLCtoPLC">
                    <ital>Procurement Act 2023</ital>
                  </link>
                   (PA 2023). Specifically, the ITT assumes that the contracting authority is using the competitive flexible procedure to purchase services, though it could be adapted for use in goods and works procurements.
                </paratext>
              </para>
              <para>
                <paratext>This document contains public sector information licensed under the Open Government Licence v3.0.</paratext>
              </para>
              <division id="a915338" level="2">
                <head align="left" preservecase="true">
                  <headtext>Using this document</headtext>
                </head>
                <para>
                  <paratext>Contracting authorities have considerable flexibility when designing a competitive flexible procedure, so it is difficult to be prescriptive. No two procedures may look entirely the same. This ITT is therefore intended as a starting template for contracting authorities to populate and adapt to suit the specifics of any individual procurement.</paratext>
                </para>
                <para>
                  <paratext>
                    Depending on the contracting authority's intentions, some of sections in this ITT may not be relevant or may require amendment to suit how it is being used within the procurement design. For example, 
                    <internal.reference refid="a257729">
                      <ital>paragraph 2</ital>
                    </internal.reference>
                     gives an example timetable and stages within the procurement process, such as presentations, written submissions and site visits. But authorities may choose to structure their procurement differently, for example by inviting initial tenders and having a period of dialogue or negotiation, before inviting final tender submissions. Contracting authorities will therefore need to review and amend the ITT, as appropriate, to suit their procurement design.
                  </paratext>
                </para>
                <para>
                  <paratext>
                    While the ITT is intended for a competitive flexible procedure procurement, it could be adapted for use in the open procedure (
                    <link href="w-042-1582" style="ACTLinkPLCtoPLC">
                      <ital>section 12(2)(a)</ital>
                    </link>
                    <ital>, PA 2023</ital>
                    ). Authorities would need to ensure that they include any conditions of participation and questions relating to the assessment of these and supplier exclusions, as discussed in 
                    <link anchor="a798899" href="w-044-2332" style="ACTLinkPLCtoPLC">
                      <ital>Practice notes, Procurement Act 2023: competitive tendering procedures: Conditions of participation (CP)</ital>
                    </link>
                     and 
                    <link anchor="a427147" href="w-044-0905" style="ACTLinkPLCtoPLC">
                      <ital>Procurement Act 2023: supplier exclusion and debarment: Assessing exclusions: practical steps</ital>
                    </link>
                    .
                  </paratext>
                </para>
                <para>
                  <paratext>
                    For more on the open and competitive flexible procedures, see 
                    <link href="w-044-2332" style="ACTLinkPLCtoPLC">
                      <ital>Practice note, Procurement Act 2023: competitive tendering procedures</ital>
                    </link>
                    .
                  </paratext>
                </para>
                <para>
                  <paratext>The ITT could also be used as a starting point for:</paratext>
                </para>
                <list type="bulleted">
                  <list.item>
                    <para>
                      <paratext>
                        Below-threshold procurements (
                        <link href="w-044-2986" style="ACTLinkPLCtoPLC">
                          <ital>sections 81 to 88</ital>
                        </link>
                        <ital>, PA 2023</ital>
                        ). See 
                        <link href="w-044-4071" style="ACTLinkPLCtoPLC">
                          <ital>Practice note, Procurement Act 2023: below-threshold contracts.</ital>
                        </link>
                      </paratext>
                    </para>
                  </list.item>
                  <list.item>
                    <para>
                      <paratext>
                        Light touch procurements (
                        <link href="w-042-2050" style="ACTLinkPLCtoPLC">
                          <ital>section 9</ital>
                        </link>
                        <ital>, PA 2023</ital>
                        ). See 
                        <link href="w-044-2589" style="ACTLinkPLCtoPLC">
                          <ital>Practice note, Procurement Act 2023: utilities, concession and light touch contracts</ital>
                        </link>
                        .
                      </paratext>
                    </para>
                  </list.item>
                </list>
                <para>
                  <paratext>However, if using for light touch and below-threshold arrangements, contracting authorities should amend and adapt the standard document to ensure that it incorporates any specific requirements for such procurements or contracts as set out in the PA 2023.</paratext>
                </para>
              </division>
              <division id="a348953" level="2">
                <head align="left" preservecase="true">
                  <headtext>Drafting assumptions</headtext>
                </head>
                <para>
                  <paratext>This template ITT is drafted on the following assumptions:</paratext>
                </para>
                <list type="bulleted">
                  <list.item>
                    <para>
                      <paratext>
                        <bold>Competitive flexible procedure. </bold>
                        The contracting authority is used the competitive flexible procedure under the PA 2023.
                      </paratext>
                    </para>
                  </list.item>
                  <list.item>
                    <para>
                      <paratext>
                        <bold>Services.</bold>
                         The contracting authorities is seeking to appoint a services provider.
                      </paratext>
                    </para>
                  </list.item>
                  <list.item>
                    <para>
                      <paratext>
                        <bold>Initial tenders following short-listing. </bold>
                        The ITT is being sent to tenderers that have been short-listed to continue in the process following receipt of requests to participate and assessment. It assumes that tenderers will be asked to submit one written tender, with possible site visits and presentations.
                      </paratext>
                    </para>
                  </list.item>
                </list>
              </division>
            </division>
          </drafting.note>
          <clause id="a000003">
            <para>
              <paratext>
                <table frame="all" pgwide="1">
                  <tgroup cols="1">
                    <colspec colname="1" colnum="1" colwidth="100"/>
                    <tbody>
                      <row>
                        <entry valign="top">
                          <para align="center">
                            <paratext>NAME OF THE CONTRACTING AUTHORITY (AUTHORITY):</paratext>
                          </para>
                        </entry>
                      </row>
                      <row>
                        <entry valign="top">
                          <para align="center">
                            <paratext>TENDER FOR: [TITLE OF THE PROCUREMENT]:</paratext>
                          </para>
                        </entry>
                      </row>
                      <row>
                        <entry valign="top">
                          <para align="center">
                            <paratext>UNIQUE IDENTIFIER FOR THE PROCUREMENT</paratext>
                          </para>
                        </entry>
                      </row>
                      <row>
                        <entry valign="top">
                          <para align="center">
                            <paratext>TENDER RETURN DATE AND TIME (DEADLINE): [DATE AND TIME]</paratext>
                          </para>
                        </entry>
                      </row>
                    </tbody>
                  </tgroup>
                </table>
              </paratext>
            </para>
          </clause>
          <clause id="a1033551">
            <identifier>1.</identifier>
            <head align="left" preservecase="true">
              <headtext>Introduction and background</headtext>
            </head>
            <subclause1 id="a770563">
              <identifier>1.1</identifier>
              <para>
                <paratext>
                  <bold>Contents of the ITT</bold>
                </paratext>
              </para>
              <para>
                <paratext>
                  This invitation to tender (
                  <defn.term>ITT</defn.term>
                  ) comprises:
                </paratext>
              </para>
              <list type="bulleted">
                <list.item>
                  <para>
                    <paratext>Tender completion requirements, evaluation model, specification and schedules.</paratext>
                  </para>
                </list.item>
                <list.item>
                  <para>
                    <paratext>
                      [Draft contract (
                      <bold>Contract</bold>
                      ) and schedules.]
                    </paratext>
                  </para>
                </list.item>
                <list.item>
                  <para>
                    <paratext>[Technical and commercial questions.]</paratext>
                  </para>
                </list.item>
              </list>
            </subclause1>
            <subclause1 id="a293949">
              <identifier>1.2</identifier>
              <para>
                <paratext>
                  <bold>Introduction </bold>
                </paratext>
              </para>
              <para>
                <paratext>
                  The Authority is conducting the procurement using the competitive flexible procedure in accordance with the requirements of the Procurement Act 2023 (
                  <bold>PA 2023</bold>
                  ) for the purpose of procuring the services described in the Specification (
                  <defn.term>Services</defn.term>
                  ).
                </paratext>
              </para>
              <para>
                <paratext>
                  Interested parties completed the procurement specific questionnaire (
                  <bold>P</bold>
                  <defn.term>SQ</defn.term>
                  ), which sought responses in relation to their technical ability to perform the contract, and their legal and financial standing. The Authority evaluated the PSQ responses and selected the [NUMBER] highest ranking qualified candidates. This ITT should be completed by those suppliers (
                  <defn.term>Tenderers</defn.term>
                  ).
                </paratext>
              </para>
              <para>
                <paratext>
                  This ITT contains further information about the procurement process, including the timetable, how to submit a response (
                  <bold>Tender</bold>
                  ), and criteria by which Tenders will be judged (
                  <bold>Award Criteria</bold>
                  ).
                </paratext>
              </para>
              <para>
                <paratext>
                  <bold>Please read this document carefully, as failure to comply may result in exclusion from the procurement or rejection of a Tender.</bold>
                </paratext>
              </para>
            </subclause1>
            <subclause1 id="a926689">
              <identifier>1.3</identifier>
              <head align="left" preservecase="true">
                <headtext>Introduction to the Authority</headtext>
              </head>
              <drafting.note id="a655832" jurisdiction="">
                <head align="left" preservecase="true">
                  <headtext>Introduction to the authority</headtext>
                </head>
                <division id="a000004" level="1">
                  <para>
                    <paratext>This section of the ITT is an opportunity for the authority to sell itself to the supplier market. It should show that it has an understanding of the market and its drivers and, if there is restricted capacity in the market or another supply block, the authority should tailor its description of the services to appeal to the market.</paratext>
                  </para>
                  <para>
                    <paratext>
                      For information on consulting the market, see 
                      <link href="5-519-8003" style="ACTLinkPLCtoPLC">
                        <ital>Standard document, Procurement Act 2023: preliminary market engagement questions for the supplier market</ital>
                      </link>
                      .
                    </paratext>
                  </para>
                </division>
              </drafting.note>
              <para>
                <paratext>[DESCRIBE THE BACKGROUND TO THE AUTHORITY, AND ITS ACTIVITIES AND ORGANISATION. EXPLAIN THE AUTHORITY'S VISION, VALUES AND STRATEGIC OBJECTIVES]</paratext>
              </para>
            </subclause1>
            <subclause1 id="a240542">
              <identifier>1.4</identifier>
              <para>
                <paratext>
                  <bold>Overview of the Services requirements</bold>
                </paratext>
              </para>
              <drafting.note id="a867808" jurisdiction="">
                <head align="left" preservecase="true">
                  <headtext>Providing for future changes</headtext>
                </head>
                <division id="a000005" level="1">
                  <para>
                    <paratext>The authority should consider describing both its settled requirements, and those requirements that may become necessary during the life of the contract and which it may wish to include in the contract at a future date.</paratext>
                  </para>
                  <para>
                    <paratext>
                      <link href="w-042-1801" style="ACTLinkPLCtoPLC">
                        <ital>Section 74</ital>
                      </link>
                       of the PA 2023 permits public contracts to be varied on certain grounds, including where the modification was "unambiguously" provided for in the initial procurement documents, which may include price revision clauses or options, provided such clauses:
                    </paratext>
                  </para>
                  <list type="bulleted">
                    <list.item>
                      <para>
                        <paratext>State the scope and nature of possible modifications or options as well as the conditions under which they may be used.</paratext>
                      </para>
                    </list.item>
                    <list.item>
                      <para>
                        <paratext>Do not provide for modifications or options that would alter the overall nature of the contract.</paratext>
                      </para>
                    </list.item>
                  </list>
                  <para>
                    <paratext>
                      (
                      <ital>Section 74 and </ital>
                      <link href="w-042-2163" style="ACTLinkPLCtoPLC">
                        <ital>paragraph 1 of Schedule 8</ital>
                      </link>
                      <ital>, PA 2023</ital>
                      .)
                    </paratext>
                  </para>
                  <para>
                    <paratext>
                      For more information, see 
                      <link href="w-045-5725" style="ACTLinkPLCtoPLC">
                        <ital>Practice note, Procurement Act 2023: modifying contracts</ital>
                      </link>
                      .
                    </paratext>
                  </para>
                  <division id="a537822" level="2">
                    <head align="left" preservecase="true">
                      <headtext>Materialisation of a known risk</headtext>
                    </head>
                    <para>
                      <paratext>
                        Future variation is also permitted where a "known risk" materialises that jeopardises performance but could not, due to its nature, be identified in the contract at the outset. Reliance on the ground to modify a contract is subject to various cumulative conditions, including that the risk be identified in the tender notice, along within the possibility that it may lead to a contract modification. Where contracting authorities plan to reserve the right to rely on this modification ground, they may want to also refer to it or expand on it in any ITT, as well as the tender notice. For more information, see 
                        <link anchor="a938800" href="w-045-5725" style="ACTLinkPLCtoPLC">
                          <ital>Practice note, Procurement Act 2023: modifying contracts: Materialisation of a known risk</ital>
                        </link>
                        .
                      </paratext>
                    </para>
                  </division>
                </division>
              </drafting.note>
              <para>
                <paratext>[DETAILS OF SERVICE OBJECTIVES OR OUTCOMES]</paratext>
              </para>
              <drafting.note id="a884012" jurisdiction="">
                <head align="left" preservecase="true">
                  <headtext>Providing details of existing service or current arrangements</headtext>
                </head>
                <division id="a000006" level="1">
                  <para>
                    <paratext>It can be difficult to determine how much information to give about the existing service, particularly if the service is already outsourced and the information the authority wants to provide may be commercially sensitive to the incumbent supplier.</paratext>
                  </para>
                  <para>
                    <paratext>
                      <internal.reference refid="a437533">
                        <ital>Schedule 3</ital>
                      </internal.reference>
                       assumes that the authority is able to provide some detail of the current service levels.
                    </paratext>
                  </para>
                  <para>
                    <paratext>
                      The authority may take the view that it is entitled to disclose any information that it would be obliged to disclose if it received a request for the same under the 
                      <link href="4-505-6037" style="ACTLinkPLCtoPLC">
                        <ital>Freedom of Information Act 2000</ital>
                      </link>
                       (FOIA) (see 
                      <link href="0-200-9452" style="ACTLinkPLCtoPLC">
                        <ital>Practice note, Freedom of information</ital>
                      </link>
                      ). However, it should check whether any disclosure would breach any confidentiality obligations it has with its existing supplier and, if it is in any doubt, discuss its intentions with its existing supplier. If the authority receives a freedom of information (FOI) request relating to the contract, it could find itself in the unenviable position of breaching the contract or the FOIA. For more information see 
                      <link href="w-011-6127" style="ACTLinkPLCtoPLC">
                        <ital>Practice note, The application of FOIA exemptions and EIR exceptions to public procurement and public contracts information</ital>
                      </link>
                      .
                    </paratext>
                  </para>
                  <para>
                    <paratext>
                      For a standard clause covering disclosures of supplier information, see 
                      <link href="4-501-5075" style="ACTLinkPLCtoPLC">
                        <ital>Standard clause, Public sector boilerplate: Freedom of information</ital>
                      </link>
                      .
                    </paratext>
                  </para>
                </division>
              </drafting.note>
              <para>
                <paratext>[DETAILS OF CURRENT ARRANGEMENTS]</paratext>
              </para>
            </subclause1>
            <subclause1 id="a948100">
              <identifier>1.5</identifier>
              <para>
                <paratext>
                  <bold>Value of the contract</bold>
                </paratext>
              </para>
              <drafting.note id="a558688" jurisdiction="">
                <head align="left" preservecase="true">
                  <headtext>Specifying a contract value and pricing evaluation</headtext>
                </head>
                <division id="a000007" level="1">
                  <para>
                    <paratext>Contracting authorities may be reluctant to specify an anticipated contract price for fear of attracting bids that are above, at, or just below that value. However, the estimated contract value must be disclosed in the tender notice. And an anticipated price must be disclosed if bids are to be evaluated against it.</paratext>
                  </para>
                  <para>
                    <paratext>There are two common methods of evaluating price, though these two basic models have many variants:</paratext>
                  </para>
                  <list type="bulleted">
                    <list.item>
                      <para>
                        <paratext>The authority sets a benchmark price, with all bids scored on a comparative basis against that price.</paratext>
                      </para>
                    </list.item>
                    <list.item>
                      <para>
                        <paratext>No benchmark is set and the lowest bid price scores the maximum marks available for the pricing element. All other prices are awarded scores depending on what percentage the lowest price is of their price.</paratext>
                      </para>
                    </list.item>
                  </list>
                  <para>
                    <paratext>Where the authority has a fixed budget, it may want to state that bids exceeding a specified limit will be deemed non-compliant and will be rejected. Otherwise, it must rely on the award criteria to ensure it does not end up with a technically superior but unaffordable solution.</paratext>
                  </para>
                  <para>
                    <paratext>
                      For more on pricing evaluation, see 
                      <link anchor="a907132" href="2-386-8761" style="ACTLinkPLCtoPLC">
                        <ital>Practice note, PCR 2015: evaluation of tenders: Use of scoring model to evaluate price</ital>
                      </link>
                      . Although this practice note discusses the evaluation of tenders under the legislation that preceded the PA 2023, the content is equally relevant to PA 2023 procurements.
                    </paratext>
                  </para>
                  <para>
                    <paratext>The risk of encouraging bids that come in close to the specific value can be somewhat mitigated by:</paratext>
                  </para>
                  <list type="bulleted">
                    <list.item>
                      <para>
                        <paratext>Weighting the award criteria more on price than on the technical solution.</paratext>
                      </para>
                    </list.item>
                    <list.item>
                      <para>
                        <paratext>Including evaluation criteria relating to efficiencies and cost reduction.</paratext>
                      </para>
                    </list.item>
                  </list>
                  <para>
                    <paratext>
                      These criteria could either form part of the technical or the price evaluation, depending upon how they are phrased. The contract terms could also encourage efficiencies by operating a gain-share mechanism through which savings will be shared between the parties (for examples, see 
                      <link href="0-202-4551#a326019" style="ACTLinkPLCtoPLC">
                        <ital>Standard documents, Outsourcing agreement: long form: 15. Service improvement and technology refresh</ital>
                      </link>
                       and 
                      <link anchor="a675283" href="2-501-1525" style="ACTLinkPLCtoPLC">
                        <ital>Services agreement for use by public sector bodies: 18. Change control, benchmarking and continuous improvement</ital>
                      </link>
                      ).
                    </paratext>
                  </para>
                  <para>
                    <paratext>
                      If the authority proposes to use a life cycle costing approach to assessing value for money, it must provide details of its approach in the procurement documents (see 
                      <link anchor="a651340" href="2-386-8761" style="ACTLinkPLCtoPLC">
                        <ital>Practice note, PCR 2015: evaluation of tenders: Life cycle costing</ital>
                      </link>
                      ).
                    </paratext>
                  </para>
                </division>
              </drafting.note>
              <para>
                <paratext>The current service handles work to a value of £[AMOUNT] in [TIME FRAME].</paratext>
              </para>
              <para>
                <paratext>The anticipated value of the Services is approximately [DETAILS OF FORECAST SPEND].</paratext>
              </para>
              <para>
                <paratext>[DETAILS OF ANY ANTICIPATED SAVINGS.]</paratext>
              </para>
              <para>
                <paratext>Details of current expenditure or potential future uptake are given in good faith as a guide to past purchasing and current planning to assist you in submitting your Tender. They should not be interpreted as an undertaking to purchase any goods or services to any particular value and do not form part of the Contract.</paratext>
              </para>
            </subclause1>
            <subclause1 id="a296540">
              <identifier>1.6</identifier>
              <para>
                <paratext>
                  <bold>Contract duration</bold>
                </paratext>
              </para>
              <drafting.note id="a862963" jurisdiction="">
                <head align="left" preservecase="true">
                  <headtext>Contract term</headtext>
                </head>
                <division id="a000008" level="1">
                  <para>
                    <paratext>The appropriate duration of the contract is a key issue. Check that the term is appropriate for the particular service to optimise value for money. If the contract term will allow for extensions, be aware that tenderers are likely to propose cost models that are more favourable to the authority during the extension period and, therefore, encourage them to extend. In this way, savings may only be made in the latter years of the contract</paratext>
                  </para>
                </division>
              </drafting.note>
              <para>
                <paratext>
                  The Authority proposes to enter into one [or more] Contract(s) for a maximum period of [NUMBER] [months 
                  <bold>OR</bold>
                   years] with the successful Tenderer (
                  <defn.term>Service Provider</defn.term>
                  ).
                </paratext>
              </para>
              <para>
                <paratext>The anticipated service commencement date is [DATE].</paratext>
              </para>
            </subclause1>
            <subclause1 condition="optional" id="a429033">
              <identifier>1.7</identifier>
              <para>
                <paratext>
                  <bold>Lots</bold>
                </paratext>
              </para>
              <drafting.note id="a834465" jurisdiction="">
                <head align="left" preservecase="true">
                  <headtext>Lots (optional clause)</headtext>
                </head>
                <division id="a000009" level="1">
                  <para>
                    <paratext>
                      The authority may decide to divide the scope of the contract into different lots, for example, based on value or geographical area (
                      <link href="w-044-3708" style="ACTLinkPLCtoPLC">
                        <ital>section 18</ital>
                      </link>
                      <ital>, PA 2023</ital>
                      ). This approach is common where either:
                    </paratext>
                  </para>
                  <list type="bulleted">
                    <list.item>
                      <para>
                        <paratext>The subject of the contract does not lend itself to economies of scale.</paratext>
                      </para>
                    </list.item>
                    <list.item>
                      <para>
                        <paratext>The optimum conditions for such economies of scale are already met in the lots.</paratext>
                      </para>
                    </list.item>
                    <list.item>
                      <para>
                        <paratext>A single provider is unlikely to be able to absorb the volumes to be purchased under the contract.</paratext>
                      </para>
                    </list.item>
                    <list.item>
                      <para>
                        <paratext>The authority requires more than one provider for reasons of service continuity or choice.</paratext>
                      </para>
                    </list.item>
                  </list>
                  <para>
                    <paratext>
                      If the authority considers the contract could reasonably be subdivided into lots but decides not to do so, it must provide reasons for its decision (
                      <ital>section 18(2)(b), PA 2023</ital>
                      ).
                    </paratext>
                  </para>
                  <para>
                    <paratext>Although dividing the services in this way means the authority could end up managing a number of different contracts and (at worst) receiving a disjointed service, it may also permit smaller businesses to enter the market and provide the authority with a contingency should one of the contracts fail. All these considerations will contribute to an assessment of the model that represents best value for money to the authority.</paratext>
                  </para>
                  <para>
                    <paratext>It is worth remembering as well that the reduction of barriers to entry for small and medium-sized enterprises is one of the procurement objectives enshrined in section 12 of the PA 2023.</paratext>
                  </para>
                  <para>
                    <paratext>
                      If the authority does divide the contract into lots, it can limit the number of lots for which a single tenderer can bid (
                      <link href="w-042-1610" style="ACTLinkPLCtoPLC">
                        <ital>section 20(7)</ital>
                      </link>
                      <ital>, PA 2023</ital>
                      ). However, in doing so, contracting authorities may want to consider the risk of receiving multiple bids for one or more lots and few or no bids for less attractive lots. It may be more in keeping with the procurement objectives, and make more sense, to have a diversity of suppliers, and simply limit the number of lots that can be 
                      <bold>won</bold>
                       by one supplier.
                    </paratext>
                  </para>
                  <para>
                    <paratext>
                      <link href="w-044-3723" style="ACTLinkPLCtoPLC">
                        <ital>Regulation 18</ital>
                      </link>
                       of the Procurement Regulations 2024 (
                      <ital>SI 2024/692</ital>
                      ) (PR 2024) sets out the information that must be given when the contract is to be awarded by reference to lots. If the authority wishes to limit the number of lots a single tenderer can win, it should consider and specify how lots will be allocated in the event that a tenderer is the highest scorer for more lots than it is permitted to win. These rules must be transparent and non-discriminatory (
                      <link href="w-042-1582" style="ACTLinkPLCtoPLC">
                        <ital>section 12</ital>
                      </link>
                      <ital>, PA 2023</ital>
                      ).
                    </paratext>
                  </para>
                  <para>
                    <paratext>
                      Where the authority permits bidders to bid for a combination of lots, it should make this clear, and should consider its approach to evaluation carefully, particularly if it wants to enable tenderers to score marks for any additional benefits they can offer the authority, if the tenderer were to win more than one lot. The tender notice must disclose whether this is intended, and a summary of the criteria that the authority intends to apply (
                      <ital>regulation18(2)(p), PR 2024</ital>
                      ). Unless these issues are included in the evaluation criteria, which are disclosed to all tenderers, the authority must not consider them at the evaluation stage.
                    </paratext>
                  </para>
                </division>
              </drafting.note>
              <subclause2 id="a822641">
                <identifier>(a)</identifier>
                <para>
                  <paratext>
                    The Services have been divided into the following work packages (
                    <defn.term>Lots</defn.term>
                    ):
                  </paratext>
                </para>
                <subclause3 id="a380834">
                  <identifier>(i)</identifier>
                  <para>
                    <paratext>[DETAILS OF ANY LOTS]</paratext>
                  </para>
                </subclause3>
              </subclause2>
              <subclause2 condition="optional" id="a475141">
                <identifier>(b)</identifier>
                <para>
                  <paratext>Tenderers are invited to bid for [all or any of] the following Lots:</paratext>
                </para>
                <para>
                  <paratext>[DETAILS OF ANY LOTS AND ANY RESTRICTIONS ON THE NUMBER OF LOTS THAT A SINGLE TENDERER CAN WIN]</paratext>
                </para>
                <para>
                  <paratext>[Tenderers are asked to specify any financial benefit accruing to the Authority if the Tenderer is successful in its bid for more than one Lot.]</paratext>
                </para>
              </subclause2>
            </subclause1>
            <subclause1 id="a862650">
              <identifier>1.8</identifier>
              <para>
                <paratext>
                  <bold>Purpose and scope of this ITT</bold>
                </paratext>
              </para>
              <para>
                <paratext>This ITT:</paratext>
              </para>
              <list type="bulleted">
                <list.item>
                  <para>
                    <paratext>Asks Tenderers to submit their Tenders in accordance with the instructions set out in the remainder of this ITT.</paratext>
                  </para>
                </list.item>
                <list.item>
                  <para>
                    <paratext>Sets out the overall timetable and process for the procurement of Tenders.</paratext>
                  </para>
                </list.item>
                <list.item>
                  <para>
                    <paratext>Provides Tenderers with sufficient information to enable them to submit a compliant Tender (including providing templates where relevant).</paratext>
                  </para>
                </list.item>
                <list.item>
                  <para>
                    <paratext>
                      Sets out the Award Criteria and the model that will be used to evaluate the Tenders (
                      <bold>Tender Evaluation Model</bold>
                      ).
                    </paratext>
                  </para>
                </list.item>
                <list.item>
                  <para>
                    <paratext>Explains the administrative arrangements for the receipt of Tenders.</paratext>
                  </para>
                </list.item>
              </list>
            </subclause1>
            <subclause1 id="a817202">
              <identifier>1.9</identifier>
              <para>
                <paratext>
                  <bold>Requests for clarification </bold>
                </paratext>
              </para>
              <drafting.note id="a381320" jurisdiction="">
                <head align="left" preservecase="true">
                  <headtext>E-tendering portals</headtext>
                </head>
                <division id="a000010" level="1">
                  <para>
                    <paratext>The wording below assumes the authority is using an e-tendering tool to run the procurement and communicate with tenderers. However, the precise terminology should be checked for conformity with the specific e-tendering product being used.</paratext>
                  </para>
                </division>
              </drafting.note>
              <para>
                <paratext>
                  Any clarifications relating to this ITT must be submitted through the e-tendering portal (
                  <bold>Portal</bold>
                  ).
                </paratext>
              </para>
              <para>
                <paratext>
                  The Authority will respond to all reasonable clarifications as soon as possible through publishing the Tenderers' questions and the Authority's response to them on the Portal (
                  <defn.term>Clarifications Log</defn.term>
                  ).
                </paratext>
              </para>
              <para>
                <paratext>If a Tenderer wishes the Authority to treat a clarification as confidential and not issue the response to all Tenderers, it must state this when submitting the clarification. If, in the opinion of the Authority, the clarification is not confidential, the Authority will inform the Tenderer and it will have an opportunity to withdraw it. If the clarification is not withdrawn, the response will be issued to all Tenderers. If the original clarification is withdrawn, the Tenderer may either submit an amended request for the clarification to be treated as confidential, which would be considered by the Authority in the same manner as the original request, or raise a new request to be treated as a non-confidential request.</paratext>
              </para>
              <para>
                <paratext>
                  The deadline for receipt of clarifications relating to the Services or this ITT is set out in 
                  <internal.reference refid="a257729">
                    <ital>paragraph 2</ital>
                  </internal.reference>
                  . The Authority reserves the right not to answer any requests for clarification submitted after this date, or submitted via any means other than the Portal.
                </paratext>
              </para>
              <para>
                <paratext>Tenderers are advised not to rely on communications from the Authority in respect of the Services or ITT unless they are made in accordance with these instructions.</paratext>
              </para>
            </subclause1>
            <subclause1 id="a229730">
              <identifier>1.10</identifier>
              <para>
                <paratext>
                  <bold>Clarifications about the contents of the Tender</bold>
                </paratext>
              </para>
              <drafting.note id="a722375" jurisdiction="">
                <head align="left" preservecase="true">
                  <headtext>Clarifications</headtext>
                </head>
                <division id="a000011" level="1">
                  <para>
                    <paratext>
                      For information on clarifying tenders, see 
                      <link href="2-386-8761#a600050" style="ACTLinkPLCtoPLC">
                        <ital>Practice note, Evaluation of tenders: Clarification if bid is unclear</ital>
                      </link>
                      . Although this practice note discusses the evaluation of tenders under the legislation that preceded the PA 2023, much of its content is equally relevant to PA 2023 procurements.
                    </paratext>
                  </para>
                </division>
              </drafting.note>
              <para>
                <paratext>The Authority reserves the right (but is not obliged) to seek clarification of any aspect of a Tenderer's Tender during the evaluation phase where necessary for the purposes of carrying out a fair evaluation. Tenderers are asked to respond to such requests promptly. Vague or ambiguous answers are likely to score poorly or render the Tender non-compliant.</paratext>
              </para>
            </subclause1>
          </clause>
          <clause id="a257729">
            <identifier>2.</identifier>
            <head align="left" preservecase="true">
              <headtext>Tender Timetable</headtext>
            </head>
            <drafting.note id="a139128" jurisdiction="">
              <head align="left" preservecase="true">
                <headtext>Timetable</headtext>
              </head>
              <division id="a000012" level="1">
                <para>
                  <paratext>The timetable below contains entries for various possible stages in a competitive flexible procedure but will require review and tailoring for the specific procurement in hand. Not all stages will be relevant to every procurement, so authorities should add, delete and move stages depending on the design of their particular procedure. For example, an authority may wish to add in a stage for an ITT for initial tenders, move the presentation stage to earlier in the procedure, or delete the site visit stage.</paratext>
                </para>
              </division>
            </drafting.note>
            <subclause1 id="a977995">
              <identifier>2.1</identifier>
              <para>
                <paratext>
                  <bold>Key dates</bold>
                </paratext>
              </para>
              <para>
                <paratext>This procurement will follow a clear, structured and transparent process to ensure a fair and level playing field is maintained at all times, and that all Tenderers are treated equally.</paratext>
              </para>
              <para>
                <paratext>
                  The key dates for this procurement (
                  <defn.term>Timetable</defn.term>
                  ) are currently anticipated to be as follows:
                </paratext>
              </para>
              <para>
                <paratext>
                  <table frame="all" pgwide="1">
                    <tgroup cols="2">
                      <colspec colname="1" colnum="1" colwidth="50"/>
                      <colspec colname="2" colnum="2" colwidth="50"/>
                      <tbody>
                        <row>
                          <entry valign="top">
                            <para align="left">
                              <paratext>
                                <bold>Event</bold>
                              </paratext>
                            </para>
                          </entry>
                          <entry valign="top">
                            <para align="left">
                              <paratext>
                                <bold>Date</bold>
                              </paratext>
                            </para>
                          </entry>
                        </row>
                        <row>
                          <entry valign="top">
                            <para align="left">
                              <paratext>Notification of outcome of the PSQ evaluation and identification of Tenderers to receive the ITT</paratext>
                            </para>
                          </entry>
                          <entry valign="top">
                            <para align="left">
                              <paratext>[DATE]</paratext>
                            </para>
                          </entry>
                        </row>
                        <row>
                          <entry valign="top">
                            <para align="left">
                              <paratext>Notification of attendance at Tenderers' workshop</paratext>
                            </para>
                          </entry>
                          <entry valign="top">
                            <para align="left">
                              <paratext>[DATE]</paratext>
                            </para>
                          </entry>
                        </row>
                        <row>
                          <entry valign="top">
                            <para align="left">
                              <paratext>Tenderers' workshop</paratext>
                            </para>
                          </entry>
                          <entry valign="top">
                            <para align="left">
                              <paratext>[DATE], [TIME], [VENUE]</paratext>
                            </para>
                          </entry>
                        </row>
                        <row>
                          <entry valign="top">
                            <para align="left">
                              <paratext>Deadline for receipt of requests for clarification</paratext>
                            </para>
                          </entry>
                          <entry valign="top">
                            <para align="left">
                              <paratext>[DATE]</paratext>
                            </para>
                          </entry>
                        </row>
                        <row>
                          <entry valign="top">
                            <para align="left">
                              <paratext>Target date for responses to clarification requests</paratext>
                            </para>
                          </entry>
                          <entry valign="top">
                            <para align="left">
                              <paratext>[DATE]</paratext>
                            </para>
                          </entry>
                        </row>
                        <row>
                          <entry valign="top">
                            <para align="left">
                              <paratext>Notification of site visits and presentations</paratext>
                            </para>
                          </entry>
                          <entry valign="top">
                            <para align="left">
                              <paratext>[DATE]</paratext>
                            </para>
                          </entry>
                        </row>
                        <row>
                          <entry valign="top">
                            <para align="left">
                              <paratext>Deadline for receipt of Tenders</paratext>
                            </para>
                          </entry>
                          <entry valign="top">
                            <para align="left">
                              <paratext>[DATE], [TIME]</paratext>
                            </para>
                          </entry>
                        </row>
                        <row>
                          <entry valign="top">
                            <para align="left">
                              <paratext>Site visits</paratext>
                            </para>
                          </entry>
                          <entry valign="top">
                            <para align="left">
                              <paratext>[DATE]</paratext>
                            </para>
                          </entry>
                        </row>
                        <row>
                          <entry valign="top">
                            <para align="left">
                              <paratext>Presentations</paratext>
                            </para>
                          </entry>
                          <entry valign="top">
                            <para align="left">
                              <paratext>[DATE], [VENUE]</paratext>
                            </para>
                          </entry>
                        </row>
                        <row>
                          <entry valign="top">
                            <para align="left">
                              <paratext>Evaluation of Tenders</paratext>
                            </para>
                          </entry>
                          <entry valign="top">
                            <para align="left">
                              <paratext>[DATE]</paratext>
                            </para>
                          </entry>
                        </row>
                        <row>
                          <entry valign="top">
                            <para align="left">
                              <paratext>Publication of contract award notice</paratext>
                            </para>
                          </entry>
                          <entry valign="top">
                            <para align="left">
                              <paratext>[DATE]</paratext>
                            </para>
                          </entry>
                        </row>
                        <row>
                          <entry valign="top">
                            <para align="left">
                              <paratext>Notification of contract award decision to Tenderers and standstill period</paratext>
                            </para>
                          </entry>
                          <entry valign="top">
                            <para align="left">
                              <paratext>From [DATE] to [DATE]</paratext>
                            </para>
                          </entry>
                        </row>
                        <row>
                          <entry valign="top">
                            <para align="left">
                              <paratext>Confirm contract award</paratext>
                            </para>
                          </entry>
                          <entry valign="top">
                            <para align="left">
                              <paratext>[DATE]</paratext>
                            </para>
                          </entry>
                        </row>
                        <row>
                          <entry valign="top">
                            <para align="left">
                              <paratext>Contract start [and start of mobilisation period]</paratext>
                            </para>
                          </entry>
                          <entry valign="top">
                            <para align="left">
                              <paratext>[DATE]</paratext>
                            </para>
                          </entry>
                        </row>
                        <row>
                          <entry valign="top">
                            <para align="left">
                              <paratext>Target service commencement date</paratext>
                            </para>
                          </entry>
                          <entry valign="top">
                            <para align="left">
                              <paratext>[DATE]</paratext>
                            </para>
                          </entry>
                        </row>
                      </tbody>
                    </tgroup>
                  </table>
                </paratext>
              </para>
              <para>
                <paratext>Any changes to the procurement Timetable shall be notified to all Tenderers as soon as practicable.</paratext>
              </para>
            </subclause1>
            <subclause1 condition="optional" id="a562068">
              <identifier>2.2</identifier>
              <para>
                <paratext>
                  <bold>Tenderers' workshop</bold>
                </paratext>
              </para>
              <drafting.note id="a597547" jurisdiction="">
                <head align="left" preservecase="true">
                  <headtext>Tenderer' workshop (optional clause)</headtext>
                </head>
                <division id="a000013" level="1">
                  <para>
                    <paratext>To allow tenderers to put forward initial questions on the ITT, authorities may want to hold a bidders' conference or a supplier open day to which all tenderers are invited. This has the advantage for the authority of clarifying initial matters raised by tenderers in front of all suppliers at the same time. This will need to be carefully orchestrated and will inevitably mean that tenderers will find out which other tenderers have been shortlisted and are interested in responding. The authority should circulate the questions and answers raised at the Tenderers' workshop to all of the Tenderers after the event (particularly where a Tenderer may end up not being able to attend the workshop for whatever reason).</paratext>
                  </para>
                </division>
              </drafting.note>
              <para>
                <paratext>A workshop for Tenderers will be held as detailed in the Timetable. All Tenderers are recommended to attend. Please confirm who will be representing your organisation (name and status) by the above stated date in order for the Authority to make the appropriate arrangements.</paratext>
              </para>
              <para>
                <paratext>Please send any questions to the address for the Clarifications Log three days before the workshop to ensure they can be answered at the workshop.</paratext>
              </para>
              <para>
                <paratext>[The following [officers OR representatives] from the following departments will attend the workshop: [DETAILS, NAMES AND POSITIONS] OR Further details of the Tenderers' workshop shall be provided on confirmation of attendance].</paratext>
              </para>
            </subclause1>
            <subclause1 id="a894315">
              <identifier>2.3</identifier>
              <para>
                <paratext>
                  <bold>Deadline for receipt of Tenders</bold>
                </paratext>
              </para>
              <drafting.note id="a534351" jurisdiction="">
                <head align="left" preservecase="true">
                  <headtext>Electronic tendering systems</headtext>
                </head>
                <division id="a000014" level="1">
                  <para>
                    <paratext>It is important that the ITT provides clear instructions on the method and timing of tender submission. Suppliers may be unfamiliar with electronic tendering systems and may need additional support with, for example, uploading documents. It is wise to advise all Tenderers to leave enough time to submit their Tenders.</paratext>
                  </para>
                  <division id="a181489" level="2">
                    <head align="left" preservecase="true">
                      <headtext>Extending the deadline</headtext>
                    </head>
                    <para>
                      <paratext>
                        The authority may wish to extend the deadline where significant changes are made to the procurement documents (
                        <link href="w-042-1615" style="ACTLinkPLCtoPLC">
                          <ital>section 54(1)(d)</ital>
                        </link>
                        <ital>, PA 2023</ital>
                        ).
                      </paratext>
                    </para>
                    <para>
                      <paratext>The length of the extension should be proportionate to the nature and complexity of the change.</paratext>
                    </para>
                  </division>
                </division>
              </drafting.note>
              <para>
                <paratext>
                  Responses to this ITT must arrive at the address and in the manner prescribed under 
                  <internal.reference refid="a103584">
                    <ital>paragraph 3.1</ital>
                  </internal.reference>
                   no later than the Deadline.
                </paratext>
              </para>
              <para>
                <paratext>Any Tender received after the Deadline shall not be opened or considered, unless there are exceptional mitigating circumstances such as a technical failure in connection with the Portal, which shall be considered by the Authority in its absolute discretion.</paratext>
              </para>
              <para>
                <paratext>The Authority may, however, in its own absolute discretion extend the Deadline and in such circumstances the Authority will notify all Tenderers of any change.</paratext>
              </para>
            </subclause1>
            <subclause1 id="a369628">
              <identifier>2.4</identifier>
              <para>
                <paratext>
                  <bold>References</bold>
                </paratext>
              </para>
              <drafting.note id="a703392" jurisdiction="">
                <head align="left" preservecase="true">
                  <headtext>References</headtext>
                </head>
                <division id="a000015" level="1">
                  <para>
                    <paratext>References verifying a bidder's past experience (a condition of participation, rather than an award criterion) should be obtained at the PSQ stage.</paratext>
                  </para>
                  <para>
                    <paratext>
                      However, references may be relevant at award stage to support the Tenderers' written submissions (that is, evidence that their solutions are deliverable). For more information, see 
                      <internal.reference refid="a178652">
                        <ital>Drafting note, Presentations (optional clause)</ital>
                      </internal.reference>
                      <ital>.</ital>
                    </paratext>
                  </para>
                  <para>
                    <paratext>
                      For more information on the distinction between conditions of participation and award criteria, see 
                      <link anchor="a798899" href="w-044-2332" style="ACTLinkPLCtoPLC">
                        <ital>Practice note, Procurement Act 2023: competitive tendering procedures: Conditions of participation</ital>
                      </link>
                      .
                    </paratext>
                  </para>
                </division>
              </drafting.note>
              <para>
                <paratext>Tenderers are requested to supply [NUMBER] references. References will be used to verify the technical proposals put forward in the Tender and will not be scored.</paratext>
              </para>
              <para>
                <paratext>[The Authority reserves the right to seek references from any of the Tenderer's customers, including the Authority, whether or not the Tenderer has listed such customers as referees.]</paratext>
              </para>
            </subclause1>
            <subclause1 condition="optional" id="a525285">
              <identifier>2.5</identifier>
              <para>
                <paratext>
                  <bold>Site visits</bold>
                </paratext>
              </para>
              <drafting.note id="a873361" jurisdiction="">
                <head align="left" preservecase="true">
                  <headtext>Site visits and presentations (optional clause)</headtext>
                </head>
                <division id="a000016" level="1">
                  <para>
                    <paratext>Site visits can be used to score specific criteria (provided this is not an assessment of the tenderers' past experience) or to moderate written scores.</paratext>
                  </para>
                  <para>
                    <paratext>The authority may want to visit sites or hear presentations from only those tenderers who stand a chance of winning the work, following evaluation of their written submissions. However, there is potentially some legal risk attached to this approach. There are three possibilities:</paratext>
                  </para>
                  <list type="bulleted">
                    <list.item>
                      <para>
                        <paratext>The authority visits sites or hears presentations from all tenderers.</paratext>
                      </para>
                    </list.item>
                    <list.item>
                      <para>
                        <paratext>The authority invites only the top scorers who are way ahead of their competitors to proceed. The risk of challenge is likely to be low if the authority rejects only those tenderers who are so far behind their competitors that even if they scored maximum available marks for this part of the process, they could not win.</paratext>
                      </para>
                    </list.item>
                    <list.item>
                      <para>
                        <paratext>Alternatively, the authority may want to impose a cut-off, for example, that it reserves the right to take only the top three scoring tenderers through (irrespective of how close their scores are) to a second round of assessment.</paratext>
                      </para>
                    </list.item>
                  </list>
                  <para>
                    <paratext>Presentations and site visits are not, in themselves, evaluation criteria. They can be used to evaluate technical criteria and, if so, these should be specified. Alternatively, they can also be used to moderate the written submissions and attract no separate marks. Either way, the authority must specify how the presentations or site visits are being used and which of the evaluation criteria will be scored or moderated in this way.</paratext>
                  </para>
                  <para>
                    <paratext>If the authority chooses to only visit sites or hear presentations from the top-scoring tenderers, it must ensure that:</paratext>
                  </para>
                  <list type="bulleted">
                    <list.item>
                      <para>
                        <paratext>If the site visits or presentations attract specific marks, all those tenderers who could have a chance of winning the work are invited (taking into account that the lowest-scoring tenderers following evaluation of the written submission may score highly and the highest-scoring tenderers poorly).</paratext>
                      </para>
                    </list.item>
                    <list.item>
                      <para>
                        <paratext>If the site visits or presentations are used to moderate specific marks, all those tenderers who could have a chance of winning the work are invited (taking into account that the scores of the lowest-scoring tenderers could be moderated upwards and the highest scoring tenderers downwards). This exercise is further complicated if a large number of criteria are capable of moderation.</paratext>
                      </para>
                    </list.item>
                  </list>
                  <para>
                    <paratext>If the presentations or site visits attract their own marks, the marks from the written submission can be added to those allocated for the site visits or presentation to provide the overall score.</paratext>
                  </para>
                </division>
              </drafting.note>
              <para>
                <paratext>All Tenderers are asked to make available [NUMBER] site[s] [as identified in your response to the PSQ]. The site visits will be required to [score the Evaluation Criteria as OR moderate the scores obtained from your written submissions on the Evaluation Criteria] identified in the Tender Evaluation Model.</paratext>
              </para>
              <para>
                <paratext>Site visits are planned to take place on the dates set out in the Timetable. You should keep these dates free in case you are asked to make a site available.</paratext>
              </para>
              <para>
                <paratext>[The Authority reserves the right to visit the sites of the top [NUMBER] scoring Tenderers or more, although, where the scores which are being [evaluated OR moderated] by the visits are close enough that the [evaluation OR moderation] could make a difference to the contract award, the authority will visit all relevant Tenderers' sites.]</paratext>
              </para>
            </subclause1>
            <subclause1 condition="optional" id="a620646">
              <identifier>2.6</identifier>
              <para>
                <paratext>
                  <bold>Software or product demonstration</bold>
                </paratext>
              </para>
              <drafting.note id="a161709" jurisdiction="">
                <head align="left" preservecase="true">
                  <headtext>Software or product demonstration (optional clause)</headtext>
                </head>
                <division id="a000017" level="1">
                  <para>
                    <paratext>The wording below can be adapted for use where the tenderers must carry out a demonstration of software or other product, rather than provide access to a site.</paratext>
                  </para>
                </division>
              </drafting.note>
              <para>
                <paratext>
                  You will need to include a demonstration of the [software] solution proposed for the Contract [as part of the site visit (see 
                  <internal.reference refid="a535827">
                    <ital>paragraph 4</ital>
                  </internal.reference>
                   for more information)].
                </paratext>
              </para>
            </subclause1>
            <subclause1 condition="optional" id="a364657">
              <identifier>2.7</identifier>
              <para>
                <paratext>
                  <bold>Presentations</bold>
                </paratext>
              </para>
              <drafting.note id="a178652" jurisdiction="">
                <head align="left" preservecase="true">
                  <headtext>Presentations (optional clause)</headtext>
                </head>
                <division id="a000018" level="1">
                  <para>
                    <paratext>
                      For information on presentations and evaluation, see 
                      <internal.reference refid="a873361">
                        <ital>Drafting note, Site visits and presentations (optional clause)</ital>
                      </internal.reference>
                      <ital> (optional clause)</ital>
                      .
                    </paratext>
                  </para>
                  <para>
                    <paratext>The authority must notify tenderers of the criteria that will be evaluated or moderated at the presentation. However, they are not required to issue specific questions before the presentation.</paratext>
                  </para>
                </division>
              </drafting.note>
              <para>
                <paratext>A maximum of the [top three scoring OR [NUMBER]] Tenderers will be invited to deliver a presentation to representatives of the Authority [and other organisations as appropriate] in support of their Tenders, as set out in the Timetable. You should keep this date free in case you are asked to attend.</paratext>
              </para>
              <para>
                <paratext>The presentations will be used to [evaluate the Evaluation Criteria OR moderate the written submissions for the Evaluation Criteria] specified in the Tender Evaluation Model.</paratext>
              </para>
              <para>
                <paratext>[The panel will consist of the following [officers OR representatives] from the following departments: [DETAILS, NAMES OR POSITIONS].</paratext>
              </para>
              <para>
                <paratext>
                  <bold>OR</bold>
                </paratext>
              </para>
              <para>
                <paratext>The names and positions of those attending from the Authority will be notified to all Tenderers in advance of the presentation.]</paratext>
              </para>
              <para>
                <paratext>[Topics for discussion for the presentation will be issued no later than [NUMBER] days before the presentation.]</paratext>
              </para>
            </subclause1>
            <subclause1 id="a639810">
              <identifier>2.8</identifier>
              <para>
                <paratext>
                  <bold>Contract award</bold>
                </paratext>
              </para>
              <drafting.note id="a207531" jurisdiction="">
                <head align="left" preservecase="true">
                  <headtext>Standstill period</headtext>
                </head>
                <division id="a000019" level="1">
                  <para>
                    <paratext>
                      The standstill period must be at least eight working days, starting with the day on which the contract award notice is published. Contracting authorities can adopt a longer period if desired (
                      <link href="w-042-2056" style="ACTLinkPLCtoPLC">
                        <ital>section 51</ital>
                      </link>
                      <ital>, PA 2023</ital>
                      ). In calculating the period of eight working days, contracting authorities must discount weekends and any day that is a bank holiday in 
                      <bold>any part</bold>
                       of the United Kingdom. For more information on the standstill period, see 
                      <link anchor="a731392" href="w-044-2332" style="ACTLinkPLCtoPLC">
                        <ital>Practice note, Procurement Act 2023: competitive tendering procedures: Standstill</ital>
                      </link>
                      .
                    </paratext>
                  </para>
                </division>
              </drafting.note>
              <para>
                <paratext>The Authority may award Contract(s) on the basis of a [Tender] submitted in accordance with the instructions below.</paratext>
              </para>
              <para>
                <paratext>Contract award is subject to the formal approval process of the Authority. Until all necessary approvals are obtained, a contract award notice published and the standstill period completed, no Contract(s) will be entered into.</paratext>
              </para>
              <para>
                <paratext>Once the Authority has reached a decision in respect of a contract award, it will notify all bidders of that decision and provide for a standstill period in accordance with the PA 2023 before entering into any Contract(s).</paratext>
              </para>
            </subclause1>
            <subclause1 id="a177160">
              <identifier>2.9</identifier>
              <para>
                <paratext>
                  <bold>Debrief</bold>
                </paratext>
              </para>
              <drafting.note id="a345128" jurisdiction="">
                <head align="left" preservecase="true">
                  <headtext>Debriefing requirements</headtext>
                </head>
                <division id="a000020" level="1">
                  <para>
                    <paratext>
                      For more information on what is required in the debrief, see 
                      <link anchor="a933507" href="w-044-2332" style="ACTLinkPLCtoPLC">
                        <ital>Practice note, Procurement Act 2023: competitive tendering procedures: Assessment summaries</ital>
                      </link>
                      .
                    </paratext>
                  </para>
                </division>
              </drafting.note>
              <para>
                <paratext>An assessment summary will be sent to each Tenderer. In its assessment summary the successful Tenderer will be told the scores it received against each award criterion and the reasons for those scores. Each unsuccessful Tenderer will receive its own scores and reasons for those scores, plus the equivalent information for the successful Tenderer.</paratext>
              </para>
            </subclause1>
          </clause>
          <clause id="a803841">
            <identifier>3.</identifier>
            <head align="left" preservecase="true">
              <headtext>Tender completion information</headtext>
            </head>
            <subclause1 id="a103584">
              <identifier>3.1</identifier>
              <para>
                <paratext>
                  <bold>Formalities</bold>
                </paratext>
              </para>
              <para>
                <paratext>[All documents comprising the Tender must be completed and uploaded to the Portal by [DATE] [TIME] [Deadline.]</paratext>
              </para>
              <para>
                <paratext>[INSERT ANY REQUIREMENTS SPECIFIC TO AUTHORITY'S E-TENDERING TOOL.]</paratext>
              </para>
              <para>
                <paratext>[The following requirements must be adhered to when submitting Tenders:</paratext>
              </para>
              <list type="bulleted">
                <list.item>
                  <para>
                    <paratext>The pages of the Tender documents must be numbered sequentially as "Page [x] of [xx]" and include the date and title of the document on each page of the main body.</paratext>
                  </para>
                </list.item>
                <list.item>
                  <para>
                    <paratext>Any additional pre-existing material that is necessary to support the Tender should be included as schedules with cross-references to this material in the main body of the Tender. Cross-references to this ITT should also be included in the Tender whenever this is relevant.</paratext>
                  </para>
                </list.item>
                <list.item>
                  <para>
                    <paratext>Where documents are embedded within other documents, Tenderers must upload separate copies of the embedded documents.</paratext>
                  </para>
                </list.item>
                <list.item>
                  <para>
                    <paratext>The Tender must be in English and drafted in accordance with the drafting guidance set out in this ITT.</paratext>
                  </para>
                </list.item>
                <list.item>
                  <para>
                    <paratext>A table of contents must be provided.</paratext>
                  </para>
                </list.item>
                <list.item>
                  <para>
                    <paratext>The Tender must be fully cross-referenced.</paratext>
                  </para>
                </list.item>
                <list.item>
                  <para>
                    <paratext>A list of supporting material must be supplied.</paratext>
                  </para>
                </list.item>
                <list.item>
                  <para>
                    <paratext>Tenderers should use [FONT TYPE AND SIZE].</paratext>
                  </para>
                </list.item>
                <list.item>
                  <para>
                    <paratext>Line spacing must be [SPACING SIZE] or more.</paratext>
                  </para>
                </list.item>
              </list>
              <para>
                <paratext>The Tender must be clear, concise and complete. The Authority reserves the right to mark a Tenderer down or exclude it from the procurement if its Tender contains any ambiguities or caveats or lacks clarity. Tenderers should submit only such information as is necessary to respond effectively to this ITT. Tenders will be evaluated on the basis of information submitted by the Deadline.</paratext>
              </para>
              <para>
                <paratext>
                  The Tenderer must upload a duly executed Form of Tender (
                  <internal.reference refid="a737736">
                    <ital>Schedule 12</ital>
                  </internal.reference>
                  ). Where the Tenderer is a company, the Tender must be signed by a duly authorised representative of that company. Where the Tenderer is a consortium, the Tender must be signed by the lead authorised representative of the consortium, which organisation shall be responsible for the performance of the Contract. In the case of a partnership, all the partners should sign or, alternatively, one only may sign, in which case they must have and should state that they have authority to sign on behalf of the other partner(s). The names of all the partners should be given in full together with the trading name of the partnership. In the case of a sole trader, they should sign and give their name in full together with the name under which they are trading.
                </paratext>
              </para>
            </subclause1>
            <subclause1 condition="optional" id="a878554">
              <identifier>3.2</identifier>
              <para>
                <paratext>
                  <bold>Executive summary</bold>
                </paratext>
              </para>
              <drafting.note id="a315737" jurisdiction="">
                <head align="left" preservecase="true">
                  <headtext>Executive summary</headtext>
                </head>
                <division id="a000021" level="1">
                  <para>
                    <paratext>Executive summaries of the Tender or covering letters will not be required in every case.</paratext>
                  </para>
                </division>
              </drafting.note>
              <para>
                <paratext>Each Tenderer must also provide an executive summary of its Tender. Each Tenderer must include in its executive summary:</paratext>
              </para>
              <list type="bulleted">
                <list.item>
                  <para>
                    <paratext>An outline of the way in which the Authority's requirements are to be met by its proposal.</paratext>
                  </para>
                </list.item>
                <list.item>
                  <para>
                    <paratext>A summary of all the services offered by the Tenderer in response to the ITT.</paratext>
                  </para>
                </list.item>
                <list.item>
                  <para>
                    <paratext>An overview of the Tenderer's overall costs and proposals in relation to pricing.</paratext>
                  </para>
                </list.item>
                <list.item>
                  <para>
                    <paratext>A clear statement of whether it is a consortium or similar.</paratext>
                  </para>
                </list.item>
                <list.item>
                  <para>
                    <paratext>A clear statement of the Tenderer's commitment to meet the Authority's requirements and the pricing, payment and performance model.</paratext>
                  </para>
                </list.item>
                <list.item>
                  <para>
                    <paratext>Confirmation that the Tender(s) will remain open for a period of [NUMBER] days.</paratext>
                  </para>
                </list.item>
                <list.item>
                  <para>
                    <paratext>Written confirmation of no adverse change since the PSQ stage in its financial standing and any other information provided at that stage.</paratext>
                  </para>
                </list.item>
                <list.item>
                  <para>
                    <paratext>Notification of any change in control, composition or membership (if any) that has taken place after the Tenderer's submission of its expression of interest.</paratext>
                  </para>
                </list.item>
                <list.item>
                  <para>
                    <paratext>[Any other requirements of the Authority (for example, certificates of non-collusion, non-canvassing and so on).]</paratext>
                  </para>
                </list.item>
              </list>
              <para>
                <paratext>If changes subsequently occur in relation to the statements set out in the executive summary, the Tenderer must promptly notify the Authority of them. The Authority reserves the right to disqualify any Tenderer that fails to notify the Authority. Tenderers are also reminded of the eligibility requirements that apply to the procurement process at all times. In particular, these include the exclusion provisions set out in sections 26 to 31 and Schedules 6 and 7 to the PA 2023, and the minimum standards set out in the PSQ. Any change in the eligibility of a Tenderer must be notified immediately to the Authority in writing and may result in that Tenderer being disqualified from any further participation in the procurement process.</paratext>
              </para>
            </subclause1>
            <subclause1 id="a348295">
              <identifier>3.3</identifier>
              <para>
                <paratext>
                  <bold>Submission of Tenders</bold>
                </paratext>
              </para>
              <para>
                <paratext>Each Tenderer:</paratext>
              </para>
              <list type="bulleted">
                <list.item>
                  <para>
                    <paratext>Must submit one Tender [in respect of each Lot that the Tenderer has been invited to respond to by the Authority and for which it wishes to make a bid].</paratext>
                  </para>
                </list.item>
                <list.item>
                  <para>
                    <paratext>[May submit one or more Tenders in respect of one or more combinations of Lots showing any financial benefits accruing to the Authority if the Tenderer were to win more than one Lot.]</paratext>
                  </para>
                </list.item>
              </list>
              <para>
                <paratext>
                  [The 
                  <bold>OR</bold>
                   Each] Tender must meet the Authority's minimum requirements, operate as a standalone bid and not be dependent on any other bid or any other factors external to the Tender itself. That is, [the 
                  <bold>OR</bold>
                   each] Tender must be capable of being accepted by the Authority in its own right.
                </paratext>
              </para>
            </subclause1>
            <subclause1 id="a305014">
              <identifier>3.4</identifier>
              <para>
                <paratext>
                  <bold>Contract</bold>
                </paratext>
              </para>
              <drafting.note id="a315279" jurisdiction="">
                <head align="left" preservecase="true">
                  <headtext>Evaluating the response to the contract terms</headtext>
                </head>
                <division id="a000022" level="1">
                  <para>
                    <paratext>This section of the template assumes that the authority is issuing a draft contract at this stage, and that its terms are non-negotiable. However, it is also possible to permit tenderers to mark up the draft contract. The authority then scores the commercial acceptability or risk allocation of the amended contract as part of the evaluation.</paratext>
                  </para>
                  <para>
                    <paratext>The potential problem with the latter approach is that a bidder may submit amendments to the terms that are unacceptable to the authority. Unless the authority reserves for itself the discretion to reject such a bid as non-compliant, it may be obliged to award the contract to that Tenderer, if its Tender otherwise represents best value for money. Alternatively, if the authority requires bids to be rejected as non-compliant where the contract has been marked up, this may have the effect of rejecting a good Tenderer who failed to understand the process and used the mark-up as a first attempt to engage in a negotiation.</paratext>
                  </para>
                  <para>
                    <paratext>It is, therefore, simpler, especially for straightforward contracts, for the authority to impose contract terms that are reasonable and reflect industry norms. If there are any significant difficulties with the Tenderers accepting those terms, they can raise the issue through the clarification process.</paratext>
                  </para>
                  <para>
                    <paratext>
                      For more information, see 
                      <link href="2-386-8761" style="ACTLinkPLCtoPLC">
                        <ital>Practice note, Evaluation of tenders; Evaluation of terms and conditions</ital>
                      </link>
                       (this practice note discusses the evaluation of tenders under the legislation that preceded the PA 2023, but contains material that is equally relevant to PA 2023 procurements).
                    </paratext>
                  </para>
                </division>
              </drafting.note>
              <para>
                <paratext>
                  The draft Contract that the Authority proposes to use is attached at 
                  <internal.reference refid="a472790">
                    <ital>Schedule 1</ital>
                  </internal.reference>
                  . By submitting a Tender, Tenderers are agreeing to be bound by the terms of this ITT and the Contract without further negotiation or amendment.
                </paratext>
              </para>
              <para>
                <paratext>
                  If the terms of the Contract render the proposals in the Tenderer's Tender unworkable, the Tenderer should submit a clarification in accordance with 
                  <internal.reference refid="a817202">
                    <ital>paragraph 1.9</ital>
                  </internal.reference>
                   and the Authority will consider whether any amendment to the Contract is required. Any amendments shall be published through the Clarifications Log and shall apply to all Tenderers. Where both the amendment and the original drafting are acceptable and workable to the Authority, the Authority shall publish the amendment as an alternative to the original drafting. Tenderers should indicate if they prefer the amendment; otherwise the original drafting shall apply. Any amendments that are proposed but not approved by the Authority through this process will not be acceptable and may be construed as a rejection of the terms, leading to the disqualification of the Tender.
                </paratext>
              </para>
            </subclause1>
            <subclause1 id="a966830">
              <identifier>3.5</identifier>
              <para>
                <paratext>
                  <bold>Documents forming the Contract</bold>
                </paratext>
              </para>
              <drafting.note id="a708697" jurisdiction="">
                <head align="left" preservecase="true">
                  <headtext>Documents forming the contract</headtext>
                </head>
                <division id="a000023" level="1">
                  <para>
                    <paratext>
                      The ITT envisages that its schedules will be included as schedules to the eventual contract, where relevant (see 
                      <link href="2-501-1525" style="ACTLinkPLCtoPLC">
                        <ital>Standard document, Services agreement for use by public sector bodies</ital>
                      </link>
                      ). The authority may also want to make the following information available to tenderers, where relevant:
                    </paratext>
                  </para>
                  <list type="bulleted">
                    <list.item>
                      <para>
                        <paratext>
                          <bold>Information about the current service. </bold>
                          This information enables the tenderers to understand the existing service. Except where it is included in the specification for the new contract, it should not form part of the final contract (see 
                          <internal.reference refid="a884012">
                            <ital>Drafting note, Providing details of existing service or current arrangements</ital>
                          </internal.reference>
                          .)
                        </paratext>
                      </para>
                    </list.item>
                    <list.item>
                      <para>
                        <paratext>
                          <bold>Site plans.</bold>
                           For inclusion in the final contract, if relevant.
                        </paratext>
                      </para>
                    </list.item>
                    <list.item>
                      <para>
                        <paratext>
                          <bold>Asset list.</bold>
                           For inclusion in the final contract if any authority or incumbent supplier assets are being transferred to or otherwise made available for use by the service provider.
                        </paratext>
                      </para>
                    </list.item>
                    <list.item>
                      <para>
                        <paratext>
                          <bold>Contracts list.</bold>
                           For inclusion in the final contract if any authority or incumbent supplier contracts (for example, software licences) are being assigned or novated to the new supplier.
                        </paratext>
                      </para>
                    </list.item>
                    <list.item>
                      <para>
                        <paratext>
                          <bold>Applicable policies.</bold>
                           The authority should include with the ITT any relevant policies that it requires the service provider to comply with (for example, on data security or health and safety). These policies will be incorporated into the final contract.
                        </paratext>
                      </para>
                    </list.item>
                    <list.item>
                      <para>
                        <paratext>
                          <bold>Commercially sensitive information.</bold>
                           The authority may give the tenderers the opportunity to identify their commercially sensitive information. Although the authority does not agree to keep the information confidential, it provides the authority with guidance on when it should consult the tenderer before disclosing any of the information supplied by it, where the authority is responding to an FOI request. This list may form part of the final contract. It may not be convenient to list commercially sensitive information in contracts, as such lists may soon be out of date. It may be preferable for the parties to agree to consult one another if an FOI request is received for any information that could reasonably be viewed as commercially sensitive. For more information, see 
                          <link href="w-011-6127" style="ACTLinkPLCtoPLC">
                            <ital>Practice note, The application of FOIA exemptions and EIR exceptions to public procurement and public contracts information</ital>
                          </link>
                          .
                        </paratext>
                      </para>
                    </list.item>
                    <list.item>
                      <para>
                        <paratext>
                          <bold>Deed of guarantee.</bold>
                           If the authority requires a guarantee, this will be included as a schedule to the final contract. For more information, see 
                          <link href="3-203-0923" style="ACTLinkPLCtoPLC">
                            <ital>Standard document, Parent company guarantee (outsourcing)</ital>
                          </link>
                          .
                        </paratext>
                      </para>
                    </list.item>
                    <list.item>
                      <para>
                        <paratext>
                          <bold>Provisional list of employees who may transfer under TUPE</bold>
                          , which should also be provided if the new service triggers a TUPE transfer under the 
                          <link href="2-505-5915" style="ACTLinkPLCtoPLC">
                            <ital>Transfer of Undertakings (Protection of Employment) Regulations 2006</ital>
                          </link>
                           (
                          <ital>SI 2006/246</ital>
                          ). A final list will be included in the final contract. However, the authority may not wish or be able to provide full details of the workforce at the date the tender notice is published. In that case, the authority should at least provide outline information. If the information is being withheld for reasons of confidentiality, the authority must inform tenderers about access arrangements. (If the transferring employees are former public sector employees, the draft contract should also include information about their current pension scheme and its conditions of participation, such as a draft admission agreement and, if necessary, a bond agreement.) This provisional list of transferring employees should be updated before the transfer date and the final list should be included in the contract.
                        </paratext>
                      </para>
                    </list.item>
                  </list>
                  <division id="a306741" level="2">
                    <head align="left" preservecase="true">
                      <headtext>Specification</headtext>
                    </head>
                    <para>
                      <paratext>
                        In the specification, the authority should set out the detailed requirements for (each of) the services. The more detail that can be included, the more comprehensive a response the authority is likely to receive from each tenderer and the easier it will be to compare tenderers' responses on a like-for-like basis. There is often a balancing act between wanting to be provided with a comprehensive and detailed proposal on the one hand, without defining and pre-determining the solution on the other. For information on specifications, see 
                        <link href="5-542-5406" style="ACTLinkPLCtoPLC">
                          <ital>Practice note, Drafting specifications for services contracts (public sector)</ital>
                        </link>
                         (this practice note discusses the drafting of specifications under the legislation that preceded the PA 2023, but contains material that is equally relevant to PA 2023 procurements).
                      </paratext>
                    </para>
                  </division>
                </division>
              </drafting.note>
              <para>
                <paratext>The following documents shall form part of the Contract between the Authority and the Service Provider(s):</paratext>
              </para>
              <list type="bulleted">
                <list.item>
                  <para>
                    <paratext>Contract and its schedules.</paratext>
                  </para>
                </list.item>
                <list.item>
                  <para>
                    <paratext>Specification.</paratext>
                  </para>
                </list.item>
                <list.item>
                  <para>
                    <paratext>Schedules (such as service levels, site plans, asset lists, contracts list, list of transferring employees, relevant policies and so on).</paratext>
                  </para>
                </list.item>
                <list.item>
                  <para>
                    <paratext>A pricing model (as completed by the Service Provider).</paratext>
                  </para>
                </list.item>
                <list.item>
                  <para>
                    <paratext>
                      [Responses to requirements 
                      <bold>OR</bold>
                       method statement questions] (as completed by the Service Provider).
                    </paratext>
                  </para>
                </list.item>
                <list.item>
                  <para>
                    <paratext>[A list of commercially sensitive information (as completed by the successful Tenderer).]</paratext>
                  </para>
                </list.item>
              </list>
            </subclause1>
            <subclause1 id="a572281">
              <identifier>3.6</identifier>
              <para>
                <paratext>
                  <bold>Consortia and subcontractors</bold>
                </paratext>
              </para>
              <drafting.note id="a509863" jurisdiction="">
                <head align="left" preservecase="true">
                  <headtext>Consortia arrangements</headtext>
                </head>
                <division id="a000024" level="1">
                  <para>
                    <paratext>This ITT envisages a wide range of consortium and sub-contracting arrangements, which the authority may wish to modify to meet its own requirements.</paratext>
                  </para>
                </division>
              </drafting.note>
              <para>
                <paratext>The Authority requires each Tenderer to identify whether any and, if so, which subcontracting or consortium arrangements apply in the case of its Tender, including the share (if any) of the Contract to be subcontracted, the identity of the proposed subcontractors, and which entity is proposed to be the Service Provider.</paratext>
              </para>
              <para>
                <paratext>For the purposes of this ITT, the following terms apply:</paratext>
              </para>
              <list type="bulleted">
                <list.item>
                  <para>
                    <paratext>
                      <bold>Consortium arrangement.</bold>
                       Where a number of economic operators come together to submit a bid for the Contract. The economic operators may already be part of an established consortium. Alternatively, the economic operators may constitute a temporary association which is intended to become a formalised structure (such as a special purpose vehicle (SPV) or a subcontracting arrangement) after the award of the Contract. Consortium structures may include a hub-and-spoke delivery model, a lead body model or an SPV.
                    </paratext>
                  </para>
                </list.item>
                <list.item>
                  <para>
                    <paratext>
                      <bold>Subcontracting arrangement.</bold>
                       Subcontracting could involve, for example, an economic operator bidding as a prime contractor and using a subcontractor or subcontractors to deliver some of the Services, or an economic operator bidding as a managing agent and using subcontractors to deliver all of the Services.
                    </paratext>
                  </para>
                </list.item>
              </list>
            </subclause1>
          </clause>
          <clause id="a535827">
            <identifier>4.</identifier>
            <head align="left" preservecase="true">
              <headtext>Procurement terms and conditions</headtext>
            </head>
            <subclause1 id="a557628">
              <identifier>4.1</identifier>
              <para>
                <paratext>
                  <bold>Warnings and disclaimers</bold>
                </paratext>
              </para>
              <para>
                <paratext>While the information contained in this ITT is believed to be correct at the time of issue, neither the Authority and its advisers, nor any other awarding authorities will accept any liability for its accuracy, adequacy or completeness, nor will any express or implied warranty be given. This exclusion extends to liability in relation to any statement, opinion or conclusion contained in or any omission from this ITT (including its appendices) and in respect of any other written or oral communication transmitted (or otherwise made available) to any Tenderer. This exclusion does not extend to any fraudulent misrepresentation made by or on behalf of the Authority.</paratext>
              </para>
              <para>
                <paratext>If a Tenderer proposes to enter into a Contract with the Authority, it must rely on its own enquiries and on the terms and conditions set out in the Contract(s) (as and when finally executed), subject to the limitations and restrictions specified in it.</paratext>
              </para>
              <para>
                <paratext>Neither the issue of this ITT, nor any of the information presented in it, should be regarded as a commitment or representation on the part of the Authority (or any other person) to enter into a contractual arrangement.</paratext>
              </para>
            </subclause1>
            <subclause1 id="a447638">
              <identifier>4.2</identifier>
              <para>
                <paratext>
                  <bold>Confidentiality and freedom of information</bold>
                </paratext>
              </para>
              <drafting.note id="a105207" jurisdiction="">
                <head align="left" preservecase="true">
                  <headtext>Confidentiality and freedom of information</headtext>
                </head>
                <division id="a000025" level="1">
                  <para>
                    <paratext>
                      Under 
                      <link href="w-044-3720" style="ACTLinkPLCtoPLC">
                        <ital>section 94</ital>
                      </link>
                       of the PA 2023, a contracting authority may withhold information forwarded to it by an economic operator if the Authority is satisfied that it is contrary to national security to disclose it, or that the information is sensitive commercial information and there is an overriding public interest in withholding it. Sensitive commercial information includes trade secrets and information that is likely to prejudice the commercial interests of any person if disclosed.
                    </paratext>
                  </para>
                  <para>
                    <paratext>The obligations under section 94 are subject to any disclosure obligations the public body has under FOIA, the EIR and any other provision of the PA 2023 relating to the publication of contract award notices, the contracts themselves and assessment summaries.</paratext>
                  </para>
                  <para>
                    <paratext>Tenderers should be made aware of the possibility that information submitted as part of their tender responses may need to be disclosed by virtue of the authority's transparency and disclosure obligations. Any decision to disclose will ultimately lie with the authority, but it is commonplace to give tenderers the option to designate certain information they submit as commercially sensitive for authorities to take into account when considering whether and what to disclose.</paratext>
                  </para>
                  <para>
                    <paratext>
                      For more information about contracting authorities' disclosure obligations under 
                      <link href="4-505-6037" style="ACTLinkPLCtoPLC">
                        <ital>FOIA</ital>
                      </link>
                      <ital> </ital>
                      and 
                      <link href="3-508-2782" style="ACTLinkPLCtoPLC">
                        <ital>EIR</ital>
                      </link>
                      , see:
                    </paratext>
                  </para>
                  <list type="bulleted">
                    <list.item>
                      <para>
                        <paratext>
                          <link href="w-007-8162" style="ACTLinkPLCtoPLC">
                            <ital>Practice note, Freedom of information in public procurement and public sector contracts: overview</ital>
                          </link>
                          .
                        </paratext>
                      </para>
                    </list.item>
                    <list.item>
                      <para>
                        <paratext>
                          <link href="w-011-6127" style="ACTLinkPLCtoPLC">
                            <ital>Practice note, The application of FOIA exemptions and EIR exceptions to public procurement and public contracts information</ital>
                          </link>
                          <ital>.</ital>
                        </paratext>
                      </para>
                    </list.item>
                    <list.item>
                      <para>
                        <paratext>
                          <link href="w-026-4537" style="ACTLinkPLCtoPLC">
                            <ital>Freedom of Information Act 2000: section 40 exemption for personal data (UK GDPR and DPA 2018)</ital>
                          </link>
                          <ital>.</ital>
                        </paratext>
                      </para>
                    </list.item>
                    <list.item>
                      <para>
                        <paratext>
                          <link href="w-013-0384" style="ACTLinkPLCtoPLC">
                            <ital>Checklist, Handling freedom of information requests for procurement and public contracts information</ital>
                          </link>
                          .
                        </paratext>
                      </para>
                    </list.item>
                  </list>
                  <division id="a168113" level="2">
                    <head align="left" preservecase="true">
                      <headtext>Tender responses containing personal data</headtext>
                    </head>
                    <para>
                      <paratext>
                        Tender responses (or other documents forming part of the response) may contain 
                        <link href="8-200-3413" style="ACTLinkPLCtoPLC">
                          <ital>personal data</ital>
                        </link>
                         relating to a tenderer's employees or contractors, such as their name, address or date of birth. Contracting authorities must comply with applicable data protection legislation when processing such data.
                      </paratext>
                    </para>
                    <para>
                      <paratext>
                        Given the nature of procurement exercises (and the fact that the contracting authority determines how to process such information), the contracting authority would most likely be acting as a 
                        <link href="5-107-5723" style="ACTLinkPLCtoPLC">
                          <ital>controller</ital>
                        </link>
                         and would therefore need to process any personal data contained in the tender responses submitted in accordance with UK data protection laws, including the 
                        <link href="w-026-8528" style="ACTLinkPLCtoPLC">
                          <ital>UK GPDR</ital>
                        </link>
                        .
                        <ital> </ital>
                        For more information see, 
                        <link href="w-013-3757" style="ACTLinkPLCtoPLC">
                          <ital>Practice note, Overview of UK GDPR</ital>
                        </link>
                        <ital>.</ital>
                      </paratext>
                    </para>
                    <para>
                      <paratext>Among other things, the UK GDPR requires controllers to:</paratext>
                    </para>
                    <list type="bulleted">
                      <list.item>
                        <para>
                          <paratext>
                            Process personal data lawfully (that is, relying on one of the legal grounds for processing). Processing in the context of a public procurement will most likely be justifiable in performance of a task carried out in the public interest, or in exercise of official authority. For more, see 
                            <link anchor="a903087" href="w-013-3757" style="ACTLinkPLCtoPLC">
                              <ital>Practice note, Overview of UK GDPR: Lawful processing</ital>
                            </link>
                            .
                          </paratext>
                        </para>
                      </list.item>
                      <list.item>
                        <para>
                          <paratext>
                            Notify individuals about how their personal data will be handled even if that data has not been collected directly from those individuals (as will usually be the case with tenders). Exemptions from this requirement are available, such as where providing the information would be impossible or involve disproportionate effort on the part of the contracting authority. For more information on this requirement and exceptions, see 
                            <link anchor="a760792" href="w-013-3757" style="ACTLinkPLCtoPLC">
                              <ital>Practice note, Overview of the UK GDPR: Fair processing: information notices</ital>
                            </link>
                            <ital> </ital>
                            and 
                            <link anchor="a397132" href="w-013-3757" style="ACTLinkPLCtoPLC">
                              <ital>Data collected by third parties</ital>
                            </link>
                            .
                          </paratext>
                        </para>
                      </list.item>
                    </list>
                    <para>
                      <paratext>
                        For further information on the two points above see 
                        <link anchor="a856964" href="w-011-6435" style="ACTLinkPLCtoPLC">
                          <ital>Practice note, UK GDPR and DPA 2018: implications for the public sector: First data protection principle: lawful, fair and transparent processing</ital>
                        </link>
                        .
                      </paratext>
                    </para>
                    <para>
                      <paratext>
                        Authorities will need to review how best to comply with the information requirements, insofar as relevant to their public procurement exercises. Options to consider include displaying a separate privacy notice for public procurement exercises on their website or including the required information within their general privacy policy. It would be unusual for an ITT to deal with data protection issues, but some authorities may want to include a link to the relevant privacy policy or notice. For sample privacy notices (which are for use by companies rather than public authorities), see 
                        <link href="w-013-3605" style="ACTLinkPLCtoPLC">
                          <ital>Standard documents, Website privacy policy (UK) </ital>
                        </link>
                        and 
                        <link href="w-014-8428" style="ACTLinkPLCtoPLC">
                          <ital>Short form privacy notice (UK)</ital>
                        </link>
                      </paratext>
                    </para>
                    <para>
                      <paratext>
                        For further information on the implications of the UK data protection regime for contracting authorities (including data security and dealing with data subject access requests), see 
                        <link href="w-011-6435" style="ACTLinkPLCtoPLC">
                          <ital>Practice notes, UK GDPR and DPA 2018: implications for the public sector</ital>
                        </link>
                         and 
                        <link href="w-017-0973" style="ACTLinkPLCtoPLC">
                          <ital>UK GDPR and DPA 2018 exemptions and conditions: public sector</ital>
                        </link>
                        .
                      </paratext>
                    </para>
                  </division>
                </division>
              </drafting.note>
              <para>
                <paratext>Save to the extent publicly available, all information supplied by the Authority to Tenderers (including this ITT and all other documents relating to the procurement), whether in writing or orally, is supplied on condition that it (including the fact that the Tenderer has received this ITT) be kept confidential by the Tenderer; it must not be copied, reproduced, distributed or passed to any other person at any time (except to professional advisers, consortium members or subcontractors for the sole purpose of enabling the Tenderer to submit a Tender) unless the information is already in the public domain.</paratext>
              </para>
              <para>
                <paratext>
                  As a public body, the Authority is subject to the provisions of the Freedom of Information Act 2000 (
                  <bold>FOIA</bold>
                  ) and Environmental Information Regulations 2004 (S
                  <ital>I 2004/3391</ital>
                  ) (
                  <bold>EIR</bold>
                  ) in respect of information it holds (including third-party information). Any member of the public or other interested party may make a request for information. The Authority is also subject to various public sector transparency policies and legal requirements, including the placing of contract award notices on the Central Digital Platform, which identify the Contract value and successful supplier, the publication of the Contract itself in certain circumstances, and the provision of information to Tenderers further to section 50 of the PA 2023.
                </paratext>
              </para>
              <para>
                <paratext>Tenderers should therefore be aware that information provided in connection with this procurement, or in connection with any contract awarded, may be disclosed by the Authority, unless the Authority decides (in its absolute discretion) that one of the statutory exemptions under the FOIA, the EIR or section 94 of the PA 2023 applies. Requests for information and application of any exemptions shall be considered on a case-by-case basis. By taking part in this procurement, Tenderers agree to such disclosure or publication by the Authority.</paratext>
              </para>
              <para>
                <paratext>
                  Tenderers may designate any information supplied as part of their tender response or otherwise in connection with the procurement as confidential or commercially sensitive by clearly identifying it as such to the Authority in the template provided at 
                  <internal.reference refid="a823738">
                    <ital>Schedule 9</ital>
                  </internal.reference>
                  . Blanket protective markings applied to the whole document will not be sufficient. While designating material as confidential or commercially sensitive or equivalent does not guarantee non-disclosure, the Authority will consider this as part of any disclosure decision.
                </paratext>
              </para>
            </subclause1>
            <subclause1 id="a589481">
              <identifier>4.3</identifier>
              <para>
                <paratext>
                  <bold>Publicity</bold>
                </paratext>
              </para>
              <para>
                <paratext>No publicity regarding the Services or the award of any Contract will be permitted unless and until the Authority has given prior express written consent to the relevant communication. For example, no statements may be made to the media regarding the nature of any Tender, its contents or any proposals relating to it without the prior written consent of the Authority.</paratext>
              </para>
            </subclause1>
            <subclause1 id="a383792">
              <identifier>4.4</identifier>
              <para>
                <paratext>
                  <bold>Central Digital Platform</bold>
                </paratext>
              </para>
              <para>
                <paratext>Tenderers that wish to participate in this procurement are responsible for ensuring that the Central Digital Platform contains complete, accurate and up-to-date information about their organisation and any associated persons who are relevant for the purposes of this procurement. Tenderers must notify the Authority immediately if they are unable to provide accurate and up-to-date information via the Central Digital Platform.</paratext>
              </para>
            </subclause1>
            <subclause1 id="a552859">
              <identifier>4.5</identifier>
              <head align="left" preservecase="true">
                <headtext>Supplier warranties</headtext>
              </head>
              <para>
                <paratext>In submitting a Tender and generally taking part in this procurement, the Tenderer warrants, represents and undertakes to the Authority that:</paratext>
              </para>
              <list type="bulleted">
                <list.item>
                  <para>
                    <paratext>It understands and has complied with the conditions set out in this ITT.</paratext>
                  </para>
                </list.item>
                <list.item>
                  <para>
                    <paratext>All information, representations and other matters of fact communicated (whether in writing or otherwise) to the Authority by the Tenderer, its staff or agents in connection with or arising out of the procurement are true, complete and accurate in all respects, both as at the date communicated and as at the date of the submission of the Tender.</paratext>
                  </para>
                </list.item>
                <list.item>
                  <para>
                    <paratext>It has made its own investigations and undertaken its own research and due diligence, and has satisfied itself in respect of all matters (whether actual or contingent) relating to the invitation and has not reliance on any information, representation or assumption which may have been made by or on behalf of the Authority (with the exception of any information which is expressly warranted by the Authority).</paratext>
                  </para>
                </list.item>
                <list.item>
                  <para>
                    <paratext>It has full power and authority to submit a Tender and to perform the obligations in relation to the contract and will, if requested, promptly produce evidence of such to the Authority.</paratext>
                  </para>
                </list.item>
              </list>
              <para>
                <paratext>Tenderers should note that the potential consequences of providing incomplete, inaccurate or misleading information include that:</paratext>
              </para>
              <list type="bulleted">
                <list.item>
                  <para>
                    <paratext>The Authority may exclude the Tenderer from participating in this procurement.</paratext>
                  </para>
                </list.item>
                <list.item>
                  <para>
                    <paratext>The Tenderer may be excluded from bidding for contracts under paragraph 13 of Schedule 7 to the PA 2023.</paratext>
                  </para>
                </list.item>
                <list.item>
                  <para>
                    <paratext>The Authority may rescind any resulting contract under the Misrepresentation Act 1967 and may sue the Tenderer for damages.</paratext>
                  </para>
                </list.item>
                <list.item>
                  <para>
                    <paratext>If fraud or fraudulent intent can be proved, the Tenderer may be prosecuted and convicted of the offence of fraud by false representation under section 2 of the Fraud Act 2006, which can carry a sentence of up to 10 years or a fine (or both). If there is a conviction, then the Tenderer may be excluded from bidding for contracts under paragraph 15 of Schedule 6 to the PA 2023 and may be added to the debarment list.</paratext>
                  </para>
                </list.item>
              </list>
            </subclause1>
            <subclause1 id="a567678">
              <identifier>4.6</identifier>
              <para>
                <paratext>
                  <bold>Anti-canvassing and collusion </bold>
                </paratext>
              </para>
              <para>
                <paratext>Any attempt by Tenderers or their advisers to influence the contract award process in any way may result in the Tenderer being disqualified. Specifically, Tenderers must not directly or indirectly at any time:</paratext>
              </para>
              <list type="bulleted">
                <list.item>
                  <para>
                    <paratext>Devise or amend the content of their Tender in accordance with any agreement or arrangement with any other person, other than in good faith with a person who is a proposed partner, supplier, consortium member or provider of finance.</paratext>
                  </para>
                </list.item>
                <list.item>
                  <para>
                    <paratext>Enter into any agreement or arrangement with any other person as to the form or content of any other Tender, or offer to pay any sum of money or valuable consideration to any person to effect changes to the form or content of any other Tender.</paratext>
                  </para>
                </list.item>
                <list.item>
                  <para>
                    <paratext>Enter into any agreement or arrangement with any other person that has the effect of prohibiting or excluding that person from submitting a Tender.</paratext>
                  </para>
                </list.item>
                <list.item>
                  <para>
                    <paratext>Canvass the Authority or any employees or agents of the Authority in relation to this procurement.</paratext>
                  </para>
                </list.item>
                <list.item>
                  <para>
                    <paratext>Offer, promise or give any person working for or engaged by the Authority a financial or other advantage as an inducement or reward for any improper performance of a function or activity relating to this procurement.</paratext>
                  </para>
                </list.item>
                <list.item>
                  <para>
                    <paratext>Attempt to obtain information from any of the employees or agents of the Authority or their advisers concerning another Tenderer or Tender.</paratext>
                  </para>
                </list.item>
              </list>
              <para>
                <paratext>[Tenderers must complete and return Schedule 10 (Certificate of non-collusion and non-canvassing) with their Tender.]</paratext>
              </para>
            </subclause1>
            <subclause1 id="a166104">
              <identifier>4.7</identifier>
              <head align="left" preservecase="true">
                <headtext>Conflicts of interest</headtext>
              </head>
              <para>
                <paratext>Tenderers are responsible for ensuring that no direct or indirect conflicts of interest exist (whether personal, financial or otherwise) between the Tenderer, its employees and advisers, and the Authority, its employees and advisers that may give the Tenderer an unfair advantage. Tenderers must notify the Authority immediately of any conflicts of interest whether potential, actual or perceived.</paratext>
              </para>
              <para>
                <paratext>The Authority reserves the right to:</paratext>
              </para>
              <para>
                <paratext>Exclude a Tenderer that fails to notify the Authority of a perceived, actual or potential conflict of interest, or where an actual conflict of interest exists that puts the Tenderer at an unavoidable unfair advantage vis a vis other Tenderers.</paratext>
              </para>
              <para>
                <paratext>Exclude a Tenderer that fails to take reasonably requested steps specified by the Authority to mitigate any conflict of interest, including entry into a conflict of interest agreement.</paratext>
              </para>
            </subclause1>
            <subclause1 id="a272550">
              <identifier>4.8</identifier>
              <para>
                <paratext>
                  <bold>Authority's rights to modify the procurement</bold>
                </paratext>
              </para>
              <para>
                <paratext>The Authority reserves the right at any time to:</paratext>
              </para>
              <list type="bulleted">
                <list.item>
                  <para>
                    <paratext>Seek clarification in respect of any part of a Tenderer's submission.</paratext>
                  </para>
                </list.item>
                <list.item>
                  <para>
                    <paratext>Request Tenderers to submit, supplement, clarify or complete relevant information or documentation where it appears to be incomplete, erroneous or missing.</paratext>
                  </para>
                </list.item>
                <list.item>
                  <para>
                    <paratext>Disqualify any Tenderer that does not submit a compliant Tender in accordance with the instructions in this ITT.</paratext>
                  </para>
                </list.item>
                <list.item>
                  <para>
                    <paratext>Disqualify any Tenderer that is guilty of serious misrepresentation or of negligently providing misleading information in relation to its Tender, expression of interest, the PSQ or the tender process.</paratext>
                  </para>
                </list.item>
                <list.item>
                  <para>
                    <paratext>Reject a Tender that is abnormally low.</paratext>
                  </para>
                </list.item>
                <list.item>
                  <para>
                    <paratext>Withdraw this ITT at any time, or re-invite Tenders on the same or any alternative basis.</paratext>
                  </para>
                </list.item>
                <list.item>
                  <para>
                    <paratext>Choose not to award any Contract [or Lot] as a result of the current procurement process or to abandon that process.</paratext>
                  </para>
                </list.item>
                <list.item>
                  <para>
                    <paratext>Issue changes, modifications or additional information (including to the Timetable) relating to the procurement, including to this ITT.</paratext>
                  </para>
                </list.item>
                <list.item>
                  <para>
                    <paratext>Alter the Timetable as it sees fit [including the right to award different Lots at different times].</paratext>
                  </para>
                </list.item>
                <list.item>
                  <para>
                    <paratext>Rewind or re-run any part of this procurement on the same or an alternative basis.</paratext>
                  </para>
                </list.item>
              </list>
            </subclause1>
            <subclause1 id="a970991">
              <identifier>4.9</identifier>
              <para>
                <paratext>
                  <bold>Bid costs</bold>
                </paratext>
              </para>
              <para>
                <paratext>The Authority will not be liable for any bid costs, expenditure, work or effort incurred by a Tenderer in proceeding with or participating in this procurement, including if the procurement process is terminated or amended by the Authority.</paratext>
              </para>
            </subclause1>
            <subclause1 id="a848826">
              <identifier>4.10</identifier>
              <para>
                <paratext>
                  <bold>Guarantees</bold>
                </paratext>
              </para>
              <para>
                <paratext>
                  Recipients of this ITT will note that 
                  <internal.reference refid="a777449">
                    <ital>Schedule 11</ital>
                  </internal.reference>
                   is a form of deed of guarantee. The Authority may have qualified the Tenderer on the assumption that, where the Tenderer is an operating company, it will be guaranteed by the parent company. As a result, the Authority may require each Tenderer to confirm the identity of the guarantor of its obligations under any Contract(s). This guarantor should be the ultimate parent company of the Tenderer, except in exceptional circumstances. In the case of consortia, the Authority will require confirmation that the consortium will provide either a parent company guarantee from the lead consortium member or its parent or an equivalent level of security.
                </paratext>
              </para>
            </subclause1>
          </clause>
          <clause id="a694999">
            <identifier>5.</identifier>
            <head align="left" preservecase="true">
              <headtext>Tender Evaluation Model</headtext>
            </head>
            <subclause1 id="a362884">
              <identifier>5.1</identifier>
              <para>
                <paratext>
                  <bold>Award Criteria and Evaluation Criteria</bold>
                </paratext>
              </para>
              <drafting.note id="a925763" jurisdiction="">
                <head align="left" preservecase="true">
                  <headtext>Evaluation criteria</headtext>
                </head>
                <division id="a000026" level="1">
                  <para>
                    <paratext>The evaluation criteria (and weightings) are project specific, and will vary depending on the authority's requirements and the nature of the services being procured.</paratext>
                  </para>
                  <para>
                    <paratext>
                      <internal.reference refid="a362884">
                        <ital>Paragraph 5.1</ital>
                      </internal.reference>
                       provides a starting point for authorities when developing the criteria and considering how it should be assessed.  Various methods can be used to evaluate the criteria, including written submissions (and answers to specific questions), references, presentations or site visits, but it should be clear to tenderers how different elements feed into their final score. Some generic example questions, grouped under broad headings, which could be used to evaluate against specific criteria can be found in the drafting notes to 
                      <link href="4-599-9626" style="ACTLinkPLCtoPLC">
                        <ital>Standard document, Invitation to tender (PCR 2015): questions for tenderers</ital>
                      </link>
                      .
                    </paratext>
                  </para>
                  <para>
                    <paratext>If you are applying a threshold to any of the evaluation criteria, you should ensure it is not set too high as this risks forcing the authority to discount an otherwise robust tender.</paratext>
                  </para>
                  <para>
                    <paratext>
                      For information on evaluating tenders (including what matters may be assessed and sample scoring models), see 
                      <link href="2-386-8761" style="ACTLinkPLCtoPLC">
                        <ital>Practice note, Evaluation of tenders</ital>
                      </link>
                      . Although this practice note discusses the evaluation of tenders under the legislation that preceded the PA 2023, it contains material that is equally relevant to PA 2023 procurements.
                    </paratext>
                  </para>
                </division>
              </drafting.note>
              <para>
                <paratext>Any Contract(s) awarded as a result of this procurement will be awarded on the basis of the offer that is the most advantageous to the Authority. The Award Criteria are:</paratext>
              </para>
              <list type="bulleted">
                <list.item>
                  <para>
                    <paratext>[PERCENTAGE]% technical or quality.</paratext>
                  </para>
                </list.item>
                <list.item>
                  <para>
                    <paratext>[PERCENTAGE]% cost.</paratext>
                  </para>
                </list.item>
              </list>
              <para>
                <paratext>
                  Scores are arrived at following the application of the Evaluation Criteria (
                  <bold>Evaluation Criteria</bold>
                  ) set out below to the Tenderer's Tender.
                </paratext>
              </para>
              <para>
                <paratext>Tenderers are required to submit a Tender strictly in accordance with the requirements set out in this ITT, to ensure the Authority has the correct information to make the evaluation. Evasive, unclear or hedged Tenders may be discounted in evaluation and may, at the Authority's discretion, be taken as a rejection by the Tenderer of the terms set out in this ITT.</paratext>
              </para>
              <para>
                <paratext>The Tender Evaluation Model showing the Evaluation Criteria and the maximum scores attributable to them is set out below.</paratext>
              </para>
              <para>
                <paratext>
                  [Where specified, a minimum pass mark (
                  <defn.term>Threshold</defn.term>
                  ) applies to the Evaluation Criteria. The Authority shall reject any Tender that does not meet the relevant Threshold in respect of one or more criteria.]
                </paratext>
              </para>
              <para>
                <paratext>
                  <table frame="all" pgwide="1">
                    <tgroup cols="6">
                      <colspec colname="1" colnum="1" colwidth="15"/>
                      <colspec colname="2" colnum="2" colwidth="19"/>
                      <colspec colname="3" colnum="3" colwidth="15"/>
                      <colspec colname="4" colnum="4" colwidth="19"/>
                      <colspec colname="5" colnum="5" colwidth="16"/>
                      <colspec colname="6" colnum="6" colwidth="13"/>
                      <tbody>
                        <row>
                          <entry valign="top">
                            <para align="left">
                              <paratext>
                                <bold>Evaluation Criteria: Commercial</bold>
                              </paratext>
                            </para>
                          </entry>
                          <entry valign="top">
                            <para align="left">
                              <paratext>
                                <bold>Threshold [PERCENTAGE]%</bold>
                              </paratext>
                            </para>
                          </entry>
                          <entry valign="top">
                            <para align="left">
                              <paratext>
                                <bold>Weighting [MULTIPLIER]</bold>
                              </paratext>
                            </para>
                          </entry>
                          <entry valign="top">
                            <para align="left">
                              <paratext>
                                <bold>[PERCENTAGE]%</bold>
                              </paratext>
                            </para>
                          </entry>
                          <entry valign="top">
                            <para align="left">
                              <paratext>
                                <bold>Means of evaluation</bold>
                              </paratext>
                            </para>
                          </entry>
                          <entry valign="top">
                            <para align="left">
                              <paratext>
                                <bold>Means of moderation</bold>
                              </paratext>
                            </para>
                          </entry>
                        </row>
                        <row>
                          <entry valign="top">
                            <para align="left">
                              <paratext>[Price-comparison of total cost]</paratext>
                            </para>
                          </entry>
                          <entry valign="top">
                            <para>
                              <paratext/>
                            </para>
                          </entry>
                          <entry valign="top">
                            <para>
                              <paratext/>
                            </para>
                          </entry>
                          <entry valign="top">
                            <para>
                              <paratext/>
                            </para>
                          </entry>
                          <entry valign="top">
                            <para align="left">
                              <paratext>[FOR EXAMPLE, COMPLETED PRICE BREAKDOWN]</paratext>
                            </para>
                          </entry>
                          <entry valign="top">
                            <para align="left">
                              <paratext>Not applicable</paratext>
                            </para>
                          </entry>
                        </row>
                        <row>
                          <entry valign="top">
                            <para align="left">
                              <paratext>[Profit sharing or gain share arrangements]</paratext>
                            </para>
                          </entry>
                          <entry valign="top">
                            <para>
                              <paratext/>
                            </para>
                          </entry>
                          <entry valign="top">
                            <para>
                              <paratext/>
                            </para>
                          </entry>
                          <entry valign="top">
                            <para>
                              <paratext/>
                            </para>
                          </entry>
                          <entry valign="top">
                            <para align="left">
                              <paratext>[FOR EXAMPLE, WRITTEN SUBMISSIONS]</paratext>
                            </para>
                          </entry>
                          <entry valign="top">
                            <para align="left">
                              <paratext>Not applicable</paratext>
                            </para>
                          </entry>
                        </row>
                        <row>
                          <entry valign="top">
                            <para align="left">
                              <paratext>[OTHER EVALUATION CRITERIA]</paratext>
                            </para>
                          </entry>
                          <entry valign="top">
                            <para>
                              <paratext/>
                            </para>
                          </entry>
                          <entry valign="top">
                            <para>
                              <paratext/>
                            </para>
                          </entry>
                          <entry valign="top">
                            <para>
                              <paratext/>
                            </para>
                          </entry>
                          <entry valign="top">
                            <para align="left">
                              <paratext>[DETAIL]</paratext>
                            </para>
                          </entry>
                          <entry valign="top">
                            <para align="left">
                              <paratext>Not applicable</paratext>
                            </para>
                          </entry>
                        </row>
                      </tbody>
                    </tgroup>
                  </table>
                </paratext>
              </para>
              <para>
                <paratext>
                  <table frame="all" pgwide="1">
                    <tgroup cols="6">
                      <colspec colname="1" colnum="1" colwidth="17"/>
                      <colspec colname="2" colnum="2" colwidth="17"/>
                      <colspec colname="3" colnum="3" colwidth="14"/>
                      <colspec colname="4" colnum="4" colwidth="17"/>
                      <colspec colname="5" colnum="5" colwidth="16"/>
                      <colspec colname="6" colnum="6" colwidth="16"/>
                      <tbody>
                        <row>
                          <entry valign="top">
                            <para align="left">
                              <paratext>
                                <bold>Evaluation Criteria: Technical</bold>
                              </paratext>
                            </para>
                          </entry>
                          <entry valign="top">
                            <para align="left">
                              <paratext>
                                <bold>Threshold [PERCENTAGE]%</bold>
                              </paratext>
                            </para>
                          </entry>
                          <entry valign="top">
                            <para align="left">
                              <paratext>
                                <bold>Weighting [MULTIPLIER]</bold>
                              </paratext>
                            </para>
                          </entry>
                          <entry valign="top">
                            <para align="left">
                              <paratext>
                                <bold>[PERCENTAGE]%</bold>
                              </paratext>
                            </para>
                          </entry>
                          <entry valign="top">
                            <para align="left">
                              <paratext>
                                <bold>Means of evaluation</bold>
                              </paratext>
                            </para>
                          </entry>
                          <entry valign="top">
                            <para align="left">
                              <paratext>
                                <bold>Means of moderation</bold>
                              </paratext>
                            </para>
                          </entry>
                        </row>
                        <row>
                          <entry valign="top">
                            <para align="left">
                              <paratext>[REQUIREMENTS BY CATEGORY]</paratext>
                            </para>
                          </entry>
                          <entry valign="top">
                            <para>
                              <paratext/>
                            </para>
                          </entry>
                          <entry valign="top">
                            <para>
                              <paratext/>
                            </para>
                          </entry>
                          <entry valign="top">
                            <para>
                              <paratext/>
                            </para>
                          </entry>
                          <entry valign="top">
                            <para align="left">
                              <paratext>[FOR EXAMPLE, WRITTEN SUBMISSIONS OR PRESENTATION]</paratext>
                            </para>
                          </entry>
                          <entry valign="top">
                            <para align="left">
                              <paratext>[FOR EXAMPLE, SITE VISIT OR PRESENTATION]</paratext>
                            </para>
                          </entry>
                        </row>
                        <row>
                          <entry valign="top">
                            <para align="left">
                              <paratext>[REQUIREMENTS BY CATEGORY]</paratext>
                            </para>
                          </entry>
                          <entry valign="top">
                            <para>
                              <paratext/>
                            </para>
                          </entry>
                          <entry valign="top">
                            <para>
                              <paratext/>
                            </para>
                          </entry>
                          <entry valign="top">
                            <para>
                              <paratext/>
                            </para>
                          </entry>
                          <entry valign="top">
                            <para align="left">
                              <paratext>[FOR EXAMPLE, WRITTEN SUBMISSIONS OR PRESENTATION]</paratext>
                            </para>
                          </entry>
                          <entry valign="top">
                            <para align="left">
                              <paratext>[FOR EXAMPLE, SITE VISIT OR PRESENTATION]</paratext>
                            </para>
                          </entry>
                        </row>
                        <row>
                          <entry valign="top">
                            <para align="left">
                              <paratext>[REQUIREMENTS BY CATEGORY]</paratext>
                            </para>
                          </entry>
                          <entry valign="top">
                            <para>
                              <paratext/>
                            </para>
                          </entry>
                          <entry valign="top">
                            <para>
                              <paratext/>
                            </para>
                          </entry>
                          <entry valign="top">
                            <para>
                              <paratext/>
                            </para>
                          </entry>
                          <entry valign="top">
                            <para align="left">
                              <paratext>[FOR EXAMPLE, WRITTEN SUBMISSIONS OR PRESENTATION]</paratext>
                            </para>
                          </entry>
                          <entry valign="top">
                            <para align="left">
                              <paratext>[FOR EXAMPLE, SITE VISIT OR PRESENTATION]</paratext>
                            </para>
                          </entry>
                        </row>
                        <row>
                          <entry valign="top">
                            <para align="left">
                              <paratext>[Staff transfer]</paratext>
                            </para>
                          </entry>
                          <entry valign="top">
                            <para>
                              <paratext/>
                            </para>
                          </entry>
                          <entry valign="top">
                            <para>
                              <paratext/>
                            </para>
                          </entry>
                          <entry valign="top">
                            <para>
                              <paratext/>
                            </para>
                          </entry>
                          <entry valign="top">
                            <para align="left">
                              <paratext>[FOR EXAMPLE, WRITTEN SUBMISSIONS OR PRESENTATION]</paratext>
                            </para>
                          </entry>
                          <entry valign="top">
                            <para align="left">
                              <paratext>[FOR EXAMPLE, SITE VISIT OR PRESENTATION]</paratext>
                            </para>
                          </entry>
                        </row>
                        <row>
                          <entry valign="top">
                            <para align="left">
                              <paratext>[OTHER EVALUATION CRITERIA]</paratext>
                            </para>
                          </entry>
                          <entry valign="top">
                            <para>
                              <paratext/>
                            </para>
                          </entry>
                          <entry valign="top">
                            <para>
                              <paratext/>
                            </para>
                          </entry>
                          <entry valign="top">
                            <para>
                              <paratext/>
                            </para>
                          </entry>
                          <entry valign="top">
                            <para>
                              <paratext/>
                            </para>
                          </entry>
                          <entry valign="top">
                            <para>
                              <paratext/>
                            </para>
                          </entry>
                        </row>
                      </tbody>
                    </tgroup>
                  </table>
                </paratext>
              </para>
            </subclause1>
            <subclause1 condition="optional" id="a632762">
              <identifier>5.2</identifier>
              <para>
                <paratext>
                  <bold>Evaluation of Lots</bold>
                </paratext>
              </para>
              <drafting.note id="a565360" jurisdiction="">
                <head align="left" preservecase="true">
                  <headtext>Scoring lots</headtext>
                </head>
                <division id="a000027" level="1">
                  <para>
                    <paratext>Unless the same service provider wins all lots, the authority may want the ability to score tenders based on their proposals for a joined-up service. If so, the authority should include evaluation criteria that enable it to assess the service providers' commitment and ability to work in partnership across the lots. However, if this issue is crucial to the authority, splitting the contract into lots in this way may be inappropriate.</paratext>
                  </para>
                </division>
              </drafting.note>
              <para>
                <paratext>[ANY RELEVANT INFORMATION ABOUT THE EVALUATION OF LOTS]</paratext>
              </para>
            </subclause1>
            <subclause1 id="a147495">
              <identifier>5.3</identifier>
              <para>
                <paratext>
                  <bold>Evaluation process</bold>
                </paratext>
              </para>
              <drafting.note id="a777111" jurisdiction="">
                <head align="left" preservecase="true">
                  <headtext>Scoring matrix for the technical and quality criteria</headtext>
                </head>
                <division id="a000028" level="1">
                  <para>
                    <paratext>The scoring matrix envisages that 20% of the available marks are awarded to proposals that offer more than the authority requires. This may or may not be appropriate, depending on the service. If the authority uses this model, it should provide information to tenderers on which additions or enhancements it would consider represent added value beyond its stated requirements. If it does not, the tender may include additional services, which are charged for, but which do not provide a real benefit to the authority. If no additions or enhancements are required, an alternative scoring system can be used, under which top marks are awarded for responses which meet the authority's requirements in full, but do not exceed them.</paratext>
                  </para>
                  <para>
                    <paratext>If the authority considers that a 0-5 scoring matrix is too restrictive, it could use a 0-10 scoring matrix with a range of marks for each description to provide more flexibility for evaluators.</paratext>
                  </para>
                  <para>
                    <paratext>
                      For an alternative scoring matrix and a worked example of scoring pricing, see 
                      <link href="2-386-8761#a335366" style="ACTLinkPLCtoPLC">
                        <ital>Practice note, Evaluation of tenders: Use of a scoring model to evaluate the financial element</ital>
                      </link>
                      . Although this practice note discusses the evaluation of tenders under the legislation that preceded the PA 2023, it contains material that is equally relevant to PA 2023 procurements.
                    </paratext>
                  </para>
                </division>
              </drafting.note>
              <para>
                <paratext>
                  <bold>Technical or quality evaluation</bold>
                </paratext>
              </para>
              <para>
                <paratext>The technical evaluation will be scored in accordance with the table below.</paratext>
              </para>
              <para>
                <paratext>
                  <bold>Scoring matrix for the technical and quality criteria</bold>
                </paratext>
              </para>
              <para>
                <paratext>
                  <table frame="all" pgwide="1">
                    <tgroup cols="2">
                      <colspec colname="1" colnum="1" colwidth="15"/>
                      <colspec colname="2" colnum="2" colwidth="85"/>
                      <tbody>
                        <row>
                          <entry valign="top">
                            <para align="left">
                              <paratext>0</paratext>
                            </para>
                          </entry>
                          <entry valign="top">
                            <para align="left">
                              <paratext>Completely fails to meet required standard or does not provide a proposal.</paratext>
                            </para>
                          </entry>
                        </row>
                        <row>
                          <entry valign="top">
                            <para align="left">
                              <paratext>1</paratext>
                            </para>
                          </entry>
                          <entry valign="top">
                            <para align="left">
                              <paratext>Proposal significantly fails to meet the standards required, contains significant shortcomings or is inconsistent with other proposals.</paratext>
                            </para>
                          </entry>
                        </row>
                        <row>
                          <entry valign="top">
                            <para align="left">
                              <paratext>2</paratext>
                            </para>
                          </entry>
                          <entry valign="top">
                            <para align="left">
                              <paratext>Proposal falls short of achieving expected standard in a number of identifiable respects.</paratext>
                            </para>
                          </entry>
                        </row>
                        <row>
                          <entry valign="top">
                            <para align="left">
                              <paratext>3</paratext>
                            </para>
                          </entry>
                          <entry valign="top">
                            <para align="left">
                              <paratext>Proposal meets the required standard in most material respects but is lacking or inconsistent in others.</paratext>
                            </para>
                          </entry>
                        </row>
                        <row>
                          <entry valign="top">
                            <para align="left">
                              <paratext>4</paratext>
                            </para>
                          </entry>
                          <entry valign="top">
                            <para align="left">
                              <paratext>Proposal meets the required standard in all material respects.</paratext>
                            </para>
                          </entry>
                        </row>
                        <row>
                          <entry valign="top">
                            <para align="left">
                              <paratext>5</paratext>
                            </para>
                          </entry>
                          <entry valign="top">
                            <para align="left">
                              <paratext>Proposal meets the required standard in all material respects and exceeds some or all of the major requirements.</paratext>
                            </para>
                          </entry>
                        </row>
                      </tbody>
                    </tgroup>
                  </table>
                </paratext>
              </para>
              <para>
                <paratext>
                  <bold>Pricing evaluation</bold>
                </paratext>
              </para>
              <drafting.note id="a247668" jurisdiction="">
                <head align="left" preservecase="true">
                  <headtext>Specifying a contract value and pricing evaluation</headtext>
                </head>
                <division id="a000029" level="1">
                  <para>
                    <paratext>Contracting authorities may be nervous of specifying a contract value for fear of attracting bids which are above, at or just below that value. However, this figure must be disclosed if bids are to be evaluated against it.</paratext>
                  </para>
                  <para>
                    <paratext>There are two common methods of evaluating price, though these two basic models have many variants:</paratext>
                  </para>
                  <para>
                    <paratext>The authority sets a benchmark price, usually a maximum or optimum price, with all bids scored on a comparative basis against that price.</paratext>
                  </para>
                  <list type="bulleted">
                    <list.item>
                      <para>
                        <paratext>No benchmark is set and the lowest bid price scores the maximum marks available for the price evaluation. All other prices are awarded scores depending on what percentage the lowest price is of their price.</paratext>
                      </para>
                    </list.item>
                  </list>
                  <para>
                    <paratext>The above wording will need to be amended to select the appropriate method or deleted and an alternative method inserted.</paratext>
                  </para>
                  <para>
                    <paratext>However, various issues and inconsistencies can arise through the use of formulae and it is therefore important to run dummy scores through the proposed model to eliminate any anomalies.</paratext>
                  </para>
                  <para>
                    <paratext>Where the authority has a fixed budget, it may want to state that bids exceeding a specified limit will be deemed non-compliant and will be rejected. Otherwise, it must rely on the award criteria to ensure it does not end up with a technically superior, but unaffordable solution.</paratext>
                  </para>
                  <para>
                    <paratext>
                      For more information and an alternative way of evaluating price, see 
                      <link href="2-386-8761" style="ACTLinkPLCtoPLC">
                        <ital>Practice note, Evaluation of tenders</ital>
                      </link>
                      . Although this practice note discusses the evaluation of tenders under the legislation that preceded the PA 2023, it contains material that is equally relevant to PA 2023 procurements.
                    </paratext>
                  </para>
                  <para>
                    <paratext>The risk of encouraging bids that come in close to the stated value can be somewhat mitigated by:</paratext>
                  </para>
                  <list type="bulleted">
                    <list.item>
                      <para>
                        <paratext>Weighting the award criteria more on price than on the technical solution.</paratext>
                      </para>
                    </list.item>
                    <list.item>
                      <para>
                        <paratext>Including evaluation criteria on efficiencies and cost reduction.</paratext>
                      </para>
                    </list.item>
                  </list>
                  <para>
                    <paratext>
                      These criteria could either form part of the technical or the price evaluation, depending how they are phrased. The contract terms could also encourage efficiencies by operating a gain-share mechanism through which savings will be shared between the parties (see 
                      <link href="0-202-4551#a326019" style="ACTLinkPLCtoPLC">
                        <ital>Standard documents, Outsourcing agreement: long form: Service improvement and technology refresh</ital>
                      </link>
                       and 
                      <link href="2-501-1525#a577926" style="ACTLinkPLCtoPLC">
                        <ital>Services agreement for use by public sector bodies: Change control, benchmarking and continuous improvement</ital>
                      </link>
                      ).
                    </paratext>
                  </para>
                  <division id="a131245" level="2">
                    <head align="left" preservecase="true">
                      <headtext>Life cycle costing</headtext>
                    </head>
                    <para>
                      <paratext>
                        If the authority proposes to use life cycle costing to assess value for money, its approach must be set out in the procurement documents. For information about life cycle costing, see 
                        <link href="2-386-8761" style="ACTLinkPLCtoPLC">
                          <ital>Practice note, Evaluation of tenders</ital>
                        </link>
                        . Although this practice note discusses the evaluation of tenders under the legislation that preceded the PA 2023, it contains material that is equally relevant to PA 2023 procurements.
                      </paratext>
                    </para>
                  </division>
                </division>
              </drafting.note>
              <para>
                <paratext>Bid prices will be scored:</paratext>
              </para>
              <para>
                <paratext>[On a comparative basis with the lowest bid receiving 100% of the available marks ([PERCENTAGE]% following weighting). All other bids will be compared [against that lowest bid]</paratext>
              </para>
              <para>
                <paratext>
                  <bold>OR</bold>
                </paratext>
              </para>
              <para>
                <paratext>Against the Authority's benchmark overall cost of £[AMOUNT] with the benchmark figure scoring 0%. Any bid which exceeds the Authority's benchmark shall be treated as non-compliant and rejected].</paratext>
              </para>
              <para>
                <paratext>[INSERT WORKED EXAMPLE OF FORMULA]</paratext>
              </para>
            </subclause1>
          </clause>
          <clause id="a819275">
            <identifier>6.</identifier>
            <head align="left" preservecase="true">
              <headtext>TUPE</headtext>
            </head>
            <drafting.note id="a397755" jurisdiction="">
              <head align="left" preservecase="true">
                <headtext>TUPE and pensions</headtext>
              </head>
              <division id="a000030" level="1">
                <para>
                  <paratext>
                    The drafting envisages that employees will transfer from the authority and/or the incumbent supplier, as reflected in 
                    <link href="2-501-1525" style="ACTLinkPLCtoPLC">
                      <ital>Standard document, Services agreement for use by public sector bodies</ital>
                    </link>
                    . This section and the relevant paragraphs can be amended to reflect the actual staff groups transferring. It is advisable to include a price variation provision in the contract to reflect any inaccuracies in the 
                    <link href="2-505-5915" style="ACTLinkPLCtoPLC">
                      <ital>TUPE</ital>
                    </link>
                     information provided in the ITT and the situation where, for any other reason, the costs associated with a TUPE transfer (including pensions costs) are subsequently found to be lower than envisaged. See also 
                    <link href="5-386-4771" style="ACTLinkPLCtoPLC">
                      <ital>Practice note, TUPE and tendering local authority services contracts</ital>
                    </link>
                    .
                  </paratext>
                </para>
              </division>
            </drafting.note>
            <subclause1 id="a722757">
              <identifier>6.1</identifier>
              <para>
                <paratext>
                  <bold>Transferring employees</bold>
                </paratext>
              </para>
              <para>
                <paratext>
                  The Authority envisages that the employees working on the current service shall transfer to the Service Provider or its subcontractors, under the Transfer of Undertakings (Protection of Employment) Regulations 2006 (
                  <ital>SI 2006/246</ital>
                  ) (
                  <bold>TUPE</bold>
                  ) along with the Services. These employees are currently employed by:
                </paratext>
              </para>
              <list type="bulleted">
                <list.item>
                  <para>
                    <paratext>
                      The Authority (
                      <bold>Transferring Employees</bold>
                      ).
                    </paratext>
                  </para>
                </list.item>
                <list.item>
                  <para>
                    <paratext>
                      The incumbent supplier (
                      <bold>Third Party Employees</bold>
                      ).
                    </paratext>
                  </para>
                </list.item>
              </list>
              <para>
                <paratext>
                  Provisional lists of the [Transferring Employees] [and the] [Third Party Employees] are contained in 
                  <internal.reference refid="a110538">
                    <ital>Schedule 7</ital>
                  </internal.reference>
                  .
                </paratext>
              </para>
              <para>
                <paratext>Tenderers' pricing models must include the costs associated with the TUPE transfer of these employees. [If the costs associated with a TUPE transfer (including pensions costs) are subsequently found to be lower than envisaged, the Service Provider shall make a corresponding reduction in the contract price.]</paratext>
              </para>
            </subclause1>
            <subclause1 id="a546588">
              <identifier>6.2</identifier>
              <para>
                <paratext>
                  <bold>Pension requirements</bold>
                </paratext>
              </para>
              <drafting.note id="a313772" jurisdiction="">
                <head align="left" preservecase="true">
                  <headtext>Requirements for transferring public sector employees</headtext>
                </head>
                <division id="a000031" level="1">
                  <para>
                    <paratext>
                      For information about pensions liabilities see 
                      <link anchor="a274276" href="5-386-4771" style="ACTLinkPLCtoPLC">
                        <ital>Practice note, TUPE and tendering local authority services contracts: Pensions liabilities</ital>
                      </link>
                      . For information relating to legacy public sector pension schemes see 
                      <link anchor="a772727" href="8-205-6270" style="ACTLinkPLCtoPLC">
                        <ital>Practice note, Public-sector pension schemes: outsourcing: Fair Deal 2013</ital>
                      </link>
                      <ital> </ital>
                      ,  
                      <link anchor="a549087" href="8-205-6270" style="ACTLinkPLCtoPLC">
                        <ital>Practice note, Public-sector pension schemes: outsourcing: Treatment of LGPS in outsourcing transactions</ital>
                      </link>
                       and 
                      <link anchor="a235524" href="8-205-6270" style="ACTLinkPLCtoPLC">
                        <ital>Practice note, Public-sector pension schemes: outsourcing: Becoming an admitted body in the LGPS</ital>
                      </link>
                      . See also 
                      <link href="5-382-4153" style="ACTLinkPLCtoPLC">
                        <ital>Practice note, Managing pensions risk in local authority outsourcing transactions</ital>
                      </link>
                      .
                    </paratext>
                  </para>
                </division>
              </drafting.note>
              <para>
                <paratext>[INSERT REQUIREMENTS IN RELATION TO PENSION PROVISION]</paratext>
              </para>
              <para>
                <paratext>Tenderers are required to include indicative costings of their proposed pension provisions.</paratext>
              </para>
            </subclause1>
          </clause>
          <clause id="a392533">
            <identifier>7.</identifier>
            <head align="left" preservecase="true">
              <headtext>Assessment questions for completion by tenderers</headtext>
            </head>
            <drafting.note id="a679035" jurisdiction="">
              <head align="left" preservecase="true">
                <headtext>Assessment questions for completion by tenderers</headtext>
              </head>
              <division id="a000032" level="1">
                <para>
                  <paratext>
                    Example questions for tenderers are contained in 
                    <link href="4-599-9626" style="ACTLinkPLCtoPLC">
                      <ital>Standard document, Invitation to tender (PCR 2015): questions for tenderers</ital>
                    </link>
                    . Although it was designed for use under the legislation preceding the PA 2023, much of it remains relevant. The document provides sample drafting only and should not be used without appropriate tailoring to the authority's specific requirements.
                  </paratext>
                </para>
              </division>
            </drafting.note>
            <drafting.note id="a567520" jurisdiction="">
              <head align="left" preservecase="true">
                <headtext>Schedules</headtext>
              </head>
              <division id="a000033" level="1">
                <para>
                  <paratext>The list of schedules below is purely indicative. Not all will be needed for every procurement, so authorities should tailor according to the design of their particular competition. For example, while a draft contract is likely to be included in most cases, it will not always be necessary to have site plans or asset lists.</paratext>
                </para>
                <para>
                  <paratext>
                    Many of the schedules to the ITT will form schedules to the contract. For information relating to the incorporation of these documents into the contract, see 
                    <internal.reference refid="a708697">
                      <ital>Drafting note, Documents forming the contract</ital>
                    </internal.reference>
                    .
                  </paratext>
                </para>
              </division>
            </drafting.note>
          </clause>
        </operative>
        <disclosure.schedule>
          <schedule id="a472790">
            <identifier>Schedule 1</identifier>
            <head align="left" preservecase="true">
              <headtext>Draft contract</headtext>
            </head>
            <drafting.note id="a162886" jurisdiction="">
              <head align="left" preservecase="true">
                <headtext>Draft contract</headtext>
              </head>
              <division id="a000034" level="1">
                <para>
                  <paratext>
                    See 
                    <link href="2-501-1525" style="ACTLinkPLCtoPLC">
                      <ital>Standard document, Services agreement for use by public sector bodies</ital>
                    </link>
                    .
                  </paratext>
                </para>
              </division>
            </drafting.note>
          </schedule>
          <schedule id="a231110">
            <identifier>Schedule 2</identifier>
            <head align="left" preservecase="true">
              <headtext>Specification</headtext>
            </head>
            <drafting.note id="a115421" jurisdiction="">
              <head align="left" preservecase="true">
                <headtext>Specification</headtext>
              </head>
              <division id="a000035" level="1">
                <para>
                  <paratext>
                    See 
                    <internal.reference refid="a306741">
                      <ital>Drafting note, Specification</ital>
                    </internal.reference>
                    .
                  </paratext>
                </para>
              </division>
            </drafting.note>
          </schedule>
          <schedule id="a437533">
            <identifier>Schedule 3</identifier>
            <head align="left" preservecase="true">
              <headtext>Information about the current service</headtext>
            </head>
          </schedule>
          <schedule id="a163018">
            <identifier>Schedule 4</identifier>
            <head align="left" preservecase="true">
              <headtext>Site plans</headtext>
            </head>
          </schedule>
          <schedule id="a714070">
            <identifier>Schedule 5</identifier>
            <head align="left" preservecase="true">
              <headtext>Asset list</headtext>
            </head>
          </schedule>
          <schedule id="a359449">
            <identifier>Schedule 6</identifier>
            <head align="left" preservecase="true">
              <headtext>Contracts list</headtext>
            </head>
          </schedule>
          <schedule id="a110538">
            <identifier>Schedule 7</identifier>
            <head align="left" preservecase="true">
              <headtext>Provisional list of transferring employees</headtext>
            </head>
          </schedule>
          <schedule id="a150328">
            <identifier>Schedule 8</identifier>
            <head align="left" preservecase="true">
              <headtext>Applicable policies</headtext>
            </head>
          </schedule>
          <schedule id="a823738">
            <identifier>Schedule 9</identifier>
            <head align="left" preservecase="true">
              <headtext>Commercially sensitive information.</headtext>
            </head>
            <para>
              <paratext>
                <bold>Commercially sensitive information</bold>
              </paratext>
            </para>
            <para>
              <paratext>I declare that I wish the following information to be designated as commercially sensitive [and to be appended to the Contract at Schedule [NUMBER]].</paratext>
            </para>
            <clause id="a000036">
              <para>
                <paratext>
                  <table frame="all" pgwide="1">
                    <tgroup cols="1">
                      <colspec colname="1" colnum="1" colwidth="100"/>
                      <tbody>
                        <row>
                          <entry valign="top">
                            <para>
                              <paratext/>
                            </para>
                          </entry>
                        </row>
                      </tbody>
                    </tgroup>
                  </table>
                </paratext>
              </para>
            </clause>
            <para>
              <paratext>The reason(s) it is considered that this information should be exempt under FOIA is:</paratext>
            </para>
            <clause id="a000037">
              <para>
                <paratext>
                  <table frame="all" pgwide="1">
                    <tgroup cols="1">
                      <colspec colname="1" colnum="1" colwidth="100"/>
                      <tbody>
                        <row>
                          <entry valign="top">
                            <para>
                              <paratext/>
                            </para>
                          </entry>
                        </row>
                      </tbody>
                    </tgroup>
                  </table>
                </paratext>
              </para>
            </clause>
            <para>
              <paratext>
                The period of time for which it is considered this information should be exempt is [until award of Contract 
                <bold>OR</bold>
                 during the period of the Contract 
                <bold>OR</bold>
                 for a period of [NUMBER] years until [MONTH], [YEAR]].
              </paratext>
            </para>
            <clause id="a000038">
              <para>
                <paratext>
                  <table frame="all" pgwide="1">
                    <tgroup cols="1">
                      <colspec colname="1" colnum="1" colwidth="100"/>
                      <tbody>
                        <row>
                          <entry valign="top">
                            <para>
                              <paratext/>
                            </para>
                          </entry>
                        </row>
                      </tbody>
                    </tgroup>
                  </table>
                </paratext>
              </para>
              <para>
                <paratext>
                  <table frame="none" pgwide="1">
                    <tgroup cols="2">
                      <colspec colname="1" colnum="1" colwidth="30"/>
                      <colspec colname="2" colnum="2" colwidth="70"/>
                      <tbody>
                        <row>
                          <entry valign="top">
                            <para align="left">
                              <paratext>SIGNATURE:</paratext>
                            </para>
                          </entry>
                          <entry valign="top">
                            <para align="left">
                              <paratext>_________________________________________</paratext>
                            </para>
                          </entry>
                        </row>
                        <row>
                          <entry valign="top">
                            <para align="left">
                              <paratext>NAME (PRINT):</paratext>
                            </para>
                          </entry>
                          <entry valign="top">
                            <para align="left">
                              <paratext>_________________________________________</paratext>
                            </para>
                          </entry>
                        </row>
                        <row>
                          <entry valign="top">
                            <para align="left">
                              <paratext>POSITION:</paratext>
                            </para>
                          </entry>
                          <entry valign="top">
                            <para align="left">
                              <paratext>_________________________________________</paratext>
                            </para>
                          </entry>
                        </row>
                        <row>
                          <entry valign="top">
                            <para align="left">
                              <paratext>COMPANY:</paratext>
                            </para>
                          </entry>
                          <entry valign="top">
                            <para align="left">
                              <paratext>_________________________________________</paratext>
                            </para>
                          </entry>
                        </row>
                        <row>
                          <entry valign="top">
                            <para align="left">
                              <paratext>DATE:</paratext>
                            </para>
                          </entry>
                          <entry valign="top">
                            <para align="left">
                              <paratext>_________________________________________</paratext>
                            </para>
                          </entry>
                        </row>
                      </tbody>
                    </tgroup>
                  </table>
                </paratext>
              </para>
            </clause>
          </schedule>
          <schedule id="a624299">
            <identifier>Schedule 10</identifier>
            <head align="left" preservecase="true">
              <headtext>Certificate of non-collusion and non-canvassing</headtext>
            </head>
            <para>
              <paratext>
                <bold>Statement of non-canvassing</bold>
              </paratext>
            </para>
            <para>
              <paratext>I hereby certify that I have not canvassed any minister, official, representative or adviser of the Authority in connection with this procurement and the proposed award of the contract by the Authority, and that no person employed by me or acting on my behalf, or advising me, has done any such act. I agree that the Authority may, in consideration of our tender, and in any subsequent actions, rely on the statements made in this certificate.</paratext>
            </para>
            <para>
              <paratext>I further hereby undertake that I will not canvass any minister, official, representative or adviser of the Authority in connection with the Procurement and/or award of the contract and that no person employed by me or acting on my behalf, or advising me, will do any such act.</paratext>
            </para>
            <para>
              <paratext>
                <bold>Statement of non-collusion</bold>
              </paratext>
            </para>
            <para>
              <paratext>The Authority must receive bona fide competitive tenders from all Tenderers.</paratext>
            </para>
            <para>
              <paratext>In recognition of this requirement, I certify that this is a bona fide offer, intended to be competitive and that I have not fixed or adjusted the amount of the offer or the price in accordance with any agreement or arrangement with any other person (except any associated person or subcontractor identified in this offer).</paratext>
            </para>
            <para>
              <paratext>I also certify that I have not done, and undertake that I will not do, at any time during the procurement or, in the event of my final tender being successful, during the term of the contract, any of the following acts:</paratext>
            </para>
            <list type="bulleted">
              <list.item>
                <para>
                  <paratext>Communicate to any person, other than the Authority, the amount or approximate amount of my proposed offer except where the disclosure in confidence was essential to obtain insurance premium quotations required for its preparation.</paratext>
                </para>
              </list.item>
              <list.item>
                <para>
                  <paratext>Enter into any agreement or agreements with any other person that they shall refrain from participating in the tendering process carried out by the Authority or as to the amount of any offer submitted by them during the course of this process.</paratext>
                </para>
              </list.item>
              <list.item>
                <para>
                  <paratext>Cause or induce any person to enter into such an agreement as is mentioned in the previous paragraph or to inform us of the amount or the approximate amount of any other tender for the contract.</paratext>
                </para>
              </list.item>
              <list.item>
                <para>
                  <paratext>Commit any offence under the Bribery Act 2010.</paratext>
                </para>
              </list.item>
              <list.item>
                <para>
                  <paratext>Offer or agree to pay or give or actually pay or give any sum of money, inducement or valuable consideration, directly or indirectly, to any person for doing or having done or having caused to be done in relation to any other tender or proposed tender for the performance of the contract.</paratext>
                </para>
              </list.item>
            </list>
            <para>
              <paratext>In this certificate, the word "person" includes any person, body or association, corporate or incorporate and "agreement" includes any arrangement whether formal or informal and whether legally binding or not.</paratext>
            </para>
            <para>
              <paratext>I agree that the Authority may, in its consideration of the Tender and in any subsequent actions, rely on the statements made in this certificate.</paratext>
            </para>
            <clause id="a000039">
              <para>
                <paratext>
                  <table frame="none" pgwide="1">
                    <tgroup cols="2">
                      <colspec colname="1" colnum="1" colwidth="30"/>
                      <colspec colname="2" colnum="2" colwidth="70"/>
                      <tbody>
                        <row>
                          <entry valign="top">
                            <para align="left">
                              <paratext>SIGNATURE:</paratext>
                            </para>
                          </entry>
                          <entry valign="top">
                            <para align="left">
                              <paratext>_________________________________________</paratext>
                            </para>
                          </entry>
                        </row>
                        <row>
                          <entry valign="top">
                            <para align="left">
                              <paratext>NAME (PRINT):</paratext>
                            </para>
                          </entry>
                          <entry valign="top">
                            <para align="left">
                              <paratext>_________________________________________</paratext>
                            </para>
                          </entry>
                        </row>
                        <row>
                          <entry valign="top">
                            <para align="left">
                              <paratext>POSITION:</paratext>
                            </para>
                          </entry>
                          <entry valign="top">
                            <para align="left">
                              <paratext>_________________________________________</paratext>
                            </para>
                          </entry>
                        </row>
                        <row>
                          <entry valign="top">
                            <para align="left">
                              <paratext>COMPANY:</paratext>
                            </para>
                          </entry>
                          <entry valign="top">
                            <para align="left">
                              <paratext>_________________________________________</paratext>
                            </para>
                          </entry>
                        </row>
                        <row>
                          <entry valign="top">
                            <para align="left">
                              <paratext>DATE:</paratext>
                            </para>
                          </entry>
                          <entry valign="top">
                            <para align="left">
                              <paratext>_________________________________________</paratext>
                            </para>
                          </entry>
                        </row>
                      </tbody>
                    </tgroup>
                  </table>
                </paratext>
              </para>
            </clause>
          </schedule>
          <schedule id="a777449">
            <identifier>Schedule 11</identifier>
            <head align="left" preservecase="true">
              <headtext>Deed of guarantee</headtext>
            </head>
          </schedule>
          <schedule id="a737736">
            <identifier>Schedule 12</identifier>
            <head align="left" preservecase="true">
              <headtext>Form of Tender</headtext>
            </head>
            <drafting.note id="a831032" jurisdiction="">
              <head align="left" preservecase="true">
                <headtext>Form of tender (optional)</headtext>
              </head>
              <division id="a000040" level="1">
                <para>
                  <paratext>The form of tender certificate can be included here in the ITT, or incorporated as part of the tender submission process within the tendering portal. It is also possible to provide for tenderers to indicate acceptance with a tick box or similar. Alternatively the certificate can be omitted altogether if not required.</paratext>
                </para>
              </division>
            </drafting.note>
            <clause id="a000041">
              <para>
                <paratext>
                  <table frame="none" pgwide="1">
                    <tgroup cols="2">
                      <colspec colname="1" colnum="1" colwidth="30"/>
                      <colspec colname="2" colnum="2" colwidth="70"/>
                      <tbody>
                        <row>
                          <entry nameend="2" namest="1" valign="top">
                            <para align="center">
                              <paratext>
                                <bold>FORM OF TENDER: TENDER CERTIFICATE</bold>
                              </paratext>
                            </para>
                          </entry>
                        </row>
                        <row>
                          <entry nameend="2" namest="1" valign="top">
                            <para align="left">
                              <paratext>TO: [NAME OF AUTHORITY]</paratext>
                            </para>
                          </entry>
                        </row>
                        <row>
                          <entry nameend="2" namest="1" valign="top">
                            <para align="left">
                              <paratext>DATE: [DATE]</paratext>
                            </para>
                          </entry>
                        </row>
                        <row>
                          <entry nameend="2" namest="1" valign="top">
                            <para align="left">
                              <paratext>PROVISION OF: [TITLE OF PROCUREMENT]</paratext>
                            </para>
                          </entry>
                        </row>
                        <row>
                          <entry nameend="2" namest="1" valign="top">
                            <para align="left">
                              <paratext>REFERENCE NUMBER: [UNIQUE IDENTIFIER FOR THE PROCUREMENT]</paratext>
                            </para>
                          </entry>
                        </row>
                        <row>
                          <entry nameend="2" namest="1" valign="top">
                            <para align="left">
                              <paratext>We [INSERT NAME[S]] the undersigned, having examined the ITT and all other schedules, do hereby offer to provide [CONTRACT SUBJECT MATTER] as specified in those documents and in accordance with the attached documentation to the Authority commencing [DATE] and continuing for the period specified in the Contract.</paratext>
                            </para>
                            <para align="left">
                              <paratext>If this offer is accepted, we will execute such documents in the form of the Contract within [NUMBER] days of being called on to do so.</paratext>
                            </para>
                            <para align="left">
                              <paratext>[We agree that before executing the Contract (and associated schedules) substantially in the form set out in the ITT, the formal acceptance of this Tender in writing by the Authority or such parts as may be specified, together with the contract documents attached hereto shall comprise a binding contract between the Authority and the [Tenderer]].</paratext>
                            </para>
                            <para align="left">
                              <paratext>
                                We further agree with the Authority in legally binding terms to comply with the provisions of confidentiality set out in 
                                <internal.reference refid="a447638">
                                  <ital>paragraph 4.2</ital>
                                </internal.reference>
                                 of the ITT.
                              </paratext>
                            </para>
                            <para align="left">
                              <paratext>We confirm that we have submitted the Schedule 10 certificate of non-collusion and non-canvassing, as required by paragraph 4.6 of the ITT.</paratext>
                            </para>
                            <para align="left">
                              <paratext>We warrant that we have all requisite authority to sign this Tender and confirm that we have complied with all the requirements of the ITT.</paratext>
                            </para>
                          </entry>
                        </row>
                        <row>
                          <entry valign="top">
                            <para align="left">
                              <paratext>Signature</paratext>
                            </para>
                          </entry>
                          <entry valign="top">
                            <para align="left">
                              <paratext>_________________________________________</paratext>
                            </para>
                          </entry>
                        </row>
                        <row>
                          <entry valign="top">
                            <para align="left">
                              <paratext>Name and status</paratext>
                            </para>
                          </entry>
                          <entry valign="top">
                            <para align="left">
                              <paratext>_________________________________________</paratext>
                            </para>
                          </entry>
                        </row>
                        <row>
                          <entry valign="top">
                            <para align="left">
                              <paratext>Signature</paratext>
                            </para>
                          </entry>
                          <entry valign="top">
                            <para align="left">
                              <paratext>_________________________________________</paratext>
                            </para>
                          </entry>
                        </row>
                        <row>
                          <entry valign="top">
                            <para align="left">
                              <paratext>Name and status</paratext>
                            </para>
                          </entry>
                          <entry valign="top">
                            <para align="left">
                              <paratext>_________________________________________</paratext>
                            </para>
                          </entry>
                        </row>
                        <row>
                          <entry valign="top">
                            <para align="left">
                              <paratext>For and on behalf of</paratext>
                            </para>
                          </entry>
                          <entry valign="top">
                            <para align="left">
                              <paratext>[NAME OF COMPANY, PARTNERS OR CONSORTIUM]</paratext>
                            </para>
                          </entry>
                        </row>
                      </tbody>
                    </tgroup>
                  </table>
                </paratext>
              </para>
            </clause>
          </schedule>
        </disclosure.schedule>
        <appendix id="a471807">
          <identifier>ANNEX A</identifier>
          <head align="left" preservecase="true">
            <headtext>[TITLE OF ANNEX]</headtext>
          </head>
          <drafting.note id="a907561" jurisdiction="">
            <head align="left" preservecase="true">
              <headtext>Glossary</headtext>
            </head>
            <division id="a000042" level="1">
              <para>
                <paratext>Authorities should update this table in accordance with any additions or deletions they make to the ITT.</paratext>
              </para>
            </division>
          </drafting.note>
          <para>
            <paratext>This agreement has been entered into on the date stated at the beginning of it</paratext>
          </para>
          <para>
            <paratext>
              <table frame="all" pgwide="1">
                <tgroup cols="2">
                  <colspec colname="1" colnum="1" colwidth="50"/>
                  <colspec colname="2" colnum="2" colwidth="50"/>
                  <tbody>
                    <row>
                      <entry valign="top">
                        <para align="left">
                          <paratext>
                            <bold>Defined term</bold>
                          </paratext>
                        </para>
                      </entry>
                      <entry valign="top">
                        <para align="left">
                          <paratext>
                            <bold>Where defined</bold>
                          </paratext>
                        </para>
                      </entry>
                    </row>
                    <row>
                      <entry valign="top">
                        <para align="left">
                          <paratext>Authority</paratext>
                        </para>
                      </entry>
                      <entry valign="top">
                        <para align="left">
                          <paratext>Document header</paratext>
                        </para>
                      </entry>
                    </row>
                    <row>
                      <entry valign="top">
                        <para align="left">
                          <paratext>Award Criteria</paratext>
                        </para>
                      </entry>
                      <entry valign="top">
                        <para align="left">
                          <paratext>1.2</paratext>
                        </para>
                      </entry>
                    </row>
                    <row>
                      <entry valign="top">
                        <para align="left">
                          <paratext>Clarifications Log</paratext>
                        </para>
                      </entry>
                      <entry valign="top">
                        <para align="left">
                          <paratext>1.8</paratext>
                        </para>
                      </entry>
                    </row>
                    <row>
                      <entry valign="top">
                        <para align="left">
                          <paratext>Contract</paratext>
                        </para>
                      </entry>
                      <entry valign="top">
                        <para align="left">
                          <paratext>1.1</paratext>
                        </para>
                      </entry>
                    </row>
                    <row>
                      <entry valign="top">
                        <para align="left">
                          <paratext>Deadline</paratext>
                        </para>
                      </entry>
                      <entry valign="top">
                        <para align="left">
                          <paratext>Document header</paratext>
                        </para>
                      </entry>
                    </row>
                    <row>
                      <entry valign="top">
                        <para align="left">
                          <paratext>EIR</paratext>
                        </para>
                      </entry>
                      <entry valign="top">
                        <para align="left">
                          <paratext>3.8</paratext>
                        </para>
                      </entry>
                    </row>
                    <row>
                      <entry valign="top">
                        <para align="left">
                          <paratext>Evaluation Criteria</paratext>
                        </para>
                      </entry>
                      <entry valign="top">
                        <para align="left">
                          <paratext>4.1</paratext>
                        </para>
                      </entry>
                    </row>
                    <row>
                      <entry valign="top">
                        <para align="left">
                          <paratext>FOIA</paratext>
                        </para>
                      </entry>
                      <entry valign="top">
                        <para align="left">
                          <paratext>3.8</paratext>
                        </para>
                      </entry>
                    </row>
                    <row>
                      <entry valign="top">
                        <para align="left">
                          <paratext>ITT</paratext>
                        </para>
                      </entry>
                      <entry valign="top">
                        <para align="left">
                          <paratext>1.1</paratext>
                        </para>
                      </entry>
                    </row>
                    <row>
                      <entry valign="top">
                        <para align="left">
                          <paratext>Lots</paratext>
                        </para>
                      </entry>
                      <entry valign="top">
                        <para align="left">
                          <paratext>1.6</paratext>
                        </para>
                      </entry>
                    </row>
                    <row>
                      <entry valign="top">
                        <para align="left">
                          <paratext>PA 2023</paratext>
                        </para>
                      </entry>
                      <entry valign="top">
                        <para align="left">
                          <paratext>1.2</paratext>
                        </para>
                      </entry>
                    </row>
                    <row>
                      <entry valign="top">
                        <para align="left">
                          <paratext>Portal</paratext>
                        </para>
                      </entry>
                      <entry valign="top">
                        <para align="left">
                          <paratext>1.8</paratext>
                        </para>
                      </entry>
                    </row>
                    <row>
                      <entry valign="top">
                        <para align="left">
                          <paratext>PSQ</paratext>
                        </para>
                      </entry>
                      <entry valign="top">
                        <para align="left">
                          <paratext>1.2</paratext>
                        </para>
                      </entry>
                    </row>
                    <row>
                      <entry valign="top">
                        <para align="left">
                          <paratext>Service Provider</paratext>
                        </para>
                      </entry>
                      <entry valign="top">
                        <para align="left">
                          <paratext>1.6</paratext>
                        </para>
                      </entry>
                    </row>
                    <row>
                      <entry valign="top">
                        <para align="left">
                          <paratext>Services</paratext>
                        </para>
                      </entry>
                      <entry valign="top">
                        <para align="left">
                          <paratext>1.2</paratext>
                        </para>
                      </entry>
                    </row>
                    <row>
                      <entry valign="top">
                        <para align="left">
                          <paratext>Tender</paratext>
                        </para>
                      </entry>
                      <entry valign="top">
                        <para align="left">
                          <paratext>1.2</paratext>
                        </para>
                      </entry>
                    </row>
                    <row>
                      <entry valign="top">
                        <para align="left">
                          <paratext>Tenderers</paratext>
                        </para>
                      </entry>
                      <entry valign="top">
                        <para align="left">
                          <paratext>1.2</paratext>
                        </para>
                      </entry>
                    </row>
                    <row>
                      <entry valign="top">
                        <para align="left">
                          <paratext>Tender Evaluation Model</paratext>
                        </para>
                      </entry>
                      <entry valign="top">
                        <para align="left">
                          <paratext>1.7</paratext>
                        </para>
                      </entry>
                    </row>
                    <row>
                      <entry valign="top">
                        <para align="left">
                          <paratext>Third Party Employees</paratext>
                        </para>
                      </entry>
                      <entry valign="top">
                        <para align="left">
                          <paratext>5.1</paratext>
                        </para>
                      </entry>
                    </row>
                    <row>
                      <entry valign="top">
                        <para align="left">
                          <paratext>Threshold</paratext>
                        </para>
                      </entry>
                      <entry valign="top">
                        <para align="left">
                          <paratext>4.1</paratext>
                        </para>
                      </entry>
                    </row>
                    <row>
                      <entry valign="top">
                        <para align="left">
                          <paratext>Timetable</paratext>
                        </para>
                      </entry>
                      <entry valign="top">
                        <para align="left">
                          <paratext>2.1</paratext>
                        </para>
                      </entry>
                    </row>
                    <row>
                      <entry valign="top">
                        <para align="left">
                          <paratext>Transferring Employees</paratext>
                        </para>
                      </entry>
                      <entry valign="top">
                        <para align="left">
                          <paratext>5.1</paratext>
                        </para>
                      </entry>
                    </row>
                    <row>
                      <entry valign="top">
                        <para align="left">
                          <paratext>TUPE</paratext>
                        </para>
                      </entry>
                      <entry valign="top">
                        <para align="left">
                          <paratext>5.1</paratext>
                        </para>
                      </entry>
                    </row>
                  </tbody>
                </tgroup>
              </table>
            </paratext>
          </para>
        </appendix>
      </body>
      <rev.history>
        <rev.item>
          <rev.title>Procurement Act 2023</rev.title>
          <rev.date>20250306</rev.date>
          <rev.author>Practical Law Public Sector</rev.author>
          <rev.body>
            <division id="a000001" level="1">
              <para>
                <paratext>Updated to reflect the coming into force of the Procurement Act 2023, on 24 February 2025.</paratext>
              </para>
            </division>
          </rev.body>
        </rev.item>
      </rev.history>
    </standard.doc>
  </n-docbody>
</n-document>
</file>

<file path=customXml/item5.xml><?xml version="1.0" encoding="utf-8"?>
<ns30: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DC01D0-0D15-41DA-BEE5-B0F5E8C7F460}">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33C9BAC2-88D6-4FDE-A7F8-7354124314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18dbe5-d9c0-4970-a8c9-305308b23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2CBA3C-02B0-4FB5-85EE-2113EA3FDFF0}">
  <ds:schemaRefs>
    <ds:schemaRef ds:uri="http://schemas.microsoft.com/sharepoint/v3/contenttype/forms"/>
  </ds:schemaRefs>
</ds:datastoreItem>
</file>

<file path=customXml/itemProps4.xml><?xml version="1.0" encoding="utf-8"?>
<ds:datastoreItem xmlns:ds="http://schemas.openxmlformats.org/officeDocument/2006/customXml" ds:itemID="{422B8BA5-8FF3-4185-A9CC-289CDF455EA9}">
  <ds:schemaRefs>
    <ds:schemaRef ds:uri="http://www.w3.org/2001/XMLSchema"/>
  </ds:schemaRefs>
</ds:datastoreItem>
</file>

<file path=customXml/itemProps5.xml><?xml version="1.0" encoding="utf-8"?>
<ds:datastoreItem xmlns:ds="http://schemas.openxmlformats.org/officeDocument/2006/customXml" ds:itemID="{F1EB7E33-C700-4B03-94B3-A039FB6AB2FF}">
  <ds:schemaRefs>
    <ds:schemaRef ds:uri="http://schemas.openxmlformats.org/officeDocument/2006/relationships"/>
    <ds:schemaRef ds:uri="http://schemas.openxmlformats.org/wordprocessingml/2006/main"/>
    <ds:schemaRef ds:uri="http://schemas.microsoft.com/office/word/2012/wordml"/>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xml><?xml version="1.0" encoding="utf-8"?>
<ds:datastoreItem xmlns:ds="http://schemas.openxmlformats.org/officeDocument/2006/customXml" ds:itemID="{BD442842-C8DD-4A40-BF32-AB1FA25950AC}">
  <ds:schemaRefs>
    <ds:schemaRef ds:uri="http://schemas.microsoft.com/office/2006/customDocumentInformationPanel"/>
  </ds:schemaRefs>
</ds:datastoreItem>
</file>

<file path=customXml/itemProps7.xml><?xml version="1.0" encoding="utf-8"?>
<ds:datastoreItem xmlns:ds="http://schemas.openxmlformats.org/officeDocument/2006/customXml" ds:itemID="{E542D869-FE21-4DC3-9EC8-4D63EB83E0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34</Pages>
  <Words>7535</Words>
  <Characters>41143</Characters>
  <Application>Microsoft Office Word</Application>
  <DocSecurity>0</DocSecurity>
  <Lines>1142</Lines>
  <Paragraphs>553</Paragraphs>
  <ScaleCrop>false</ScaleCrop>
  <HeadingPairs>
    <vt:vector size="2" baseType="variant">
      <vt:variant>
        <vt:lpstr>Title</vt:lpstr>
      </vt:variant>
      <vt:variant>
        <vt:i4>1</vt:i4>
      </vt:variant>
    </vt:vector>
  </HeadingPairs>
  <TitlesOfParts>
    <vt:vector size="1" baseType="lpstr">
      <vt:lpstr>Procurement Act 2023: invitation to tender</vt:lpstr>
    </vt:vector>
  </TitlesOfParts>
  <Company/>
  <LinksUpToDate>false</LinksUpToDate>
  <CharactersWithSpaces>48125</CharactersWithSpaces>
  <SharedDoc>false</SharedDoc>
  <HLinks>
    <vt:vector size="48" baseType="variant">
      <vt:variant>
        <vt:i4>1572916</vt:i4>
      </vt:variant>
      <vt:variant>
        <vt:i4>44</vt:i4>
      </vt:variant>
      <vt:variant>
        <vt:i4>0</vt:i4>
      </vt:variant>
      <vt:variant>
        <vt:i4>5</vt:i4>
      </vt:variant>
      <vt:variant>
        <vt:lpwstr/>
      </vt:variant>
      <vt:variant>
        <vt:lpwstr>_Toc216178771</vt:lpwstr>
      </vt:variant>
      <vt:variant>
        <vt:i4>1572916</vt:i4>
      </vt:variant>
      <vt:variant>
        <vt:i4>38</vt:i4>
      </vt:variant>
      <vt:variant>
        <vt:i4>0</vt:i4>
      </vt:variant>
      <vt:variant>
        <vt:i4>5</vt:i4>
      </vt:variant>
      <vt:variant>
        <vt:lpwstr/>
      </vt:variant>
      <vt:variant>
        <vt:lpwstr>_Toc216178770</vt:lpwstr>
      </vt:variant>
      <vt:variant>
        <vt:i4>1638452</vt:i4>
      </vt:variant>
      <vt:variant>
        <vt:i4>32</vt:i4>
      </vt:variant>
      <vt:variant>
        <vt:i4>0</vt:i4>
      </vt:variant>
      <vt:variant>
        <vt:i4>5</vt:i4>
      </vt:variant>
      <vt:variant>
        <vt:lpwstr/>
      </vt:variant>
      <vt:variant>
        <vt:lpwstr>_Toc216178769</vt:lpwstr>
      </vt:variant>
      <vt:variant>
        <vt:i4>1638452</vt:i4>
      </vt:variant>
      <vt:variant>
        <vt:i4>26</vt:i4>
      </vt:variant>
      <vt:variant>
        <vt:i4>0</vt:i4>
      </vt:variant>
      <vt:variant>
        <vt:i4>5</vt:i4>
      </vt:variant>
      <vt:variant>
        <vt:lpwstr/>
      </vt:variant>
      <vt:variant>
        <vt:lpwstr>_Toc216178768</vt:lpwstr>
      </vt:variant>
      <vt:variant>
        <vt:i4>1638452</vt:i4>
      </vt:variant>
      <vt:variant>
        <vt:i4>20</vt:i4>
      </vt:variant>
      <vt:variant>
        <vt:i4>0</vt:i4>
      </vt:variant>
      <vt:variant>
        <vt:i4>5</vt:i4>
      </vt:variant>
      <vt:variant>
        <vt:lpwstr/>
      </vt:variant>
      <vt:variant>
        <vt:lpwstr>_Toc216178767</vt:lpwstr>
      </vt:variant>
      <vt:variant>
        <vt:i4>1638452</vt:i4>
      </vt:variant>
      <vt:variant>
        <vt:i4>14</vt:i4>
      </vt:variant>
      <vt:variant>
        <vt:i4>0</vt:i4>
      </vt:variant>
      <vt:variant>
        <vt:i4>5</vt:i4>
      </vt:variant>
      <vt:variant>
        <vt:lpwstr/>
      </vt:variant>
      <vt:variant>
        <vt:lpwstr>_Toc216178766</vt:lpwstr>
      </vt:variant>
      <vt:variant>
        <vt:i4>1638452</vt:i4>
      </vt:variant>
      <vt:variant>
        <vt:i4>8</vt:i4>
      </vt:variant>
      <vt:variant>
        <vt:i4>0</vt:i4>
      </vt:variant>
      <vt:variant>
        <vt:i4>5</vt:i4>
      </vt:variant>
      <vt:variant>
        <vt:lpwstr/>
      </vt:variant>
      <vt:variant>
        <vt:lpwstr>_Toc216178765</vt:lpwstr>
      </vt:variant>
      <vt:variant>
        <vt:i4>1638452</vt:i4>
      </vt:variant>
      <vt:variant>
        <vt:i4>2</vt:i4>
      </vt:variant>
      <vt:variant>
        <vt:i4>0</vt:i4>
      </vt:variant>
      <vt:variant>
        <vt:i4>5</vt:i4>
      </vt:variant>
      <vt:variant>
        <vt:lpwstr/>
      </vt:variant>
      <vt:variant>
        <vt:lpwstr>_Toc216178764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Act 2023: invitation to tender</dc:title>
  <dc:subject/>
  <dc:creator>Cane, Nicola (TR Product)</dc:creator>
  <cp:keywords/>
  <cp:lastModifiedBy>Bronwen Davies</cp:lastModifiedBy>
  <cp:revision>11</cp:revision>
  <dcterms:created xsi:type="dcterms:W3CDTF">2026-05-19T11:53:00Z</dcterms:created>
  <dcterms:modified xsi:type="dcterms:W3CDTF">2026-05-19T12:19:00Z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0x01010006C043782AD9524E8A579B38E14A7AF0</vt:lpwstr>
  </property>
</Properties>
</file>