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F7B6B" w:rsidP="00B20D21" w:rsidRDefault="002F7B6B" w14:paraId="486874D3" w14:textId="41C2B186">
      <w:pPr>
        <w:spacing w:before="100" w:beforeAutospacing="1" w:after="100" w:afterAutospacing="1" w:line="300" w:lineRule="atLeast"/>
        <w:outlineLvl w:val="1"/>
        <w:rPr>
          <w:rFonts w:ascii="Calibri" w:hAnsi="Calibri" w:eastAsia="MS Gothic" w:cs="Times New Roman"/>
          <w:b/>
          <w:bCs/>
          <w:color w:val="17365D"/>
          <w:spacing w:val="5"/>
          <w:kern w:val="28"/>
          <w:sz w:val="52"/>
          <w:szCs w:val="52"/>
          <w:lang w:val="en-US"/>
          <w14:ligatures w14:val="none"/>
        </w:rPr>
      </w:pPr>
    </w:p>
    <w:p w:rsidRPr="008569D7" w:rsidR="00B20D21" w:rsidP="4B991855" w:rsidRDefault="002F7B6B" w14:paraId="3EAC103A" w14:textId="458FD630">
      <w:pPr>
        <w:spacing w:after="0" w:line="300" w:lineRule="atLeast"/>
        <w:outlineLvl w:val="1"/>
        <w:rPr>
          <w:rFonts w:eastAsia="Times New Roman" w:cs="Calibri" w:cstheme="minorAscii"/>
          <w:b w:val="1"/>
          <w:bCs w:val="1"/>
          <w:kern w:val="0"/>
          <w:sz w:val="52"/>
          <w:szCs w:val="52"/>
          <w:lang w:eastAsia="cy-GB"/>
          <w14:ligatures w14:val="none"/>
        </w:rPr>
      </w:pPr>
      <w:r w:rsidRPr="008569D7">
        <w:rPr>
          <w:rFonts w:ascii="Calibri" w:hAnsi="Calibri" w:eastAsia="MS Gothic" w:cs="Times New Roman"/>
          <w:noProof/>
          <w:color w:val="17365D"/>
          <w:spacing w:val="5"/>
          <w:kern w:val="28"/>
          <w:sz w:val="52"/>
          <w:szCs w:val="52"/>
          <w14:ligatures w14:val="none"/>
        </w:rPr>
        <w:drawing>
          <wp:anchor distT="0" distB="0" distL="114300" distR="114300" simplePos="0" relativeHeight="251659264" behindDoc="1" locked="0" layoutInCell="1" allowOverlap="1" wp14:anchorId="6462446F" wp14:editId="3716B4E3">
            <wp:simplePos x="0" y="0"/>
            <wp:positionH relativeFrom="column">
              <wp:align>left</wp:align>
            </wp:positionH>
            <wp:positionV relativeFrom="paragraph">
              <wp:posOffset>1275080</wp:posOffset>
            </wp:positionV>
            <wp:extent cx="1281430" cy="1276985"/>
            <wp:effectExtent l="0" t="0" r="0" b="0"/>
            <wp:wrapTight wrapText="bothSides">
              <wp:wrapPolygon edited="0">
                <wp:start x="0" y="0"/>
                <wp:lineTo x="0" y="21267"/>
                <wp:lineTo x="21193" y="21267"/>
                <wp:lineTo x="21193" y="0"/>
                <wp:lineTo x="0" y="0"/>
              </wp:wrapPolygon>
            </wp:wrapTight>
            <wp:docPr id="413847183" name="Llun 1" descr="Llun yn cynnwys logo, bedyddfaen, symbol,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47183" name="Llun 1" descr="Llun yn cynnwys logo, bedyddfaen, symbol, gwaith graffig&#10;&#10;Gall cynnwys a gynhyrchwyd gan AI fod yn anghyw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1787" cy="1277439"/>
                    </a:xfrm>
                    <a:prstGeom prst="rect">
                      <a:avLst/>
                    </a:prstGeom>
                    <a:noFill/>
                    <a:ln>
                      <a:noFill/>
                    </a:ln>
                  </pic:spPr>
                </pic:pic>
              </a:graphicData>
            </a:graphic>
          </wp:anchor>
        </w:drawing>
      </w:r>
      <w:r w:rsidRPr="4B991855" w:rsidR="42E70B47">
        <w:rPr>
          <w:rFonts w:eastAsia="Times New Roman" w:cs="Calibri" w:cstheme="minorAscii"/>
          <w:b w:val="1"/>
          <w:bCs w:val="1"/>
          <w:kern w:val="0"/>
          <w:sz w:val="52"/>
          <w:szCs w:val="52"/>
          <w:lang w:eastAsia="cy-GB"/>
          <w14:ligatures w14:val="none"/>
        </w:rPr>
        <w:t xml:space="preserve">       </w:t>
      </w:r>
      <w:r w:rsidRPr="4B991855" w:rsidR="238E243E">
        <w:rPr>
          <w:rFonts w:eastAsia="Times New Roman" w:cs="Calibri" w:cstheme="minorAscii"/>
          <w:b w:val="1"/>
          <w:bCs w:val="1"/>
          <w:sz w:val="52"/>
          <w:szCs w:val="52"/>
          <w:lang w:eastAsia="cy-GB"/>
        </w:rPr>
        <w:t>Service Specification</w:t>
      </w:r>
    </w:p>
    <w:p w:rsidR="005D62B4" w:rsidP="4B991855" w:rsidRDefault="00B20D21" w14:paraId="55223252" w14:textId="5DFE222D">
      <w:pPr>
        <w:spacing w:after="0" w:line="300" w:lineRule="atLeast"/>
        <w:ind w:left="2160"/>
        <w:rPr>
          <w:rFonts w:eastAsia="Times New Roman" w:cs="Calibri" w:cstheme="minorAscii"/>
          <w:b w:val="1"/>
          <w:bCs w:val="1"/>
          <w:kern w:val="0"/>
          <w:sz w:val="52"/>
          <w:szCs w:val="52"/>
          <w:lang w:eastAsia="cy-GB"/>
          <w14:ligatures w14:val="none"/>
        </w:rPr>
      </w:pPr>
      <w:r w:rsidRPr="4B991855" w:rsidR="238E243E">
        <w:rPr>
          <w:rFonts w:eastAsia="Times New Roman" w:cs="Calibri" w:cstheme="minorAscii"/>
          <w:b w:val="1"/>
          <w:bCs w:val="1"/>
          <w:kern w:val="0"/>
          <w:sz w:val="52"/>
          <w:szCs w:val="52"/>
          <w:lang w:eastAsia="cy-GB"/>
          <w14:ligatures w14:val="none"/>
        </w:rPr>
        <w:t xml:space="preserve">‘Drop-in’ </w:t>
      </w:r>
      <w:r w:rsidRPr="4B991855" w:rsidR="324729A6">
        <w:rPr>
          <w:rFonts w:eastAsia="Times New Roman" w:cs="Calibri" w:cstheme="minorAscii"/>
          <w:b w:val="1"/>
          <w:bCs w:val="1"/>
          <w:sz w:val="52"/>
          <w:szCs w:val="52"/>
          <w:lang w:eastAsia="cy-GB"/>
        </w:rPr>
        <w:t>Service</w:t>
      </w:r>
      <w:r w:rsidRPr="4B991855" w:rsidR="238E243E">
        <w:rPr>
          <w:rFonts w:eastAsia="Times New Roman" w:cs="Calibri" w:cstheme="minorAscii"/>
          <w:b w:val="1"/>
          <w:bCs w:val="1"/>
          <w:sz w:val="52"/>
          <w:szCs w:val="52"/>
          <w:lang w:eastAsia="cy-GB"/>
        </w:rPr>
        <w:t xml:space="preserve"> for Young People </w:t>
      </w:r>
      <w:r w:rsidRPr="4B991855" w:rsidR="0462E4DB">
        <w:rPr>
          <w:rFonts w:eastAsia="Times New Roman" w:cs="Calibri" w:cstheme="minorAscii"/>
          <w:b w:val="1"/>
          <w:bCs w:val="1"/>
          <w:sz w:val="52"/>
          <w:szCs w:val="52"/>
          <w:lang w:eastAsia="cy-GB"/>
        </w:rPr>
        <w:t xml:space="preserve"> </w:t>
      </w:r>
    </w:p>
    <w:p w:rsidRPr="008569D7" w:rsidR="0032204E" w:rsidP="00E344DC" w:rsidRDefault="00B20D21" w14:paraId="50698A3C" w14:textId="3D9D430E">
      <w:pPr>
        <w:spacing w:after="0" w:line="300" w:lineRule="atLeast"/>
        <w:ind w:left="2160"/>
        <w:rPr>
          <w:rFonts w:eastAsia="Times New Roman" w:cstheme="minorHAnsi"/>
          <w:kern w:val="0"/>
          <w:sz w:val="52"/>
          <w:szCs w:val="52"/>
          <w:lang w:eastAsia="cy-GB"/>
          <w14:ligatures w14:val="none"/>
        </w:rPr>
      </w:pPr>
      <w:r w:rsidRPr="008569D7">
        <w:rPr>
          <w:rFonts w:eastAsia="Times New Roman" w:cstheme="minorHAnsi"/>
          <w:b/>
          <w:bCs/>
          <w:kern w:val="0"/>
          <w:sz w:val="52"/>
          <w:szCs w:val="52"/>
          <w:lang w:eastAsia="cy-GB"/>
          <w14:ligatures w14:val="none"/>
        </w:rPr>
        <w:t>(16–24)</w:t>
      </w:r>
      <w:r w:rsidRPr="008569D7" w:rsidR="0032204E">
        <w:rPr>
          <w:rFonts w:ascii="Calibri" w:hAnsi="Calibri" w:eastAsia="MS Gothic" w:cs="Times New Roman"/>
          <w:b/>
          <w:bCs/>
          <w:color w:val="17365D"/>
          <w:spacing w:val="5"/>
          <w:kern w:val="28"/>
          <w:sz w:val="52"/>
          <w:szCs w:val="52"/>
          <w14:ligatures w14:val="none"/>
        </w:rPr>
        <w:t xml:space="preserve">    </w:t>
      </w:r>
      <w:r w:rsidRPr="008569D7" w:rsidR="0032204E">
        <w:rPr>
          <w:rFonts w:ascii="Calibri" w:hAnsi="Calibri" w:eastAsia="MS Gothic" w:cs="Times New Roman"/>
          <w:color w:val="17365D"/>
          <w:spacing w:val="5"/>
          <w:kern w:val="28"/>
          <w:sz w:val="52"/>
          <w:szCs w:val="52"/>
          <w14:ligatures w14:val="none"/>
        </w:rPr>
        <w:t xml:space="preserve">                           </w:t>
      </w:r>
    </w:p>
    <w:tbl>
      <w:tblPr>
        <w:tblpPr w:leftFromText="180" w:rightFromText="180" w:vertAnchor="text" w:horzAnchor="margin" w:tblpY="257"/>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84"/>
        <w:gridCol w:w="7226"/>
      </w:tblGrid>
      <w:tr w:rsidRPr="008569D7" w:rsidR="0032204E" w:rsidTr="4B991855" w14:paraId="6DA22845" w14:textId="77777777">
        <w:trPr>
          <w:trHeight w:val="330"/>
        </w:trPr>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333333"/>
            <w:tcMar/>
            <w:vAlign w:val="center"/>
            <w:hideMark/>
          </w:tcPr>
          <w:p w:rsidRPr="008569D7" w:rsidR="0032204E" w:rsidP="0032204E" w:rsidRDefault="00B20D21" w14:paraId="7BE90FF6" w14:textId="027C04A2">
            <w:pPr>
              <w:spacing w:after="200" w:line="276" w:lineRule="auto"/>
              <w:rPr>
                <w:rFonts w:ascii="Calibri" w:hAnsi="Calibri" w:eastAsia="MS Gothic" w:cs="Times New Roman"/>
                <w:b/>
                <w:bCs/>
                <w:kern w:val="0"/>
                <w14:ligatures w14:val="none"/>
              </w:rPr>
            </w:pPr>
            <w:r w:rsidRPr="008569D7">
              <w:rPr>
                <w:rFonts w:ascii="Calibri" w:hAnsi="Calibri" w:eastAsia="MS Gothic" w:cs="Times New Roman"/>
                <w:b/>
                <w:bCs/>
                <w:kern w:val="0"/>
                <w14:ligatures w14:val="none"/>
              </w:rPr>
              <w:t>Service Name</w:t>
            </w:r>
          </w:p>
        </w:tc>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vAlign w:val="center"/>
            <w:hideMark/>
          </w:tcPr>
          <w:p w:rsidRPr="008569D7" w:rsidR="0032204E" w:rsidP="0032204E" w:rsidRDefault="0032204E" w14:paraId="37164D59" w14:textId="3B509F14">
            <w:pPr>
              <w:spacing w:after="200" w:line="276" w:lineRule="auto"/>
              <w:rPr>
                <w:rFonts w:ascii="Calibri" w:hAnsi="Calibri" w:eastAsia="MS Gothic" w:cs="Calibri"/>
                <w:b/>
                <w:bCs/>
                <w:kern w:val="0"/>
                <w14:ligatures w14:val="none"/>
              </w:rPr>
            </w:pPr>
            <w:r w:rsidRPr="008569D7">
              <w:rPr>
                <w:rFonts w:ascii="Calibri" w:hAnsi="Calibri" w:eastAsia="MS Gothic" w:cs="Calibri"/>
                <w:kern w:val="0"/>
                <w14:ligatures w14:val="none"/>
              </w:rPr>
              <w:t xml:space="preserve"> </w:t>
            </w:r>
            <w:r w:rsidRPr="008569D7" w:rsidR="00B20D21">
              <w:rPr>
                <w:rFonts w:ascii="Calibri" w:hAnsi="Calibri" w:eastAsia="Times New Roman" w:cs="Calibri"/>
                <w:kern w:val="0"/>
                <w:lang w:eastAsia="cy-GB"/>
                <w14:ligatures w14:val="none"/>
              </w:rPr>
              <w:t xml:space="preserve"> Drop-in for Young People (16–24)</w:t>
            </w:r>
          </w:p>
        </w:tc>
      </w:tr>
      <w:tr w:rsidRPr="008569D7" w:rsidR="0032204E" w:rsidTr="4B991855" w14:paraId="4EB5AC3D" w14:textId="77777777">
        <w:trPr>
          <w:trHeight w:val="330"/>
        </w:trPr>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333333"/>
            <w:tcMar/>
            <w:vAlign w:val="center"/>
            <w:hideMark/>
          </w:tcPr>
          <w:p w:rsidRPr="008569D7" w:rsidR="0032204E" w:rsidP="0032204E" w:rsidRDefault="00B20D21" w14:paraId="00EFD036" w14:textId="005D2718">
            <w:pPr>
              <w:spacing w:after="200" w:line="276" w:lineRule="auto"/>
              <w:rPr>
                <w:rFonts w:ascii="Calibri" w:hAnsi="Calibri" w:eastAsia="MS Gothic" w:cs="Times New Roman"/>
                <w:b/>
                <w:bCs/>
                <w:kern w:val="0"/>
                <w14:ligatures w14:val="none"/>
              </w:rPr>
            </w:pPr>
            <w:r w:rsidRPr="008569D7">
              <w:rPr>
                <w:rFonts w:ascii="Calibri" w:hAnsi="Calibri" w:eastAsia="MS Gothic" w:cs="Times New Roman"/>
                <w:b/>
                <w:bCs/>
                <w:kern w:val="0"/>
                <w14:ligatures w14:val="none"/>
              </w:rPr>
              <w:t>Lead Officer</w:t>
            </w:r>
            <w:r w:rsidRPr="008569D7" w:rsidR="0032204E">
              <w:rPr>
                <w:rFonts w:ascii="Calibri" w:hAnsi="Calibri" w:eastAsia="MS Gothic" w:cs="Times New Roman"/>
                <w:b/>
                <w:bCs/>
                <w:kern w:val="0"/>
                <w14:ligatures w14:val="none"/>
              </w:rPr>
              <w:t> </w:t>
            </w:r>
          </w:p>
          <w:p w:rsidRPr="008569D7" w:rsidR="0032204E" w:rsidP="0032204E" w:rsidRDefault="00B20D21" w14:paraId="0B1365E3" w14:textId="47D28508">
            <w:pPr>
              <w:spacing w:after="200" w:line="276" w:lineRule="auto"/>
              <w:rPr>
                <w:rFonts w:ascii="Calibri" w:hAnsi="Calibri" w:eastAsia="MS Gothic" w:cs="Times New Roman"/>
                <w:b/>
                <w:bCs/>
                <w:kern w:val="0"/>
                <w14:ligatures w14:val="none"/>
              </w:rPr>
            </w:pPr>
            <w:r w:rsidRPr="008569D7">
              <w:rPr>
                <w:rFonts w:ascii="Calibri" w:hAnsi="Calibri" w:eastAsia="MS Gothic" w:cs="Times New Roman"/>
                <w:b/>
                <w:bCs/>
                <w:kern w:val="0"/>
                <w14:ligatures w14:val="none"/>
              </w:rPr>
              <w:t xml:space="preserve">Phone </w:t>
            </w:r>
            <w:r w:rsidRPr="008569D7" w:rsidR="00E344DC">
              <w:rPr>
                <w:rFonts w:ascii="Calibri" w:hAnsi="Calibri" w:eastAsia="MS Gothic" w:cs="Times New Roman"/>
                <w:b/>
                <w:bCs/>
                <w:kern w:val="0"/>
                <w14:ligatures w14:val="none"/>
              </w:rPr>
              <w:t>Number</w:t>
            </w:r>
          </w:p>
          <w:p w:rsidRPr="008569D7" w:rsidR="0032204E" w:rsidP="0032204E" w:rsidRDefault="00B20D21" w14:paraId="023866C6" w14:textId="2466319A">
            <w:pPr>
              <w:spacing w:after="200" w:line="276" w:lineRule="auto"/>
              <w:rPr>
                <w:rFonts w:ascii="Calibri" w:hAnsi="Calibri" w:eastAsia="MS Gothic" w:cs="Times New Roman"/>
                <w:b/>
                <w:bCs/>
                <w:kern w:val="0"/>
                <w14:ligatures w14:val="none"/>
              </w:rPr>
            </w:pPr>
            <w:r w:rsidRPr="008569D7">
              <w:rPr>
                <w:rFonts w:ascii="Calibri" w:hAnsi="Calibri" w:eastAsia="MS Gothic" w:cs="Times New Roman"/>
                <w:b/>
                <w:bCs/>
                <w:kern w:val="0"/>
                <w14:ligatures w14:val="none"/>
              </w:rPr>
              <w:t>Email address</w:t>
            </w:r>
          </w:p>
        </w:tc>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vAlign w:val="center"/>
            <w:hideMark/>
          </w:tcPr>
          <w:p w:rsidRPr="008569D7" w:rsidR="0032204E" w:rsidP="0032204E" w:rsidRDefault="0032204E" w14:paraId="48CB6679" w14:textId="77777777">
            <w:pPr>
              <w:spacing w:after="200" w:line="276" w:lineRule="auto"/>
              <w:rPr>
                <w:rFonts w:ascii="Calibri" w:hAnsi="Calibri" w:eastAsia="MS Gothic" w:cs="Calibri"/>
                <w:b/>
                <w:bCs/>
                <w:kern w:val="0"/>
                <w14:ligatures w14:val="none"/>
              </w:rPr>
            </w:pPr>
            <w:r w:rsidRPr="008569D7">
              <w:rPr>
                <w:rFonts w:ascii="Calibri" w:hAnsi="Calibri" w:eastAsia="MS Gothic" w:cs="Calibri"/>
                <w:kern w:val="0"/>
                <w14:ligatures w14:val="none"/>
              </w:rPr>
              <w:t>Gareth Parri </w:t>
            </w:r>
            <w:r w:rsidRPr="008569D7">
              <w:rPr>
                <w:rFonts w:ascii="Calibri" w:hAnsi="Calibri" w:eastAsia="MS Gothic" w:cs="Calibri"/>
                <w:b/>
                <w:bCs/>
                <w:kern w:val="0"/>
                <w14:ligatures w14:val="none"/>
              </w:rPr>
              <w:t> </w:t>
            </w:r>
          </w:p>
          <w:p w:rsidRPr="008569D7" w:rsidR="0032204E" w:rsidP="0032204E" w:rsidRDefault="0032204E" w14:paraId="3E271C6B" w14:textId="77777777">
            <w:pPr>
              <w:spacing w:after="200" w:line="276" w:lineRule="auto"/>
              <w:rPr>
                <w:rFonts w:ascii="Calibri" w:hAnsi="Calibri" w:eastAsia="MS Gothic" w:cs="Calibri"/>
                <w:b/>
                <w:bCs/>
                <w:kern w:val="0"/>
                <w14:ligatures w14:val="none"/>
              </w:rPr>
            </w:pPr>
            <w:r w:rsidRPr="008569D7">
              <w:rPr>
                <w:rFonts w:ascii="Calibri" w:hAnsi="Calibri" w:eastAsia="MS Gothic" w:cs="Calibri"/>
                <w:kern w:val="0"/>
                <w14:ligatures w14:val="none"/>
              </w:rPr>
              <w:t>01766 771000</w:t>
            </w:r>
            <w:r w:rsidRPr="008569D7">
              <w:rPr>
                <w:rFonts w:ascii="Calibri" w:hAnsi="Calibri" w:eastAsia="MS Gothic" w:cs="Calibri"/>
                <w:b/>
                <w:bCs/>
                <w:kern w:val="0"/>
                <w14:ligatures w14:val="none"/>
              </w:rPr>
              <w:t> </w:t>
            </w:r>
          </w:p>
          <w:p w:rsidRPr="008569D7" w:rsidR="0032204E" w:rsidP="0032204E" w:rsidRDefault="0032204E" w14:paraId="7D7A0F9B" w14:textId="77777777">
            <w:pPr>
              <w:spacing w:after="200" w:line="276" w:lineRule="auto"/>
              <w:rPr>
                <w:rFonts w:ascii="Calibri" w:hAnsi="Calibri" w:eastAsia="MS Gothic" w:cs="Calibri"/>
                <w:b/>
                <w:bCs/>
                <w:kern w:val="0"/>
                <w14:ligatures w14:val="none"/>
              </w:rPr>
            </w:pPr>
            <w:hyperlink r:id="rId9">
              <w:r w:rsidRPr="008569D7">
                <w:rPr>
                  <w:rFonts w:ascii="Calibri" w:hAnsi="Calibri" w:eastAsia="MS Gothic" w:cs="Calibri"/>
                  <w:color w:val="0000FF"/>
                  <w:kern w:val="0"/>
                  <w:u w:val="single"/>
                  <w14:ligatures w14:val="none"/>
                </w:rPr>
                <w:t>grantcymorthtai@gwynedd.llyw.cymru</w:t>
              </w:r>
            </w:hyperlink>
            <w:r w:rsidRPr="008569D7">
              <w:rPr>
                <w:rFonts w:ascii="Calibri" w:hAnsi="Calibri" w:eastAsia="MS Gothic" w:cs="Calibri"/>
                <w:kern w:val="0"/>
                <w14:ligatures w14:val="none"/>
              </w:rPr>
              <w:t> </w:t>
            </w:r>
            <w:r w:rsidRPr="008569D7">
              <w:rPr>
                <w:rFonts w:ascii="Calibri" w:hAnsi="Calibri" w:eastAsia="MS Gothic" w:cs="Calibri"/>
                <w:b/>
                <w:bCs/>
                <w:kern w:val="0"/>
                <w14:ligatures w14:val="none"/>
              </w:rPr>
              <w:t> </w:t>
            </w:r>
          </w:p>
        </w:tc>
      </w:tr>
      <w:tr w:rsidRPr="008569D7" w:rsidR="0032204E" w:rsidTr="4B991855" w14:paraId="1ABC777F" w14:textId="77777777">
        <w:trPr>
          <w:trHeight w:val="330"/>
        </w:trPr>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333333"/>
            <w:tcMar/>
            <w:vAlign w:val="center"/>
            <w:hideMark/>
          </w:tcPr>
          <w:p w:rsidRPr="008569D7" w:rsidR="0032204E" w:rsidP="0032204E" w:rsidRDefault="00B20D21" w14:paraId="2A9D6E9D" w14:textId="3A36CADF">
            <w:pPr>
              <w:spacing w:after="200" w:line="276" w:lineRule="auto"/>
              <w:rPr>
                <w:rFonts w:ascii="Calibri" w:hAnsi="Calibri" w:eastAsia="MS Gothic" w:cs="Times New Roman"/>
                <w:b/>
                <w:bCs/>
                <w:kern w:val="0"/>
                <w14:ligatures w14:val="none"/>
              </w:rPr>
            </w:pPr>
            <w:r w:rsidRPr="008569D7">
              <w:rPr>
                <w:rFonts w:ascii="Segoe UI" w:hAnsi="Segoe UI" w:eastAsia="Times New Roman" w:cs="Segoe UI"/>
                <w:b/>
                <w:bCs/>
                <w:kern w:val="0"/>
                <w:sz w:val="21"/>
                <w:szCs w:val="21"/>
                <w:lang w:eastAsia="cy-GB"/>
                <w14:ligatures w14:val="none"/>
              </w:rPr>
              <w:t>Commissioner Contact Details</w:t>
            </w:r>
          </w:p>
        </w:tc>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vAlign w:val="center"/>
            <w:hideMark/>
          </w:tcPr>
          <w:p w:rsidRPr="008569D7" w:rsidR="0032204E" w:rsidP="0032204E" w:rsidRDefault="00B20D21" w14:paraId="74A93754" w14:textId="7CDAD381">
            <w:pPr>
              <w:spacing w:after="200" w:line="276" w:lineRule="auto"/>
              <w:rPr>
                <w:rFonts w:ascii="Calibri" w:hAnsi="Calibri" w:eastAsia="MS Gothic" w:cs="Calibri"/>
                <w:kern w:val="0"/>
                <w14:ligatures w14:val="none"/>
              </w:rPr>
            </w:pPr>
            <w:r w:rsidRPr="008569D7">
              <w:rPr>
                <w:rFonts w:ascii="Calibri" w:hAnsi="Calibri" w:eastAsia="MS Gothic" w:cs="Calibri"/>
                <w:kern w:val="0"/>
                <w14:ligatures w14:val="none"/>
              </w:rPr>
              <w:t>As above</w:t>
            </w:r>
          </w:p>
        </w:tc>
      </w:tr>
      <w:tr w:rsidRPr="008569D7" w:rsidR="0032204E" w:rsidTr="4B991855" w14:paraId="544C971E" w14:textId="77777777">
        <w:trPr>
          <w:trHeight w:val="330"/>
        </w:trPr>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333333"/>
            <w:tcMar/>
            <w:vAlign w:val="center"/>
            <w:hideMark/>
          </w:tcPr>
          <w:p w:rsidRPr="008569D7" w:rsidR="0032204E" w:rsidP="0032204E" w:rsidRDefault="00E344DC" w14:paraId="4B40FEDB" w14:textId="6500BACC">
            <w:pPr>
              <w:spacing w:after="200" w:line="276" w:lineRule="auto"/>
              <w:rPr>
                <w:rFonts w:ascii="Calibri" w:hAnsi="Calibri" w:eastAsia="MS Gothic" w:cs="Times New Roman"/>
                <w:b/>
                <w:bCs/>
                <w:kern w:val="0"/>
                <w14:ligatures w14:val="none"/>
              </w:rPr>
            </w:pPr>
            <w:r w:rsidRPr="008569D7">
              <w:rPr>
                <w:rFonts w:ascii="Calibri" w:hAnsi="Calibri" w:eastAsia="MS Gothic" w:cs="Times New Roman"/>
                <w:b/>
                <w:bCs/>
                <w:kern w:val="0"/>
                <w14:ligatures w14:val="none"/>
              </w:rPr>
              <w:t>Contract Duration</w:t>
            </w:r>
          </w:p>
        </w:tc>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vAlign w:val="center"/>
            <w:hideMark/>
          </w:tcPr>
          <w:p w:rsidRPr="008569D7" w:rsidR="0032204E" w:rsidP="0032204E" w:rsidRDefault="00B20D21" w14:paraId="177DE87C" w14:textId="6579FFCB">
            <w:pPr>
              <w:spacing w:after="200" w:line="276" w:lineRule="auto"/>
              <w:rPr>
                <w:rFonts w:ascii="Calibri" w:hAnsi="Calibri" w:eastAsia="MS Gothic" w:cs="Calibri"/>
                <w:b/>
                <w:bCs/>
                <w:kern w:val="0"/>
                <w14:ligatures w14:val="none"/>
              </w:rPr>
            </w:pPr>
            <w:r w:rsidRPr="008569D7">
              <w:rPr>
                <w:rFonts w:ascii="Calibri" w:hAnsi="Calibri" w:eastAsia="Times New Roman" w:cs="Calibri"/>
                <w:kern w:val="0"/>
                <w:lang w:eastAsia="cy-GB"/>
                <w14:ligatures w14:val="none"/>
              </w:rPr>
              <w:t>3 years – subject to a service review at the end of this period with the option to extend for a further 3 years on an annual basis (1+1+1), subject to compliance, satisfactory performance and availability of funding.</w:t>
            </w:r>
          </w:p>
        </w:tc>
      </w:tr>
      <w:tr w:rsidRPr="008569D7" w:rsidR="0032204E" w:rsidTr="4B991855" w14:paraId="5542500F" w14:textId="77777777">
        <w:trPr>
          <w:trHeight w:val="330"/>
        </w:trPr>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333333"/>
            <w:tcMar/>
            <w:vAlign w:val="center"/>
            <w:hideMark/>
          </w:tcPr>
          <w:p w:rsidRPr="008569D7" w:rsidR="0032204E" w:rsidP="0032204E" w:rsidRDefault="00B20D21" w14:paraId="194E2AF9" w14:textId="039BD736">
            <w:pPr>
              <w:spacing w:after="200" w:line="276" w:lineRule="auto"/>
              <w:rPr>
                <w:rFonts w:ascii="Calibri" w:hAnsi="Calibri" w:eastAsia="MS Gothic" w:cs="Times New Roman"/>
                <w:b/>
                <w:bCs/>
                <w:kern w:val="0"/>
                <w14:ligatures w14:val="none"/>
              </w:rPr>
            </w:pPr>
            <w:r w:rsidRPr="008569D7">
              <w:rPr>
                <w:rFonts w:ascii="Calibri" w:hAnsi="Calibri" w:eastAsia="MS Gothic" w:cs="Times New Roman"/>
                <w:b/>
                <w:bCs/>
                <w:kern w:val="0"/>
                <w14:ligatures w14:val="none"/>
              </w:rPr>
              <w:t>Start Date</w:t>
            </w:r>
          </w:p>
        </w:tc>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vAlign w:val="center"/>
            <w:hideMark/>
          </w:tcPr>
          <w:p w:rsidRPr="008569D7" w:rsidR="0032204E" w:rsidP="0032204E" w:rsidRDefault="0032204E" w14:paraId="66D35A76" w14:textId="18D02D41">
            <w:pPr>
              <w:spacing w:after="200" w:line="276" w:lineRule="auto"/>
              <w:rPr>
                <w:rFonts w:ascii="Calibri" w:hAnsi="Calibri" w:eastAsia="MS Gothic" w:cs="Calibri"/>
                <w:b w:val="1"/>
                <w:bCs w:val="1"/>
                <w:kern w:val="0"/>
                <w14:ligatures w14:val="none"/>
              </w:rPr>
            </w:pPr>
            <w:r w:rsidRPr="008569D7" w:rsidR="40481CA7">
              <w:rPr>
                <w:rFonts w:ascii="Calibri" w:hAnsi="Calibri" w:eastAsia="MS Gothic" w:cs="Calibri"/>
                <w:kern w:val="0"/>
                <w14:ligatures w14:val="none"/>
              </w:rPr>
              <w:t xml:space="preserve">1 </w:t>
            </w:r>
            <w:r w:rsidRPr="4B991855" w:rsidR="29D5B676">
              <w:rPr>
                <w:rFonts w:ascii="Calibri" w:hAnsi="Calibri" w:eastAsia="MS Gothic" w:cs="Calibri"/>
              </w:rPr>
              <w:t>December</w:t>
            </w:r>
            <w:r w:rsidRPr="4B991855" w:rsidR="40481CA7">
              <w:rPr>
                <w:rFonts w:ascii="Calibri" w:hAnsi="Calibri" w:eastAsia="MS Gothic" w:cs="Calibri"/>
              </w:rPr>
              <w:t> 2026</w:t>
            </w:r>
            <w:r w:rsidRPr="4B991855" w:rsidR="40481CA7">
              <w:rPr>
                <w:rFonts w:ascii="Calibri" w:hAnsi="Calibri" w:eastAsia="MS Gothic" w:cs="Calibri"/>
                <w:b w:val="1"/>
                <w:bCs w:val="1"/>
              </w:rPr>
              <w:t> </w:t>
            </w:r>
          </w:p>
        </w:tc>
      </w:tr>
      <w:tr w:rsidRPr="008569D7" w:rsidR="0032204E" w:rsidTr="4B991855" w14:paraId="497A1313" w14:textId="77777777">
        <w:trPr>
          <w:trHeight w:val="330"/>
        </w:trPr>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333333"/>
            <w:tcMar/>
            <w:vAlign w:val="center"/>
            <w:hideMark/>
          </w:tcPr>
          <w:p w:rsidRPr="008569D7" w:rsidR="0032204E" w:rsidP="0032204E" w:rsidRDefault="0032204E" w14:paraId="6C063E91" w14:textId="78005637">
            <w:pPr>
              <w:spacing w:after="200" w:line="276" w:lineRule="auto"/>
              <w:rPr>
                <w:rFonts w:ascii="Calibri" w:hAnsi="Calibri" w:eastAsia="MS Gothic" w:cs="Times New Roman"/>
                <w:b/>
                <w:bCs/>
                <w:kern w:val="0"/>
                <w14:ligatures w14:val="none"/>
              </w:rPr>
            </w:pPr>
            <w:r w:rsidRPr="008569D7">
              <w:rPr>
                <w:rFonts w:ascii="Calibri" w:hAnsi="Calibri" w:eastAsia="MS Gothic" w:cs="Times New Roman"/>
                <w:b/>
                <w:bCs/>
                <w:kern w:val="0"/>
                <w14:ligatures w14:val="none"/>
              </w:rPr>
              <w:t>Contract </w:t>
            </w:r>
            <w:r w:rsidRPr="008569D7" w:rsidR="00B20D21">
              <w:rPr>
                <w:rFonts w:ascii="Calibri" w:hAnsi="Calibri" w:eastAsia="MS Gothic" w:cs="Times New Roman"/>
                <w:b/>
                <w:bCs/>
                <w:kern w:val="0"/>
                <w14:ligatures w14:val="none"/>
              </w:rPr>
              <w:t>Type</w:t>
            </w:r>
          </w:p>
        </w:tc>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vAlign w:val="center"/>
            <w:hideMark/>
          </w:tcPr>
          <w:p w:rsidRPr="008569D7" w:rsidR="0032204E" w:rsidP="0032204E" w:rsidRDefault="00B20D21" w14:paraId="469B28D3" w14:textId="2B227F0E">
            <w:pPr>
              <w:spacing w:after="200" w:line="276" w:lineRule="auto"/>
              <w:rPr>
                <w:rFonts w:ascii="Calibri" w:hAnsi="Calibri" w:eastAsia="MS Gothic" w:cs="Calibri"/>
                <w:b/>
                <w:bCs/>
                <w:kern w:val="0"/>
                <w14:ligatures w14:val="none"/>
              </w:rPr>
            </w:pPr>
            <w:r w:rsidRPr="008569D7">
              <w:rPr>
                <w:rFonts w:ascii="Calibri" w:hAnsi="Calibri" w:eastAsia="Times New Roman" w:cs="Calibri"/>
                <w:kern w:val="0"/>
                <w:lang w:eastAsia="cy-GB"/>
                <w14:ligatures w14:val="none"/>
              </w:rPr>
              <w:t>Block contract</w:t>
            </w:r>
          </w:p>
        </w:tc>
      </w:tr>
      <w:tr w:rsidRPr="008569D7" w:rsidR="0032204E" w:rsidTr="4B991855" w14:paraId="3DB4EAF2" w14:textId="77777777">
        <w:trPr>
          <w:trHeight w:val="1252"/>
        </w:trPr>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333333"/>
            <w:tcMar/>
            <w:vAlign w:val="center"/>
            <w:hideMark/>
          </w:tcPr>
          <w:p w:rsidRPr="008569D7" w:rsidR="0032204E" w:rsidP="0032204E" w:rsidRDefault="00B20D21" w14:paraId="6B3A935F" w14:textId="706BC7AF">
            <w:pPr>
              <w:spacing w:after="200" w:line="276" w:lineRule="auto"/>
              <w:rPr>
                <w:rFonts w:ascii="Calibri" w:hAnsi="Calibri" w:eastAsia="MS Gothic" w:cs="Times New Roman"/>
                <w:b/>
                <w:bCs/>
                <w:kern w:val="0"/>
                <w14:ligatures w14:val="none"/>
              </w:rPr>
            </w:pPr>
            <w:r w:rsidRPr="008569D7">
              <w:rPr>
                <w:rFonts w:ascii="Segoe UI" w:hAnsi="Segoe UI" w:eastAsia="Times New Roman" w:cs="Segoe UI"/>
                <w:b/>
                <w:bCs/>
                <w:kern w:val="0"/>
                <w:sz w:val="21"/>
                <w:szCs w:val="21"/>
                <w:lang w:eastAsia="cy-GB"/>
                <w14:ligatures w14:val="none"/>
              </w:rPr>
              <w:t>Primary Service User Group</w:t>
            </w:r>
          </w:p>
        </w:tc>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vAlign w:val="center"/>
            <w:hideMark/>
          </w:tcPr>
          <w:p w:rsidRPr="008569D7" w:rsidR="0032204E" w:rsidP="0032204E" w:rsidRDefault="0032204E" w14:paraId="41348AB0" w14:textId="290448DC">
            <w:pPr>
              <w:spacing w:after="200" w:line="276" w:lineRule="auto"/>
              <w:rPr>
                <w:rFonts w:ascii="Calibri" w:hAnsi="Calibri" w:eastAsia="MS Gothic" w:cs="Calibri"/>
                <w:b/>
                <w:bCs/>
                <w:kern w:val="0"/>
                <w14:ligatures w14:val="none"/>
              </w:rPr>
            </w:pPr>
            <w:r w:rsidRPr="008569D7">
              <w:rPr>
                <w:rFonts w:ascii="Calibri" w:hAnsi="Calibri" w:eastAsia="MS Gothic" w:cs="Calibri"/>
                <w:b/>
                <w:bCs/>
                <w:kern w:val="0"/>
                <w14:ligatures w14:val="none"/>
              </w:rPr>
              <w:t> </w:t>
            </w:r>
            <w:r w:rsidRPr="008569D7" w:rsidR="00B20D21">
              <w:rPr>
                <w:rFonts w:ascii="Calibri" w:hAnsi="Calibri" w:eastAsia="Times New Roman" w:cs="Calibri"/>
                <w:b/>
                <w:bCs/>
                <w:kern w:val="0"/>
                <w:lang w:eastAsia="cy-GB"/>
                <w14:ligatures w14:val="none"/>
              </w:rPr>
              <w:t>Drop-in</w:t>
            </w:r>
            <w:r w:rsidRPr="008569D7" w:rsidR="00B20D21">
              <w:rPr>
                <w:rFonts w:ascii="Calibri" w:hAnsi="Calibri" w:eastAsia="Times New Roman" w:cs="Calibri"/>
                <w:kern w:val="0"/>
                <w:lang w:eastAsia="cy-GB"/>
                <w14:ligatures w14:val="none"/>
              </w:rPr>
              <w:t>: Young people who are homeless / At risk of homelessness / Issues relating to living situation</w:t>
            </w:r>
          </w:p>
          <w:p w:rsidRPr="008569D7" w:rsidR="0032204E" w:rsidP="0032204E" w:rsidRDefault="0032204E" w14:paraId="17B9606D" w14:textId="77777777">
            <w:pPr>
              <w:spacing w:after="200" w:line="276" w:lineRule="auto"/>
              <w:rPr>
                <w:rFonts w:ascii="Calibri" w:hAnsi="Calibri" w:eastAsia="MS Gothic" w:cs="Calibri"/>
                <w:b/>
                <w:bCs/>
                <w:kern w:val="0"/>
                <w14:ligatures w14:val="none"/>
              </w:rPr>
            </w:pPr>
          </w:p>
        </w:tc>
      </w:tr>
      <w:tr w:rsidRPr="008569D7" w:rsidR="0032204E" w:rsidTr="4B991855" w14:paraId="31E9760B" w14:textId="77777777">
        <w:trPr>
          <w:trHeight w:val="402"/>
        </w:trPr>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333333"/>
            <w:tcMar/>
            <w:vAlign w:val="center"/>
            <w:hideMark/>
          </w:tcPr>
          <w:p w:rsidRPr="008569D7" w:rsidR="0032204E" w:rsidP="0032204E" w:rsidRDefault="00B20D21" w14:paraId="60A62C57" w14:textId="1BAFEEFE">
            <w:pPr>
              <w:spacing w:after="200" w:line="276" w:lineRule="auto"/>
              <w:rPr>
                <w:rFonts w:ascii="Calibri" w:hAnsi="Calibri" w:eastAsia="MS Gothic" w:cs="Times New Roman"/>
                <w:b/>
                <w:bCs/>
                <w:kern w:val="0"/>
                <w14:ligatures w14:val="none"/>
              </w:rPr>
            </w:pPr>
            <w:r w:rsidRPr="008569D7">
              <w:rPr>
                <w:rFonts w:ascii="Segoe UI" w:hAnsi="Segoe UI" w:eastAsia="Times New Roman" w:cs="Segoe UI"/>
                <w:b/>
                <w:bCs/>
                <w:kern w:val="0"/>
                <w:sz w:val="21"/>
                <w:szCs w:val="21"/>
                <w:lang w:eastAsia="cy-GB"/>
                <w14:ligatures w14:val="none"/>
              </w:rPr>
              <w:t>Age Range</w:t>
            </w:r>
          </w:p>
        </w:tc>
        <w:tc>
          <w:tcPr>
            <w:tcW w:w="0" w:type="auto"/>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vAlign w:val="center"/>
            <w:hideMark/>
          </w:tcPr>
          <w:p w:rsidRPr="008569D7" w:rsidR="0032204E" w:rsidP="0032204E" w:rsidRDefault="0032204E" w14:paraId="61FFEB0E" w14:textId="77777777">
            <w:pPr>
              <w:spacing w:after="200" w:line="276" w:lineRule="auto"/>
              <w:rPr>
                <w:rFonts w:ascii="Calibri" w:hAnsi="Calibri" w:eastAsia="MS Gothic" w:cs="Calibri"/>
                <w:b/>
                <w:bCs/>
                <w:kern w:val="0"/>
                <w14:ligatures w14:val="none"/>
              </w:rPr>
            </w:pPr>
            <w:r w:rsidRPr="008569D7">
              <w:rPr>
                <w:rFonts w:ascii="Calibri" w:hAnsi="Calibri" w:eastAsia="MS Gothic" w:cs="Calibri"/>
                <w:b/>
                <w:bCs/>
                <w:kern w:val="0"/>
                <w14:ligatures w14:val="none"/>
              </w:rPr>
              <w:t>16 - 24 </w:t>
            </w:r>
          </w:p>
        </w:tc>
      </w:tr>
    </w:tbl>
    <w:p w:rsidRPr="008569D7" w:rsidR="002F7B6B" w:rsidP="4B991855" w:rsidRDefault="002F7B6B" w14:paraId="624C64E9" w14:textId="170DB0D2">
      <w:pPr>
        <w:spacing w:before="100" w:beforeAutospacing="on" w:after="100" w:afterAutospacing="on" w:line="300" w:lineRule="atLeast"/>
        <w:outlineLvl w:val="0"/>
        <w:rPr>
          <w:rFonts w:ascii="Segoe UI" w:hAnsi="Segoe UI" w:eastAsia="Times New Roman" w:cs="Segoe UI"/>
          <w:b w:val="1"/>
          <w:bCs w:val="1"/>
          <w:kern w:val="36"/>
          <w:sz w:val="48"/>
          <w:szCs w:val="48"/>
          <w:lang w:eastAsia="cy-GB"/>
          <w14:ligatures w14:val="none"/>
        </w:rPr>
      </w:pPr>
      <w:r w:rsidR="0462E4DB">
        <w:drawing>
          <wp:inline wp14:editId="19B58ABB" wp14:anchorId="477CF363">
            <wp:extent cx="5483714" cy="898358"/>
            <wp:effectExtent l="0" t="0" r="3175" b="0"/>
            <wp:docPr id="1361366464"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7"/>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5527949" cy="905605"/>
                    </a:xfrm>
                    <a:prstGeom prst="rect">
                      <a:avLst/>
                    </a:prstGeom>
                    <a:noFill/>
                  </pic:spPr>
                </pic:pic>
              </a:graphicData>
            </a:graphic>
          </wp:inline>
        </w:drawing>
      </w:r>
    </w:p>
    <w:p w:rsidRPr="008569D7" w:rsidR="00AB43EA" w:rsidP="00AB43EA" w:rsidRDefault="002F7B6B" w14:paraId="39851EEF" w14:textId="274E4B16">
      <w:pPr>
        <w:spacing w:before="100" w:beforeAutospacing="1" w:after="100" w:afterAutospacing="1" w:line="300" w:lineRule="atLeast"/>
        <w:outlineLvl w:val="1"/>
        <w:rPr>
          <w:rFonts w:eastAsia="Times New Roman" w:asciiTheme="majorHAnsi" w:hAnsiTheme="majorHAnsi" w:cstheme="majorHAnsi"/>
          <w:b/>
          <w:bCs/>
          <w:color w:val="4472C4" w:themeColor="accent1"/>
          <w:kern w:val="0"/>
          <w:sz w:val="36"/>
          <w:szCs w:val="36"/>
          <w:lang w:eastAsia="cy-GB"/>
          <w14:ligatures w14:val="none"/>
        </w:rPr>
      </w:pPr>
      <w:r w:rsidRPr="008569D7">
        <w:rPr>
          <w:rFonts w:eastAsia="Times New Roman" w:asciiTheme="majorHAnsi" w:hAnsiTheme="majorHAnsi" w:cstheme="majorHAnsi"/>
          <w:b/>
          <w:bCs/>
          <w:color w:val="4472C4" w:themeColor="accent1"/>
          <w:kern w:val="0"/>
          <w:sz w:val="36"/>
          <w:szCs w:val="36"/>
          <w:lang w:eastAsia="cy-GB"/>
          <w14:ligatures w14:val="none"/>
        </w:rPr>
        <w:t>C</w:t>
      </w:r>
      <w:r w:rsidRPr="008569D7" w:rsidR="00AB43EA">
        <w:rPr>
          <w:rFonts w:eastAsia="Times New Roman" w:asciiTheme="majorHAnsi" w:hAnsiTheme="majorHAnsi" w:cstheme="majorHAnsi"/>
          <w:b/>
          <w:bCs/>
          <w:color w:val="4472C4" w:themeColor="accent1"/>
          <w:kern w:val="0"/>
          <w:sz w:val="36"/>
          <w:szCs w:val="36"/>
          <w:lang w:eastAsia="cy-GB"/>
          <w14:ligatures w14:val="none"/>
        </w:rPr>
        <w:t>ontents</w:t>
      </w:r>
    </w:p>
    <w:p w:rsidRPr="008569D7" w:rsidR="00630997" w:rsidP="00630997" w:rsidRDefault="002F7B6B" w14:paraId="35B69690"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Introduction</w:t>
      </w:r>
    </w:p>
    <w:p w:rsidRPr="008569D7" w:rsidR="00630997" w:rsidP="00630997" w:rsidRDefault="002F7B6B" w14:paraId="4A8231D4"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Context</w:t>
      </w:r>
    </w:p>
    <w:p w:rsidRPr="008569D7" w:rsidR="00630997" w:rsidP="00630997" w:rsidRDefault="002F7B6B" w14:paraId="2D6675A8"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Purpose of the Service</w:t>
      </w:r>
    </w:p>
    <w:p w:rsidRPr="008569D7" w:rsidR="00630997" w:rsidP="00630997" w:rsidRDefault="002F7B6B" w14:paraId="0D991967"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Strategic Direction</w:t>
      </w:r>
    </w:p>
    <w:p w:rsidRPr="008569D7" w:rsidR="00630997" w:rsidP="00630997" w:rsidRDefault="002F7B6B" w14:paraId="7B2834EF"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‘Drop-In’ Spaces</w:t>
      </w:r>
    </w:p>
    <w:p w:rsidRPr="008569D7" w:rsidR="00630997" w:rsidP="00630997" w:rsidRDefault="002F7B6B" w14:paraId="354C8726"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Core Service Offer</w:t>
      </w:r>
      <w:r w:rsidRPr="008569D7">
        <w:rPr>
          <w:rFonts w:ascii="Calibri" w:hAnsi="Calibri" w:eastAsia="Times New Roman" w:cs="Calibri"/>
          <w:kern w:val="0"/>
          <w:sz w:val="28"/>
          <w:szCs w:val="28"/>
          <w:lang w:eastAsia="cy-GB"/>
          <w14:ligatures w14:val="none"/>
        </w:rPr>
        <w:br/>
      </w:r>
      <w:r w:rsidRPr="008569D7">
        <w:rPr>
          <w:lang w:eastAsia="cy-GB"/>
        </w:rPr>
        <w:t> </w:t>
      </w:r>
      <w:r w:rsidRPr="008569D7">
        <w:rPr>
          <w:rFonts w:ascii="Calibri" w:hAnsi="Calibri" w:eastAsia="Times New Roman" w:cs="Calibri"/>
          <w:kern w:val="0"/>
          <w:sz w:val="28"/>
          <w:szCs w:val="28"/>
          <w:lang w:eastAsia="cy-GB"/>
          <w14:ligatures w14:val="none"/>
        </w:rPr>
        <w:t>6.1 Access to Wider Support and Services</w:t>
      </w:r>
      <w:r w:rsidRPr="008569D7">
        <w:rPr>
          <w:rFonts w:ascii="Calibri" w:hAnsi="Calibri" w:eastAsia="Times New Roman" w:cs="Calibri"/>
          <w:kern w:val="0"/>
          <w:sz w:val="28"/>
          <w:szCs w:val="28"/>
          <w:lang w:eastAsia="cy-GB"/>
          <w14:ligatures w14:val="none"/>
        </w:rPr>
        <w:br/>
      </w:r>
      <w:r w:rsidRPr="008569D7">
        <w:rPr>
          <w:lang w:eastAsia="cy-GB"/>
        </w:rPr>
        <w:t> </w:t>
      </w:r>
      <w:r w:rsidRPr="008569D7">
        <w:rPr>
          <w:rFonts w:ascii="Calibri" w:hAnsi="Calibri" w:eastAsia="Times New Roman" w:cs="Calibri"/>
          <w:kern w:val="0"/>
          <w:sz w:val="28"/>
          <w:szCs w:val="28"/>
          <w:lang w:eastAsia="cy-GB"/>
          <w14:ligatures w14:val="none"/>
        </w:rPr>
        <w:t>6.2 Digital Intervention and Remote Support</w:t>
      </w:r>
    </w:p>
    <w:p w:rsidRPr="008569D7" w:rsidR="00630997" w:rsidP="00630997" w:rsidRDefault="002F7B6B" w14:paraId="4E26651F"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Expected Outcomes</w:t>
      </w:r>
    </w:p>
    <w:p w:rsidRPr="008569D7" w:rsidR="00630997" w:rsidP="00630997" w:rsidRDefault="002F7B6B" w14:paraId="7F8D1A20"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Approach and Working Principles</w:t>
      </w:r>
    </w:p>
    <w:p w:rsidRPr="008569D7" w:rsidR="00630997" w:rsidP="00630997" w:rsidRDefault="002F7B6B" w14:paraId="6DA86AB2"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Staffing Requirements</w:t>
      </w:r>
    </w:p>
    <w:p w:rsidRPr="008569D7" w:rsidR="00630997" w:rsidP="00630997" w:rsidRDefault="002F7B6B" w14:paraId="2BB5CE53"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Contract Value</w:t>
      </w:r>
      <w:r w:rsidRPr="008569D7">
        <w:rPr>
          <w:rFonts w:ascii="Calibri" w:hAnsi="Calibri" w:eastAsia="Times New Roman" w:cs="Calibri"/>
          <w:kern w:val="0"/>
          <w:sz w:val="28"/>
          <w:szCs w:val="28"/>
          <w:lang w:eastAsia="cy-GB"/>
          <w14:ligatures w14:val="none"/>
        </w:rPr>
        <w:br/>
      </w:r>
      <w:r w:rsidRPr="008569D7">
        <w:rPr>
          <w:lang w:eastAsia="cy-GB"/>
        </w:rPr>
        <w:t> </w:t>
      </w:r>
      <w:r w:rsidRPr="008569D7">
        <w:rPr>
          <w:rFonts w:ascii="Calibri" w:hAnsi="Calibri" w:eastAsia="Times New Roman" w:cs="Calibri"/>
          <w:kern w:val="0"/>
          <w:sz w:val="28"/>
          <w:szCs w:val="28"/>
          <w:lang w:eastAsia="cy-GB"/>
          <w14:ligatures w14:val="none"/>
        </w:rPr>
        <w:t>10.1 Contract Expansion</w:t>
      </w:r>
    </w:p>
    <w:p w:rsidRPr="008569D7" w:rsidR="00630997" w:rsidP="00630997" w:rsidRDefault="002F7B6B" w14:paraId="34641AFE"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Funding, Added Value and Non-Duplication</w:t>
      </w:r>
    </w:p>
    <w:p w:rsidRPr="008569D7" w:rsidR="00630997" w:rsidP="00630997" w:rsidRDefault="002F7B6B" w14:paraId="2EB6B390"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Service Development and Partnership Working</w:t>
      </w:r>
    </w:p>
    <w:p w:rsidRPr="008569D7" w:rsidR="00630997" w:rsidP="00630997" w:rsidRDefault="002F7B6B" w14:paraId="05A2CF44" w14:textId="73A3BEE5">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Safeguarding and Risk Management</w:t>
      </w:r>
      <w:r w:rsidRPr="008569D7">
        <w:rPr>
          <w:rFonts w:ascii="Calibri" w:hAnsi="Calibri" w:eastAsia="Times New Roman" w:cs="Calibri"/>
          <w:kern w:val="0"/>
          <w:sz w:val="28"/>
          <w:szCs w:val="28"/>
          <w:lang w:eastAsia="cy-GB"/>
          <w14:ligatures w14:val="none"/>
        </w:rPr>
        <w:br/>
      </w:r>
      <w:r w:rsidRPr="008569D7">
        <w:rPr>
          <w:lang w:eastAsia="cy-GB"/>
        </w:rPr>
        <w:t> </w:t>
      </w:r>
      <w:r w:rsidRPr="008569D7">
        <w:rPr>
          <w:rFonts w:ascii="Calibri" w:hAnsi="Calibri" w:eastAsia="Times New Roman" w:cs="Calibri"/>
          <w:kern w:val="0"/>
          <w:sz w:val="28"/>
          <w:szCs w:val="28"/>
          <w:lang w:eastAsia="cy-GB"/>
          <w14:ligatures w14:val="none"/>
        </w:rPr>
        <w:t>13.1 Contacts and Escalation Pathways</w:t>
      </w:r>
      <w:r w:rsidRPr="008569D7">
        <w:rPr>
          <w:rFonts w:ascii="Calibri" w:hAnsi="Calibri" w:eastAsia="Times New Roman" w:cs="Calibri"/>
          <w:kern w:val="0"/>
          <w:sz w:val="28"/>
          <w:szCs w:val="28"/>
          <w:lang w:eastAsia="cy-GB"/>
          <w14:ligatures w14:val="none"/>
        </w:rPr>
        <w:br/>
      </w:r>
      <w:r w:rsidRPr="008569D7">
        <w:rPr>
          <w:lang w:eastAsia="cy-GB"/>
        </w:rPr>
        <w:t> </w:t>
      </w:r>
      <w:r w:rsidRPr="008569D7">
        <w:rPr>
          <w:rFonts w:ascii="Calibri" w:hAnsi="Calibri" w:eastAsia="Times New Roman" w:cs="Calibri"/>
          <w:kern w:val="0"/>
          <w:sz w:val="28"/>
          <w:szCs w:val="28"/>
          <w:lang w:eastAsia="cy-GB"/>
          <w14:ligatures w14:val="none"/>
        </w:rPr>
        <w:t>13.2 Additional Policies and Compliance</w:t>
      </w:r>
      <w:r w:rsidRPr="008569D7">
        <w:rPr>
          <w:rFonts w:ascii="Calibri" w:hAnsi="Calibri" w:eastAsia="Times New Roman" w:cs="Calibri"/>
          <w:kern w:val="0"/>
          <w:sz w:val="28"/>
          <w:szCs w:val="28"/>
          <w:lang w:eastAsia="cy-GB"/>
          <w14:ligatures w14:val="none"/>
        </w:rPr>
        <w:br/>
      </w:r>
      <w:r w:rsidRPr="008569D7">
        <w:rPr>
          <w:lang w:eastAsia="cy-GB"/>
        </w:rPr>
        <w:t> </w:t>
      </w:r>
      <w:r w:rsidRPr="008569D7">
        <w:rPr>
          <w:rFonts w:ascii="Calibri" w:hAnsi="Calibri" w:eastAsia="Times New Roman" w:cs="Calibri"/>
          <w:kern w:val="0"/>
          <w:sz w:val="28"/>
          <w:szCs w:val="28"/>
          <w:lang w:eastAsia="cy-GB"/>
          <w14:ligatures w14:val="none"/>
        </w:rPr>
        <w:t>13.3 Health and Safet</w:t>
      </w:r>
      <w:r w:rsidRPr="008569D7" w:rsidR="00630997">
        <w:rPr>
          <w:rFonts w:ascii="Calibri" w:hAnsi="Calibri" w:eastAsia="Times New Roman" w:cs="Calibri"/>
          <w:kern w:val="0"/>
          <w:sz w:val="28"/>
          <w:szCs w:val="28"/>
          <w:lang w:eastAsia="cy-GB"/>
          <w14:ligatures w14:val="none"/>
        </w:rPr>
        <w:t>y</w:t>
      </w:r>
    </w:p>
    <w:p w:rsidRPr="008569D7" w:rsidR="00630997" w:rsidP="00630997" w:rsidRDefault="002F7B6B" w14:paraId="329BDBFB" w14:textId="77777777">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Complaints</w:t>
      </w:r>
    </w:p>
    <w:p w:rsidRPr="008569D7" w:rsidR="00630997" w:rsidP="4B991855" w:rsidRDefault="002F7B6B" w14:paraId="6EA772A9" w14:textId="7D9AA79F">
      <w:pPr>
        <w:pStyle w:val="ListParagraph"/>
        <w:numPr>
          <w:ilvl w:val="0"/>
          <w:numId w:val="39"/>
        </w:numPr>
        <w:spacing w:before="100" w:beforeAutospacing="on" w:after="100" w:afterAutospacing="on" w:line="300" w:lineRule="auto"/>
        <w:rPr>
          <w:rFonts w:ascii="Calibri" w:hAnsi="Calibri" w:eastAsia="Times New Roman" w:cs="Calibri"/>
          <w:kern w:val="0"/>
          <w:sz w:val="28"/>
          <w:szCs w:val="28"/>
          <w:lang w:eastAsia="cy-GB"/>
          <w14:ligatures w14:val="none"/>
        </w:rPr>
      </w:pPr>
      <w:r w:rsidRPr="008569D7" w:rsidR="0462E4DB">
        <w:rPr>
          <w:rFonts w:ascii="Calibri" w:hAnsi="Calibri" w:eastAsia="Times New Roman" w:cs="Calibri"/>
          <w:kern w:val="0"/>
          <w:sz w:val="28"/>
          <w:szCs w:val="28"/>
          <w:lang w:eastAsia="cy-GB"/>
          <w14:ligatures w14:val="none"/>
        </w:rPr>
        <w:t>Monitoring, Evaluation and Reporting</w:t>
      </w:r>
      <w:r w:rsidRPr="008569D7">
        <w:rPr>
          <w:rFonts w:ascii="Calibri" w:hAnsi="Calibri" w:eastAsia="Times New Roman" w:cs="Calibri"/>
          <w:kern w:val="0"/>
          <w:sz w:val="28"/>
          <w:szCs w:val="28"/>
          <w:lang w:eastAsia="cy-GB"/>
          <w14:ligatures w14:val="none"/>
        </w:rPr>
        <w:br/>
      </w:r>
      <w:r w:rsidRPr="008569D7" w:rsidR="0462E4DB">
        <w:rPr>
          <w:lang w:eastAsia="cy-GB"/>
        </w:rPr>
        <w:t> </w:t>
      </w:r>
      <w:r w:rsidRPr="008569D7" w:rsidR="0462E4DB">
        <w:rPr>
          <w:rFonts w:ascii="Calibri" w:hAnsi="Calibri" w:eastAsia="Times New Roman" w:cs="Calibri"/>
          <w:kern w:val="0"/>
          <w:sz w:val="28"/>
          <w:szCs w:val="28"/>
          <w:lang w:eastAsia="cy-GB"/>
          <w14:ligatures w14:val="none"/>
        </w:rPr>
        <w:t>15.1 Performance Monitoring</w:t>
      </w:r>
      <w:r w:rsidRPr="008569D7">
        <w:rPr>
          <w:rFonts w:ascii="Calibri" w:hAnsi="Calibri" w:eastAsia="Times New Roman" w:cs="Calibri"/>
          <w:kern w:val="0"/>
          <w:sz w:val="28"/>
          <w:szCs w:val="28"/>
          <w:lang w:eastAsia="cy-GB"/>
          <w14:ligatures w14:val="none"/>
        </w:rPr>
        <w:br/>
      </w:r>
      <w:r w:rsidRPr="008569D7" w:rsidR="0462E4DB">
        <w:rPr>
          <w:lang w:eastAsia="cy-GB"/>
        </w:rPr>
        <w:t> </w:t>
      </w:r>
      <w:r w:rsidRPr="008569D7" w:rsidR="0462E4DB">
        <w:rPr>
          <w:rFonts w:ascii="Calibri" w:hAnsi="Calibri" w:eastAsia="Times New Roman" w:cs="Calibri"/>
          <w:kern w:val="0"/>
          <w:sz w:val="28"/>
          <w:szCs w:val="28"/>
          <w:lang w:eastAsia="cy-GB"/>
          <w14:ligatures w14:val="none"/>
        </w:rPr>
        <w:t xml:space="preserve">15.2 </w:t>
      </w:r>
      <w:r w:rsidRPr="4B991855" w:rsidR="1473CF80">
        <w:rPr>
          <w:rFonts w:ascii="Calibri" w:hAnsi="Calibri" w:eastAsia="Times New Roman" w:cs="Calibri"/>
          <w:sz w:val="28"/>
          <w:szCs w:val="28"/>
          <w:lang w:eastAsia="cy-GB"/>
        </w:rPr>
        <w:t>HSG</w:t>
      </w:r>
      <w:r w:rsidRPr="4B991855" w:rsidR="0462E4DB">
        <w:rPr>
          <w:rFonts w:ascii="Calibri" w:hAnsi="Calibri" w:eastAsia="Times New Roman" w:cs="Calibri"/>
          <w:sz w:val="28"/>
          <w:szCs w:val="28"/>
          <w:lang w:eastAsia="cy-GB"/>
        </w:rPr>
        <w:t xml:space="preserve"> Reporting Requirements</w:t>
      </w:r>
      <w:r>
        <w:br/>
      </w:r>
      <w:r w:rsidRPr="4B991855" w:rsidR="0462E4DB">
        <w:rPr>
          <w:lang w:eastAsia="cy-GB"/>
        </w:rPr>
        <w:t> </w:t>
      </w:r>
      <w:r w:rsidRPr="4B991855" w:rsidR="0462E4DB">
        <w:rPr>
          <w:rFonts w:ascii="Calibri" w:hAnsi="Calibri" w:eastAsia="Times New Roman" w:cs="Calibri"/>
          <w:sz w:val="28"/>
          <w:szCs w:val="28"/>
          <w:lang w:eastAsia="cy-GB"/>
        </w:rPr>
        <w:t>15.3 Monitoring by the Commissioner</w:t>
      </w:r>
      <w:r>
        <w:br/>
      </w:r>
      <w:r w:rsidRPr="4B991855" w:rsidR="0462E4DB">
        <w:rPr>
          <w:lang w:eastAsia="cy-GB"/>
        </w:rPr>
        <w:t> </w:t>
      </w:r>
      <w:r w:rsidRPr="4B991855" w:rsidR="0462E4DB">
        <w:rPr>
          <w:rFonts w:ascii="Calibri" w:hAnsi="Calibri" w:eastAsia="Times New Roman" w:cs="Calibri"/>
          <w:sz w:val="28"/>
          <w:szCs w:val="28"/>
          <w:lang w:eastAsia="cy-GB"/>
        </w:rPr>
        <w:t>15.4 Inspection and Audit</w:t>
      </w:r>
      <w:r>
        <w:br/>
      </w:r>
      <w:r w:rsidRPr="4B991855" w:rsidR="0462E4DB">
        <w:rPr>
          <w:lang w:eastAsia="cy-GB"/>
        </w:rPr>
        <w:t> </w:t>
      </w:r>
      <w:r w:rsidRPr="4B991855" w:rsidR="0462E4DB">
        <w:rPr>
          <w:rFonts w:ascii="Calibri" w:hAnsi="Calibri" w:eastAsia="Times New Roman" w:cs="Calibri"/>
          <w:sz w:val="28"/>
          <w:szCs w:val="28"/>
          <w:lang w:eastAsia="cy-GB"/>
        </w:rPr>
        <w:t>15.5 Learning and Service Development</w:t>
      </w:r>
    </w:p>
    <w:p w:rsidR="002F7B6B" w:rsidP="00630997" w:rsidRDefault="002F7B6B" w14:paraId="6881C35E" w14:textId="0228B4A9">
      <w:pPr>
        <w:pStyle w:val="ListParagraph"/>
        <w:numPr>
          <w:ilvl w:val="0"/>
          <w:numId w:val="39"/>
        </w:numPr>
        <w:spacing w:before="100" w:beforeAutospacing="1" w:after="100" w:afterAutospacing="1" w:line="300" w:lineRule="auto"/>
        <w:rPr>
          <w:rFonts w:ascii="Calibri" w:hAnsi="Calibri" w:eastAsia="Times New Roman" w:cs="Calibri"/>
          <w:kern w:val="0"/>
          <w:sz w:val="28"/>
          <w:szCs w:val="28"/>
          <w:lang w:eastAsia="cy-GB"/>
          <w14:ligatures w14:val="none"/>
        </w:rPr>
      </w:pPr>
      <w:r w:rsidRPr="008569D7">
        <w:rPr>
          <w:rFonts w:ascii="Calibri" w:hAnsi="Calibri" w:eastAsia="Times New Roman" w:cs="Calibri"/>
          <w:kern w:val="0"/>
          <w:sz w:val="28"/>
          <w:szCs w:val="28"/>
          <w:lang w:eastAsia="cy-GB"/>
          <w14:ligatures w14:val="none"/>
        </w:rPr>
        <w:t>Exit and Termination Arrangements</w:t>
      </w:r>
    </w:p>
    <w:p w:rsidR="005D62B4" w:rsidRDefault="005D62B4" w14:paraId="7038E259" w14:textId="77777777"/>
    <w:p w:rsidR="4B991855" w:rsidRDefault="4B991855" w14:paraId="06FE21FC" w14:textId="77195F88"/>
    <w:p w:rsidR="4B991855" w:rsidRDefault="4B991855" w14:paraId="27ADBF6A" w14:textId="3F08592C"/>
    <w:p w:rsidRPr="008569D7" w:rsidR="00AB43EA" w:rsidP="00AB43EA" w:rsidRDefault="00AB43EA" w14:paraId="463099DE" w14:textId="77777777">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 Introduction</w:t>
      </w:r>
    </w:p>
    <w:p w:rsidRPr="008569D7" w:rsidR="00AB43EA" w:rsidP="00AB43EA" w:rsidRDefault="00AB43EA" w14:paraId="518BB73C"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Gwynedd Council intends to commission a ‘Drop-In’ service for young people across the County. This service will provide accessible, flexible and timely access to housing-related support, with a clear focus on homelessness prevention through early and effective intervention.</w:t>
      </w:r>
    </w:p>
    <w:p w:rsidRPr="008569D7" w:rsidR="00AB43EA" w:rsidP="00AB43EA" w:rsidRDefault="00AB43EA" w14:paraId="78014D9D"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will be funded through the Housing Support Grant (HSG) and will form a key part of the Council’s strategic response to preventing homelessness among young people.</w:t>
      </w:r>
    </w:p>
    <w:p w:rsidRPr="008569D7" w:rsidR="00AB43EA" w:rsidP="00AB43EA" w:rsidRDefault="00AB43EA" w14:paraId="650B718D" w14:textId="0D8B6D9A">
      <w:pPr>
        <w:spacing w:after="0" w:line="300" w:lineRule="atLeast"/>
        <w:rPr>
          <w:rFonts w:ascii="Segoe UI" w:hAnsi="Segoe UI" w:eastAsia="Times New Roman" w:cs="Segoe UI"/>
          <w:kern w:val="0"/>
          <w:sz w:val="21"/>
          <w:szCs w:val="21"/>
          <w:lang w:eastAsia="cy-GB"/>
          <w14:ligatures w14:val="none"/>
        </w:rPr>
      </w:pPr>
    </w:p>
    <w:p w:rsidRPr="008569D7" w:rsidR="00D92569" w:rsidP="005F3754" w:rsidRDefault="00AB43EA" w14:paraId="7CC75713" w14:textId="28DACB87">
      <w:pPr>
        <w:spacing w:before="100" w:beforeAutospacing="1" w:after="100" w:afterAutospacing="1" w:line="300" w:lineRule="atLeast"/>
        <w:outlineLvl w:val="1"/>
        <w:rPr>
          <w:rFonts w:eastAsia="Times New Roman" w:asciiTheme="majorHAnsi" w:hAnsiTheme="majorHAnsi" w:cstheme="majorHAnsi"/>
          <w:b/>
          <w:bCs/>
          <w:color w:val="2F5496" w:themeColor="accent1" w:themeShade="BF"/>
          <w:kern w:val="0"/>
          <w:lang w:eastAsia="cy-GB"/>
          <w14:ligatures w14:val="none"/>
        </w:rPr>
      </w:pPr>
      <w:r w:rsidRPr="008569D7">
        <w:rPr>
          <w:rFonts w:eastAsia="Times New Roman" w:cstheme="minorHAnsi"/>
          <w:b/>
          <w:bCs/>
          <w:color w:val="2F5496" w:themeColor="accent1" w:themeShade="BF"/>
          <w:kern w:val="0"/>
          <w:sz w:val="28"/>
          <w:szCs w:val="28"/>
          <w:lang w:eastAsia="cy-GB"/>
          <w14:ligatures w14:val="none"/>
        </w:rPr>
        <w:t>2. Context</w:t>
      </w:r>
    </w:p>
    <w:p w:rsidRPr="008569D7" w:rsidR="005F3754" w:rsidP="005F3754" w:rsidRDefault="005F3754" w14:paraId="760E91A4" w14:textId="6E5C1459">
      <w:pPr>
        <w:spacing w:after="0"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Gwynedd has seen a significant increase in the number of homelessness presentations since 2020, with numbers continuing to remain high into the current year, 2025/26. The Rapid Rehousing Plan published during 2024 informs us, based on data and extensive research, that ‘Homelessness Prevention’ is a strategic priority </w:t>
      </w:r>
      <w:r w:rsidRPr="008569D7" w:rsidR="00E344DC">
        <w:rPr>
          <w:rFonts w:eastAsia="Times New Roman" w:asciiTheme="majorHAnsi" w:hAnsiTheme="majorHAnsi" w:cstheme="majorHAnsi"/>
          <w:kern w:val="0"/>
          <w:lang w:eastAsia="cy-GB"/>
          <w14:ligatures w14:val="none"/>
        </w:rPr>
        <w:t>for Gwynedd</w:t>
      </w:r>
      <w:r w:rsidR="00E344DC">
        <w:rPr>
          <w:rFonts w:eastAsia="Times New Roman" w:asciiTheme="majorHAnsi" w:hAnsiTheme="majorHAnsi" w:cstheme="majorHAnsi"/>
          <w:kern w:val="0"/>
          <w:lang w:eastAsia="cy-GB"/>
          <w14:ligatures w14:val="none"/>
        </w:rPr>
        <w:t xml:space="preserve"> Council</w:t>
      </w:r>
      <w:r w:rsidRPr="008569D7">
        <w:rPr>
          <w:rFonts w:eastAsia="Times New Roman" w:asciiTheme="majorHAnsi" w:hAnsiTheme="majorHAnsi" w:cstheme="majorHAnsi"/>
          <w:kern w:val="0"/>
          <w:lang w:eastAsia="cy-GB"/>
          <w14:ligatures w14:val="none"/>
        </w:rPr>
        <w:t>.</w:t>
      </w:r>
    </w:p>
    <w:p w:rsidRPr="008569D7" w:rsidR="005F3754" w:rsidP="005F3754" w:rsidRDefault="005F3754" w14:paraId="05AE80AF" w14:textId="77777777">
      <w:pPr>
        <w:spacing w:after="0" w:line="300" w:lineRule="atLeast"/>
        <w:rPr>
          <w:rFonts w:eastAsia="Times New Roman" w:asciiTheme="majorHAnsi" w:hAnsiTheme="majorHAnsi" w:cstheme="majorHAnsi"/>
          <w:kern w:val="0"/>
          <w:lang w:eastAsia="cy-GB"/>
          <w14:ligatures w14:val="none"/>
        </w:rPr>
      </w:pPr>
    </w:p>
    <w:p w:rsidRPr="008569D7" w:rsidR="005F3754" w:rsidP="005F3754" w:rsidRDefault="005F3754" w14:paraId="27F62821" w14:textId="77777777">
      <w:pPr>
        <w:spacing w:after="0"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There are specific interventions for young people, and we recognise the need to modernise services and ensure that a range of pathways are available at the appropriate time, i.e. from somewhere to turn for early intervention through to support within permanent accommodation. This will form part of the key themes to ensure that a meaningful and sufficient service is provided for the most vulnerable young people in the county.</w:t>
      </w:r>
    </w:p>
    <w:p w:rsidRPr="008569D7" w:rsidR="005F3754" w:rsidP="005F3754" w:rsidRDefault="005F3754" w14:paraId="0A257A6C" w14:textId="77777777">
      <w:pPr>
        <w:spacing w:after="0" w:line="300" w:lineRule="atLeast"/>
        <w:rPr>
          <w:rFonts w:eastAsia="Times New Roman" w:asciiTheme="majorHAnsi" w:hAnsiTheme="majorHAnsi" w:cstheme="majorHAnsi"/>
          <w:kern w:val="0"/>
          <w:lang w:eastAsia="cy-GB"/>
          <w14:ligatures w14:val="none"/>
        </w:rPr>
      </w:pPr>
    </w:p>
    <w:p w:rsidRPr="008569D7" w:rsidR="005F3754" w:rsidP="005F3754" w:rsidRDefault="005F3754" w14:paraId="296E5507" w14:textId="77777777">
      <w:pPr>
        <w:spacing w:after="0"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Following a needs assessment exercise undertaken in March 2026, it was reaffirmed that a high number of young people are using existing ‘drop-in’ provision. From reviews carried out annually of the ‘drop-in’ provision across the county, </w:t>
      </w:r>
      <w:proofErr w:type="gramStart"/>
      <w:r w:rsidRPr="008569D7">
        <w:rPr>
          <w:rFonts w:eastAsia="Times New Roman" w:asciiTheme="majorHAnsi" w:hAnsiTheme="majorHAnsi" w:cstheme="majorHAnsi"/>
          <w:kern w:val="0"/>
          <w:lang w:eastAsia="cy-GB"/>
          <w14:ligatures w14:val="none"/>
        </w:rPr>
        <w:t>it is clear that the</w:t>
      </w:r>
      <w:proofErr w:type="gramEnd"/>
      <w:r w:rsidRPr="008569D7">
        <w:rPr>
          <w:rFonts w:eastAsia="Times New Roman" w:asciiTheme="majorHAnsi" w:hAnsiTheme="majorHAnsi" w:cstheme="majorHAnsi"/>
          <w:kern w:val="0"/>
          <w:lang w:eastAsia="cy-GB"/>
          <w14:ligatures w14:val="none"/>
        </w:rPr>
        <w:t xml:space="preserve"> demand for this type of service and early intervention is significantly higher than the provision currently offered under the grant. It is also evident that there is insufficient provision across the </w:t>
      </w:r>
      <w:proofErr w:type="gramStart"/>
      <w:r w:rsidRPr="008569D7">
        <w:rPr>
          <w:rFonts w:eastAsia="Times New Roman" w:asciiTheme="majorHAnsi" w:hAnsiTheme="majorHAnsi" w:cstheme="majorHAnsi"/>
          <w:kern w:val="0"/>
          <w:lang w:eastAsia="cy-GB"/>
          <w14:ligatures w14:val="none"/>
        </w:rPr>
        <w:t>county as a whole</w:t>
      </w:r>
      <w:proofErr w:type="gramEnd"/>
      <w:r w:rsidRPr="008569D7">
        <w:rPr>
          <w:rFonts w:eastAsia="Times New Roman" w:asciiTheme="majorHAnsi" w:hAnsiTheme="majorHAnsi" w:cstheme="majorHAnsi"/>
          <w:kern w:val="0"/>
          <w:lang w:eastAsia="cy-GB"/>
          <w14:ligatures w14:val="none"/>
        </w:rPr>
        <w:t>.</w:t>
      </w:r>
    </w:p>
    <w:p w:rsidRPr="008569D7" w:rsidR="005F3754" w:rsidP="005F3754" w:rsidRDefault="005F3754" w14:paraId="559BEACC" w14:textId="77777777">
      <w:pPr>
        <w:spacing w:after="0" w:line="300" w:lineRule="atLeast"/>
        <w:rPr>
          <w:rFonts w:eastAsia="Times New Roman" w:asciiTheme="majorHAnsi" w:hAnsiTheme="majorHAnsi" w:cstheme="majorHAnsi"/>
          <w:kern w:val="0"/>
          <w:lang w:eastAsia="cy-GB"/>
          <w14:ligatures w14:val="none"/>
        </w:rPr>
      </w:pPr>
    </w:p>
    <w:p w:rsidRPr="008569D7" w:rsidR="005F3754" w:rsidP="005F3754" w:rsidRDefault="005F3754" w14:paraId="08C0BB9F" w14:textId="77777777">
      <w:pPr>
        <w:spacing w:after="0"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It is now timely to modernise the way in which services are delivered and commissioned, and to ensure a service for all. In turn, we will move forward with our commitment to ensure that homelessness is rare, brief, and not something that occurs repeatedly.</w:t>
      </w:r>
    </w:p>
    <w:p w:rsidRPr="008569D7" w:rsidR="005F3754" w:rsidP="005F3754" w:rsidRDefault="005F3754" w14:paraId="56A98211" w14:textId="77777777">
      <w:pPr>
        <w:spacing w:after="0" w:line="300" w:lineRule="atLeast"/>
        <w:rPr>
          <w:rFonts w:eastAsia="Times New Roman" w:asciiTheme="majorHAnsi" w:hAnsiTheme="majorHAnsi" w:cstheme="majorHAnsi"/>
          <w:kern w:val="0"/>
          <w:lang w:eastAsia="cy-GB"/>
          <w14:ligatures w14:val="none"/>
        </w:rPr>
      </w:pPr>
    </w:p>
    <w:p w:rsidR="00E344DC" w:rsidP="005F3754" w:rsidRDefault="005F3754" w14:paraId="6F6918DC" w14:textId="4DA7855E">
      <w:pPr>
        <w:pBdr>
          <w:bottom w:val="single" w:color="auto" w:sz="6" w:space="1"/>
        </w:pBdr>
        <w:spacing w:after="0"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It is extremely encouraging to see the outcomes that ‘drop-in’ provision delivers, and it is crucial that young people </w:t>
      </w:r>
      <w:proofErr w:type="gramStart"/>
      <w:r w:rsidRPr="008569D7">
        <w:rPr>
          <w:rFonts w:eastAsia="Times New Roman" w:asciiTheme="majorHAnsi" w:hAnsiTheme="majorHAnsi" w:cstheme="majorHAnsi"/>
          <w:kern w:val="0"/>
          <w:lang w:eastAsia="cy-GB"/>
          <w14:ligatures w14:val="none"/>
        </w:rPr>
        <w:t>are able to</w:t>
      </w:r>
      <w:proofErr w:type="gramEnd"/>
      <w:r w:rsidRPr="008569D7">
        <w:rPr>
          <w:rFonts w:eastAsia="Times New Roman" w:asciiTheme="majorHAnsi" w:hAnsiTheme="majorHAnsi" w:cstheme="majorHAnsi"/>
          <w:kern w:val="0"/>
          <w:lang w:eastAsia="cy-GB"/>
          <w14:ligatures w14:val="none"/>
        </w:rPr>
        <w:t xml:space="preserve"> benefit from and access flexible support where the door is open. This service is unique to young people, on their terms,</w:t>
      </w:r>
      <w:r w:rsidRPr="008569D7">
        <w:rPr>
          <w:rFonts w:ascii="Segoe UI" w:hAnsi="Segoe UI" w:eastAsia="Times New Roman" w:cs="Segoe UI"/>
          <w:kern w:val="0"/>
          <w:sz w:val="21"/>
          <w:szCs w:val="21"/>
          <w:lang w:eastAsia="cy-GB"/>
          <w14:ligatures w14:val="none"/>
        </w:rPr>
        <w:t xml:space="preserve"> </w:t>
      </w:r>
      <w:r w:rsidRPr="005D62B4">
        <w:rPr>
          <w:rFonts w:eastAsia="Times New Roman" w:asciiTheme="majorHAnsi" w:hAnsiTheme="majorHAnsi" w:cstheme="majorHAnsi"/>
          <w:kern w:val="0"/>
          <w:lang w:eastAsia="cy-GB"/>
          <w14:ligatures w14:val="none"/>
        </w:rPr>
        <w:t>and there at the right time</w:t>
      </w:r>
      <w:r w:rsidR="00E344DC">
        <w:rPr>
          <w:rFonts w:eastAsia="Times New Roman" w:asciiTheme="majorHAnsi" w:hAnsiTheme="majorHAnsi" w:cstheme="majorHAnsi"/>
          <w:kern w:val="0"/>
          <w:lang w:eastAsia="cy-GB"/>
          <w14:ligatures w14:val="none"/>
        </w:rPr>
        <w:t>.</w:t>
      </w:r>
    </w:p>
    <w:p w:rsidR="001E5ADC" w:rsidP="005F3754" w:rsidRDefault="001E5ADC" w14:paraId="188D5C9D" w14:textId="77777777">
      <w:pPr>
        <w:pBdr>
          <w:bottom w:val="single" w:color="auto" w:sz="6" w:space="1"/>
        </w:pBdr>
        <w:spacing w:after="0" w:line="300" w:lineRule="atLeast"/>
        <w:rPr>
          <w:rFonts w:eastAsia="Times New Roman" w:asciiTheme="majorHAnsi" w:hAnsiTheme="majorHAnsi" w:cstheme="majorHAnsi"/>
          <w:kern w:val="0"/>
          <w:lang w:eastAsia="cy-GB"/>
          <w14:ligatures w14:val="none"/>
        </w:rPr>
      </w:pPr>
    </w:p>
    <w:p w:rsidRPr="008569D7" w:rsidR="00AB43EA" w:rsidP="00AB43EA" w:rsidRDefault="00AB43EA" w14:paraId="3D80E59E" w14:textId="553FC755">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3. Purpose of the Service</w:t>
      </w:r>
    </w:p>
    <w:p w:rsidRPr="008569D7" w:rsidR="00AB43EA" w:rsidP="00AB43EA" w:rsidRDefault="00AB43EA" w14:paraId="14F5BF5C"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purpose of the service is to:</w:t>
      </w:r>
    </w:p>
    <w:p w:rsidRPr="008569D7" w:rsidR="00AB43EA" w:rsidP="00AB43EA" w:rsidRDefault="00AB43EA" w14:paraId="32BAE18C" w14:textId="77777777">
      <w:pPr>
        <w:numPr>
          <w:ilvl w:val="0"/>
          <w:numId w:val="1"/>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Prevent homelessness among young people</w:t>
      </w:r>
    </w:p>
    <w:p w:rsidRPr="008569D7" w:rsidR="00AB43EA" w:rsidP="00AB43EA" w:rsidRDefault="00AB43EA" w14:paraId="466B8962" w14:textId="77777777">
      <w:pPr>
        <w:numPr>
          <w:ilvl w:val="0"/>
          <w:numId w:val="1"/>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Provide easy access to support without barriers</w:t>
      </w:r>
    </w:p>
    <w:p w:rsidRPr="008569D7" w:rsidR="00AB43EA" w:rsidP="00AB43EA" w:rsidRDefault="00AB43EA" w14:paraId="2682400E" w14:textId="77777777">
      <w:pPr>
        <w:numPr>
          <w:ilvl w:val="0"/>
          <w:numId w:val="1"/>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Support housing stability and independence</w:t>
      </w:r>
    </w:p>
    <w:p w:rsidRPr="008569D7" w:rsidR="00AB43EA" w:rsidP="00AB43EA" w:rsidRDefault="00AB43EA" w14:paraId="6DE02F8D" w14:textId="77777777">
      <w:pPr>
        <w:numPr>
          <w:ilvl w:val="0"/>
          <w:numId w:val="1"/>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Improve wellbeing and resilience</w:t>
      </w:r>
    </w:p>
    <w:p w:rsidRPr="008569D7" w:rsidR="00AB43EA" w:rsidP="00AB43EA" w:rsidRDefault="00AB43EA" w14:paraId="4C8D2597" w14:textId="77777777">
      <w:pPr>
        <w:numPr>
          <w:ilvl w:val="0"/>
          <w:numId w:val="1"/>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Enable access to wider services through effective referrals</w:t>
      </w:r>
    </w:p>
    <w:p w:rsidRPr="008569D7" w:rsidR="00AB43EA" w:rsidP="00AB43EA" w:rsidRDefault="00AB43EA" w14:paraId="244728FA" w14:textId="77777777">
      <w:pPr>
        <w:spacing w:before="100" w:beforeAutospacing="1" w:after="100" w:afterAutospacing="1" w:line="300" w:lineRule="atLeast"/>
        <w:outlineLvl w:val="1"/>
        <w:rPr>
          <w:rFonts w:eastAsia="Times New Roman" w:asciiTheme="majorHAnsi" w:hAnsiTheme="majorHAnsi" w:cstheme="majorHAnsi"/>
          <w:b/>
          <w:bCs/>
          <w:color w:val="2F5496" w:themeColor="accent1" w:themeShade="BF"/>
          <w:kern w:val="0"/>
          <w:sz w:val="32"/>
          <w:szCs w:val="32"/>
          <w:lang w:eastAsia="cy-GB"/>
          <w14:ligatures w14:val="none"/>
        </w:rPr>
      </w:pPr>
      <w:r w:rsidRPr="008569D7">
        <w:rPr>
          <w:rFonts w:eastAsia="Times New Roman" w:cstheme="minorHAnsi"/>
          <w:b/>
          <w:bCs/>
          <w:color w:val="2F5496" w:themeColor="accent1" w:themeShade="BF"/>
          <w:kern w:val="0"/>
          <w:sz w:val="28"/>
          <w:szCs w:val="28"/>
          <w:lang w:eastAsia="cy-GB"/>
          <w14:ligatures w14:val="none"/>
        </w:rPr>
        <w:t>4. Strategic Direction</w:t>
      </w:r>
    </w:p>
    <w:p w:rsidRPr="008569D7" w:rsidR="005F3754" w:rsidP="005F3754" w:rsidRDefault="005F3754" w14:paraId="452C70D0"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This service operates within the legislative and strategic context of Wales, directly contributing to national and local priorities:</w:t>
      </w:r>
    </w:p>
    <w:p w:rsidRPr="008569D7" w:rsidR="005F3754" w:rsidP="00E344DC" w:rsidRDefault="005F3754" w14:paraId="54F0C24A"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Housing (Wales) Act 2014 – Supporting the Local Authority’s duties to prevent homelessness and to ensure that appropriate support is provided within statutory timeframes.</w:t>
      </w:r>
    </w:p>
    <w:p w:rsidRPr="008569D7" w:rsidR="005F3754" w:rsidP="00803781" w:rsidRDefault="005F3754" w14:paraId="335A6BD9"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Social Services and Well-being (Wales) Act 2014 – Promoting the well-being of individuals through a person-centred approach, emphasising the importance of multi-agency partnership working.</w:t>
      </w:r>
    </w:p>
    <w:p w:rsidRPr="008569D7" w:rsidR="005F3754" w:rsidP="00803781" w:rsidRDefault="005F3754" w14:paraId="2EE82AF1"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Well-being of Future Generations (Wales) Act 2015 – Ensuring that the service operates in line with the five ways of working: prevention, long-term, integration, collaboration, and involvement.</w:t>
      </w:r>
    </w:p>
    <w:p w:rsidRPr="008569D7" w:rsidR="005F3754" w:rsidP="00803781" w:rsidRDefault="005F3754" w14:paraId="1BC4217D"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United Nations Convention on the Rights of the Child (UNCRC) – Ensuring that the rights of children and young people underpin service provision, placing their voices and needs at the heart of all decisions.</w:t>
      </w:r>
    </w:p>
    <w:p w:rsidRPr="00803781" w:rsidR="005F3754" w:rsidP="00803781" w:rsidRDefault="001E67B2" w14:paraId="4E458C41" w14:textId="16834566">
      <w:pPr>
        <w:spacing w:before="100" w:beforeAutospacing="1" w:after="100" w:afterAutospacing="1" w:line="300" w:lineRule="atLeast"/>
        <w:rPr>
          <w:rFonts w:eastAsia="Times New Roman" w:asciiTheme="majorHAnsi" w:hAnsiTheme="majorHAnsi" w:cstheme="majorHAnsi"/>
          <w:i/>
          <w:iCs/>
          <w:kern w:val="0"/>
          <w:lang w:eastAsia="cy-GB"/>
          <w14:ligatures w14:val="none"/>
        </w:rPr>
      </w:pPr>
      <w:r w:rsidRPr="008569D7">
        <w:rPr>
          <w:rFonts w:eastAsia="Times New Roman" w:asciiTheme="majorHAnsi" w:hAnsiTheme="majorHAnsi" w:cstheme="majorHAnsi"/>
          <w:kern w:val="0"/>
          <w:lang w:eastAsia="cy-GB"/>
          <w14:ligatures w14:val="none"/>
        </w:rPr>
        <w:t>Ending</w:t>
      </w:r>
      <w:r w:rsidRPr="008569D7" w:rsidR="005F3754">
        <w:rPr>
          <w:rFonts w:eastAsia="Times New Roman" w:asciiTheme="majorHAnsi" w:hAnsiTheme="majorHAnsi" w:cstheme="majorHAnsi"/>
          <w:kern w:val="0"/>
          <w:lang w:eastAsia="cy-GB"/>
          <w14:ligatures w14:val="none"/>
        </w:rPr>
        <w:t xml:space="preserve"> Homelessness</w:t>
      </w:r>
      <w:r w:rsidRPr="008569D7">
        <w:rPr>
          <w:rFonts w:eastAsia="Times New Roman" w:asciiTheme="majorHAnsi" w:hAnsiTheme="majorHAnsi" w:cstheme="majorHAnsi"/>
          <w:kern w:val="0"/>
          <w:lang w:eastAsia="cy-GB"/>
          <w14:ligatures w14:val="none"/>
        </w:rPr>
        <w:t xml:space="preserve"> in Wales</w:t>
      </w:r>
      <w:r w:rsidRPr="008569D7" w:rsidR="005F3754">
        <w:rPr>
          <w:rFonts w:eastAsia="Times New Roman" w:asciiTheme="majorHAnsi" w:hAnsiTheme="majorHAnsi" w:cstheme="majorHAnsi"/>
          <w:kern w:val="0"/>
          <w:lang w:eastAsia="cy-GB"/>
          <w14:ligatures w14:val="none"/>
        </w:rPr>
        <w:t xml:space="preserve"> </w:t>
      </w:r>
      <w:r w:rsidRPr="008569D7" w:rsidR="005D62B4">
        <w:rPr>
          <w:rFonts w:eastAsia="Times New Roman" w:asciiTheme="majorHAnsi" w:hAnsiTheme="majorHAnsi" w:cstheme="majorHAnsi"/>
          <w:kern w:val="0"/>
          <w:lang w:eastAsia="cy-GB"/>
          <w14:ligatures w14:val="none"/>
        </w:rPr>
        <w:t>Strategy</w:t>
      </w:r>
      <w:r w:rsidRPr="008569D7" w:rsidR="005F3754">
        <w:rPr>
          <w:rFonts w:eastAsia="Times New Roman" w:asciiTheme="majorHAnsi" w:hAnsiTheme="majorHAnsi" w:cstheme="majorHAnsi"/>
          <w:kern w:val="0"/>
          <w:lang w:eastAsia="cy-GB"/>
          <w14:ligatures w14:val="none"/>
        </w:rPr>
        <w:t xml:space="preserve"> – Contributing to the national vision of making </w:t>
      </w:r>
      <w:r w:rsidRPr="00803781" w:rsidR="005F3754">
        <w:rPr>
          <w:rFonts w:eastAsia="Times New Roman" w:asciiTheme="majorHAnsi" w:hAnsiTheme="majorHAnsi" w:cstheme="majorHAnsi"/>
          <w:i/>
          <w:iCs/>
          <w:kern w:val="0"/>
          <w:lang w:eastAsia="cy-GB"/>
          <w14:ligatures w14:val="none"/>
        </w:rPr>
        <w:t>homelessness rare, brief, and non-recurring.</w:t>
      </w:r>
    </w:p>
    <w:p w:rsidRPr="008569D7" w:rsidR="005F3754" w:rsidP="008569D7" w:rsidRDefault="005F3754" w14:paraId="5747132E" w14:textId="1B1C5A93">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In addition, the service will be delivered in accordance with the principles of the Housing Support Grant, including early intervention, promoting independence and providing housing-related support.</w:t>
      </w:r>
    </w:p>
    <w:p w:rsidRPr="008569D7" w:rsidR="00AB43EA" w:rsidP="00AB43EA" w:rsidRDefault="00AB43EA" w14:paraId="292E37CE" w14:textId="0646F130">
      <w:pPr>
        <w:spacing w:after="0" w:line="300" w:lineRule="atLeast"/>
        <w:rPr>
          <w:rFonts w:ascii="Segoe UI" w:hAnsi="Segoe UI" w:eastAsia="Times New Roman" w:cs="Segoe UI"/>
          <w:kern w:val="0"/>
          <w:sz w:val="21"/>
          <w:szCs w:val="21"/>
          <w:lang w:eastAsia="cy-GB"/>
          <w14:ligatures w14:val="none"/>
        </w:rPr>
      </w:pPr>
    </w:p>
    <w:p w:rsidRPr="008569D7" w:rsidR="00AB43EA" w:rsidP="00AB43EA" w:rsidRDefault="00AB43EA" w14:paraId="6D1FA24A" w14:textId="77777777">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5. ‘Drop-In’ Spaces</w:t>
      </w:r>
    </w:p>
    <w:p w:rsidRPr="008569D7" w:rsidR="00DB6FF2" w:rsidP="00DB6FF2" w:rsidRDefault="00DB6FF2" w14:paraId="65C34847"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will provide ‘drop-in’ access without the need for a prior appointment, in a variety of suitable community locations across Gwynedd.</w:t>
      </w:r>
    </w:p>
    <w:p w:rsidRPr="008569D7" w:rsidR="00DB6FF2" w:rsidP="00DB6FF2" w:rsidRDefault="00DB6FF2" w14:paraId="0FB8B48C"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w:t>
      </w:r>
    </w:p>
    <w:p w:rsidRPr="008569D7" w:rsidR="00DB6FF2" w:rsidP="00803781" w:rsidRDefault="00803781" w14:paraId="3BF30FCA" w14:textId="2EB44CE7">
      <w:pPr>
        <w:spacing w:after="0" w:line="300" w:lineRule="atLeast"/>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Ensure that locations are accessible, visible and easy to reach</w:t>
      </w:r>
    </w:p>
    <w:p w:rsidRPr="008569D7" w:rsidR="00DB6FF2" w:rsidP="00803781" w:rsidRDefault="00803781" w14:paraId="76B1834F" w14:textId="55F70705">
      <w:pPr>
        <w:spacing w:after="0" w:line="300" w:lineRule="atLeast"/>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Provide a welcoming, safe and inclusive environment</w:t>
      </w:r>
    </w:p>
    <w:p w:rsidRPr="008569D7" w:rsidR="00DB6FF2" w:rsidP="00803781" w:rsidRDefault="00803781" w14:paraId="1307601E" w14:textId="00D52123">
      <w:pPr>
        <w:spacing w:after="0" w:line="300" w:lineRule="atLeast"/>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Ensure a consistent and reliable presence</w:t>
      </w:r>
    </w:p>
    <w:p w:rsidRPr="008569D7" w:rsidR="00DB6FF2" w:rsidP="00DB6FF2" w:rsidRDefault="00DB6FF2" w14:paraId="1CFF2077"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is expected to provide fair access across Gwynedd, including rural areas, and the provision should not be focused in urban areas only.</w:t>
      </w:r>
    </w:p>
    <w:p w:rsidRPr="008569D7" w:rsidR="00DB6FF2" w:rsidP="00DB6FF2" w:rsidRDefault="00DB6FF2" w14:paraId="028D263D"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will need to outline a clear delivery model, including:</w:t>
      </w:r>
    </w:p>
    <w:p w:rsidRPr="008569D7" w:rsidR="00DB6FF2" w:rsidP="00803781" w:rsidRDefault="00803781" w14:paraId="7C009DB1" w14:textId="0B64F8C9">
      <w:pPr>
        <w:spacing w:after="0" w:line="300" w:lineRule="atLeast"/>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Locations and the geography of the provision</w:t>
      </w:r>
    </w:p>
    <w:p w:rsidRPr="008569D7" w:rsidR="00DB6FF2" w:rsidP="00803781" w:rsidRDefault="00803781" w14:paraId="3EAE7D99" w14:textId="3BA8EBEC">
      <w:pPr>
        <w:spacing w:after="0" w:line="300" w:lineRule="atLeast"/>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Frequency and hours of sessions</w:t>
      </w:r>
    </w:p>
    <w:p w:rsidRPr="008569D7" w:rsidR="00DB6FF2" w:rsidP="00803781" w:rsidRDefault="00803781" w14:paraId="47152F86" w14:textId="5A6F84DA">
      <w:pPr>
        <w:spacing w:after="0" w:line="300" w:lineRule="atLeast"/>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Methods of engagement with young people</w:t>
      </w:r>
    </w:p>
    <w:p w:rsidRPr="008569D7" w:rsidR="00DB6FF2" w:rsidP="00DB6FF2" w:rsidRDefault="00DB6FF2" w14:paraId="12CCF276"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demonstrate an innovative approach to delivering the service, making effective use of different locations and methods to reach young people.</w:t>
      </w:r>
    </w:p>
    <w:p w:rsidRPr="008569D7" w:rsidR="00DB6FF2" w:rsidP="00DB6FF2" w:rsidRDefault="00DB6FF2" w14:paraId="5B7E56FB"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model may include a combination of face-to-face drop-in sessions and digital access to ensure effective reach across all areas of Gwynedd.</w:t>
      </w:r>
    </w:p>
    <w:p w:rsidRPr="008569D7" w:rsidR="00AB43EA" w:rsidP="00AB43EA" w:rsidRDefault="00AB43EA" w14:paraId="16BC0771" w14:textId="034885B4">
      <w:pPr>
        <w:spacing w:after="0" w:line="300" w:lineRule="atLeast"/>
        <w:rPr>
          <w:rFonts w:ascii="Segoe UI" w:hAnsi="Segoe UI" w:eastAsia="Times New Roman" w:cs="Segoe UI"/>
          <w:kern w:val="0"/>
          <w:sz w:val="21"/>
          <w:szCs w:val="21"/>
          <w:lang w:eastAsia="cy-GB"/>
          <w14:ligatures w14:val="none"/>
        </w:rPr>
      </w:pPr>
    </w:p>
    <w:p w:rsidRPr="008569D7" w:rsidR="00AB43EA" w:rsidP="00AB43EA" w:rsidRDefault="00AB43EA" w14:paraId="46763937" w14:textId="77777777">
      <w:pPr>
        <w:spacing w:before="100" w:beforeAutospacing="1" w:after="100" w:afterAutospacing="1" w:line="300" w:lineRule="atLeast"/>
        <w:outlineLvl w:val="1"/>
        <w:rPr>
          <w:rFonts w:eastAsia="Times New Roman" w:asciiTheme="majorHAnsi" w:hAnsiTheme="majorHAnsi" w:cstheme="majorHAnsi"/>
          <w:b/>
          <w:bCs/>
          <w:color w:val="2F5496" w:themeColor="accent1" w:themeShade="BF"/>
          <w:kern w:val="0"/>
          <w:lang w:eastAsia="cy-GB"/>
          <w14:ligatures w14:val="none"/>
        </w:rPr>
      </w:pPr>
      <w:r w:rsidRPr="008569D7">
        <w:rPr>
          <w:rFonts w:eastAsia="Times New Roman" w:cstheme="minorHAnsi"/>
          <w:b/>
          <w:bCs/>
          <w:color w:val="2F5496" w:themeColor="accent1" w:themeShade="BF"/>
          <w:kern w:val="0"/>
          <w:sz w:val="28"/>
          <w:szCs w:val="28"/>
          <w:lang w:eastAsia="cy-GB"/>
          <w14:ligatures w14:val="none"/>
        </w:rPr>
        <w:t>6. Core Service Offer</w:t>
      </w:r>
    </w:p>
    <w:p w:rsidRPr="008569D7" w:rsidR="00DB6FF2" w:rsidP="00803781" w:rsidRDefault="00DB6FF2" w14:paraId="2906B360" w14:textId="77777777">
      <w:pPr>
        <w:spacing w:before="120" w:after="120"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will operate as a drop-in service, offering flexible access without barriers for young people, without the need for a prior appointment.</w:t>
      </w:r>
    </w:p>
    <w:p w:rsidRPr="008569D7" w:rsidR="00DB6FF2" w:rsidP="00DB6FF2" w:rsidRDefault="00DB6FF2" w14:paraId="011C425F"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is expected to be delivered in accordance with the following:</w:t>
      </w:r>
    </w:p>
    <w:p w:rsidRPr="008569D7" w:rsidR="00DB6FF2" w:rsidRDefault="00DB6FF2" w14:paraId="342AD77B" w14:textId="77777777">
      <w:pPr>
        <w:numPr>
          <w:ilvl w:val="0"/>
          <w:numId w:val="5"/>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b/>
          <w:bCs/>
          <w:kern w:val="0"/>
          <w:lang w:eastAsia="cy-GB"/>
          <w14:ligatures w14:val="none"/>
        </w:rPr>
        <w:t>Opening hours:</w:t>
      </w:r>
      <w:r w:rsidRPr="008569D7">
        <w:rPr>
          <w:rFonts w:eastAsia="Times New Roman" w:asciiTheme="majorHAnsi" w:hAnsiTheme="majorHAnsi" w:cstheme="majorHAnsi"/>
          <w:kern w:val="0"/>
          <w:lang w:eastAsia="cy-GB"/>
          <w14:ligatures w14:val="none"/>
        </w:rPr>
        <w:t xml:space="preserve"> Monday to Friday, 9am – 5pm</w:t>
      </w:r>
    </w:p>
    <w:p w:rsidRPr="008569D7" w:rsidR="00DB6FF2" w:rsidRDefault="00DB6FF2" w14:paraId="6A996086" w14:textId="77777777">
      <w:pPr>
        <w:numPr>
          <w:ilvl w:val="0"/>
          <w:numId w:val="5"/>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b/>
          <w:bCs/>
          <w:kern w:val="0"/>
          <w:lang w:eastAsia="cy-GB"/>
          <w14:ligatures w14:val="none"/>
        </w:rPr>
        <w:t>Level of provision:</w:t>
      </w:r>
      <w:r w:rsidRPr="008569D7">
        <w:rPr>
          <w:rFonts w:eastAsia="Times New Roman" w:asciiTheme="majorHAnsi" w:hAnsiTheme="majorHAnsi" w:cstheme="majorHAnsi"/>
          <w:kern w:val="0"/>
          <w:lang w:eastAsia="cy-GB"/>
          <w14:ligatures w14:val="none"/>
        </w:rPr>
        <w:t xml:space="preserve"> up to </w:t>
      </w:r>
      <w:r w:rsidRPr="008569D7">
        <w:rPr>
          <w:rFonts w:eastAsia="Times New Roman" w:asciiTheme="majorHAnsi" w:hAnsiTheme="majorHAnsi" w:cstheme="majorHAnsi"/>
          <w:b/>
          <w:bCs/>
          <w:kern w:val="0"/>
          <w:lang w:eastAsia="cy-GB"/>
          <w14:ligatures w14:val="none"/>
        </w:rPr>
        <w:t>20 units per week</w:t>
      </w:r>
    </w:p>
    <w:p w:rsidRPr="008569D7" w:rsidR="00DB6FF2" w:rsidP="00DB6FF2" w:rsidRDefault="00DB6FF2" w14:paraId="1918EE07"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proofErr w:type="gramStart"/>
      <w:r w:rsidRPr="008569D7">
        <w:rPr>
          <w:rFonts w:eastAsia="Times New Roman" w:asciiTheme="majorHAnsi" w:hAnsiTheme="majorHAnsi" w:cstheme="majorHAnsi"/>
          <w:kern w:val="0"/>
          <w:lang w:eastAsia="cy-GB"/>
          <w14:ligatures w14:val="none"/>
        </w:rPr>
        <w:t>For the purpose of</w:t>
      </w:r>
      <w:proofErr w:type="gramEnd"/>
      <w:r w:rsidRPr="008569D7">
        <w:rPr>
          <w:rFonts w:eastAsia="Times New Roman" w:asciiTheme="majorHAnsi" w:hAnsiTheme="majorHAnsi" w:cstheme="majorHAnsi"/>
          <w:kern w:val="0"/>
          <w:lang w:eastAsia="cy-GB"/>
          <w14:ligatures w14:val="none"/>
        </w:rPr>
        <w:t xml:space="preserve"> this specification, a “unit” refers to (e.g. session / contact).</w:t>
      </w:r>
    </w:p>
    <w:p w:rsidRPr="008569D7" w:rsidR="00DB6FF2" w:rsidP="00DB6FF2" w:rsidRDefault="00DB6FF2" w14:paraId="6C704F91"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This level of provision may be subject to change or expansion during the term of the agreement, based on:</w:t>
      </w:r>
    </w:p>
    <w:p w:rsidRPr="008B1989" w:rsidR="00DB6FF2" w:rsidP="008B1989" w:rsidRDefault="00DB6FF2" w14:paraId="2BA96364" w14:textId="77777777">
      <w:pPr>
        <w:pStyle w:val="ListParagraph"/>
        <w:numPr>
          <w:ilvl w:val="0"/>
          <w:numId w:val="42"/>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B1989">
        <w:rPr>
          <w:rFonts w:eastAsia="Times New Roman" w:asciiTheme="majorHAnsi" w:hAnsiTheme="majorHAnsi" w:cstheme="majorHAnsi"/>
          <w:kern w:val="0"/>
          <w:lang w:eastAsia="cy-GB"/>
          <w14:ligatures w14:val="none"/>
        </w:rPr>
        <w:t>direction of the Commissioning Team</w:t>
      </w:r>
    </w:p>
    <w:p w:rsidRPr="008B1989" w:rsidR="00DB6FF2" w:rsidP="008B1989" w:rsidRDefault="00DB6FF2" w14:paraId="1C56B498" w14:textId="77777777">
      <w:pPr>
        <w:pStyle w:val="ListParagraph"/>
        <w:numPr>
          <w:ilvl w:val="0"/>
          <w:numId w:val="42"/>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B1989">
        <w:rPr>
          <w:rFonts w:eastAsia="Times New Roman" w:asciiTheme="majorHAnsi" w:hAnsiTheme="majorHAnsi" w:cstheme="majorHAnsi"/>
          <w:kern w:val="0"/>
          <w:lang w:eastAsia="cy-GB"/>
          <w14:ligatures w14:val="none"/>
        </w:rPr>
        <w:t>evidence of demand and service use</w:t>
      </w:r>
    </w:p>
    <w:p w:rsidRPr="008B1989" w:rsidR="00DB6FF2" w:rsidP="008B1989" w:rsidRDefault="00DB6FF2" w14:paraId="455AE6B6" w14:textId="77777777">
      <w:pPr>
        <w:pStyle w:val="ListParagraph"/>
        <w:numPr>
          <w:ilvl w:val="0"/>
          <w:numId w:val="42"/>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B1989">
        <w:rPr>
          <w:rFonts w:eastAsia="Times New Roman" w:asciiTheme="majorHAnsi" w:hAnsiTheme="majorHAnsi" w:cstheme="majorHAnsi"/>
          <w:kern w:val="0"/>
          <w:lang w:eastAsia="cy-GB"/>
          <w14:ligatures w14:val="none"/>
        </w:rPr>
        <w:t>availability of funding</w:t>
      </w:r>
    </w:p>
    <w:p w:rsidRPr="008569D7" w:rsidR="00DB6FF2" w:rsidP="00DB6FF2" w:rsidRDefault="00DB6FF2" w14:paraId="4B51B67F"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will provide:</w:t>
      </w:r>
    </w:p>
    <w:p w:rsidR="008B1989" w:rsidP="00444972" w:rsidRDefault="008B1989" w14:paraId="7666A8E1" w14:textId="77777777">
      <w:pPr>
        <w:spacing w:before="120" w:after="0" w:line="240" w:lineRule="auto"/>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Housing advice and support</w:t>
      </w:r>
    </w:p>
    <w:p w:rsidRPr="008569D7" w:rsidR="00DB6FF2" w:rsidP="00444972" w:rsidRDefault="008B1989" w14:paraId="748A2AC5" w14:textId="2A1B5A5F">
      <w:pPr>
        <w:spacing w:before="120" w:after="0" w:line="240" w:lineRule="auto"/>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Support to prevent loss of accommodation</w:t>
      </w:r>
    </w:p>
    <w:p w:rsidRPr="008569D7" w:rsidR="00DB6FF2" w:rsidP="00444972" w:rsidRDefault="008B1989" w14:paraId="7397C07F" w14:textId="6CC62C6C">
      <w:pPr>
        <w:spacing w:before="120" w:after="0" w:line="240" w:lineRule="auto"/>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Financial support and tenancy management</w:t>
      </w:r>
    </w:p>
    <w:p w:rsidRPr="008569D7" w:rsidR="00DB6FF2" w:rsidP="00444972" w:rsidRDefault="008B1989" w14:paraId="1FC0CEEF" w14:textId="09A30B85">
      <w:pPr>
        <w:spacing w:before="120" w:after="0" w:line="240" w:lineRule="auto"/>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Signposting and onward referral to relevant services</w:t>
      </w:r>
    </w:p>
    <w:p w:rsidRPr="008569D7" w:rsidR="00DB6FF2" w:rsidP="00444972" w:rsidRDefault="008B1989" w14:paraId="42CF77F9" w14:textId="4EFDB087">
      <w:pPr>
        <w:spacing w:before="120" w:after="0" w:line="240" w:lineRule="auto"/>
        <w:rPr>
          <w:rFonts w:eastAsia="Times New Roman" w:asciiTheme="majorHAnsi" w:hAnsiTheme="majorHAnsi" w:cstheme="majorHAnsi"/>
          <w:kern w:val="0"/>
          <w:lang w:eastAsia="cy-GB"/>
          <w14:ligatures w14:val="none"/>
        </w:rPr>
      </w:pPr>
      <w:r>
        <w:rPr>
          <w:rFonts w:eastAsia="Times New Roman" w:asciiTheme="majorHAnsi" w:hAnsiTheme="majorHAnsi" w:cstheme="majorHAnsi"/>
          <w:kern w:val="0"/>
          <w:lang w:eastAsia="cy-GB"/>
          <w14:ligatures w14:val="none"/>
        </w:rPr>
        <w:t>-</w:t>
      </w:r>
      <w:r w:rsidRPr="008569D7" w:rsidR="00DB6FF2">
        <w:rPr>
          <w:rFonts w:eastAsia="Times New Roman" w:asciiTheme="majorHAnsi" w:hAnsiTheme="majorHAnsi" w:cstheme="majorHAnsi"/>
          <w:kern w:val="0"/>
          <w:lang w:eastAsia="cy-GB"/>
          <w14:ligatures w14:val="none"/>
        </w:rPr>
        <w:t>Wellbeing support and skills development</w:t>
      </w:r>
    </w:p>
    <w:p w:rsidRPr="008569D7" w:rsidR="00DB6FF2" w:rsidP="00DB6FF2" w:rsidRDefault="00DB6FF2" w14:paraId="2C3A5A6F"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is not designed to provide long-term support or ongoing case management. Rather, its purpose is to provide a timely, practical and purposeful response that helps young people to resolve immediate issues, strengthen their resilience and connect with further support where necessary.</w:t>
      </w:r>
    </w:p>
    <w:p w:rsidRPr="008569D7" w:rsidR="00DB6FF2" w:rsidP="00DB6FF2" w:rsidRDefault="00DB6FF2" w14:paraId="55AC1908"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The duration of the intervention may vary depending on the needs of the individual. In some cases, one brief contact may be sufficient, while in other cases </w:t>
      </w:r>
      <w:proofErr w:type="gramStart"/>
      <w:r w:rsidRPr="008569D7">
        <w:rPr>
          <w:rFonts w:eastAsia="Times New Roman" w:asciiTheme="majorHAnsi" w:hAnsiTheme="majorHAnsi" w:cstheme="majorHAnsi"/>
          <w:kern w:val="0"/>
          <w:lang w:eastAsia="cy-GB"/>
          <w14:ligatures w14:val="none"/>
        </w:rPr>
        <w:t>a number of</w:t>
      </w:r>
      <w:proofErr w:type="gramEnd"/>
      <w:r w:rsidRPr="008569D7">
        <w:rPr>
          <w:rFonts w:eastAsia="Times New Roman" w:asciiTheme="majorHAnsi" w:hAnsiTheme="majorHAnsi" w:cstheme="majorHAnsi"/>
          <w:kern w:val="0"/>
          <w:lang w:eastAsia="cy-GB"/>
          <w14:ligatures w14:val="none"/>
        </w:rPr>
        <w:t xml:space="preserve"> sessions over a limited </w:t>
      </w:r>
      <w:proofErr w:type="gramStart"/>
      <w:r w:rsidRPr="008569D7">
        <w:rPr>
          <w:rFonts w:eastAsia="Times New Roman" w:asciiTheme="majorHAnsi" w:hAnsiTheme="majorHAnsi" w:cstheme="majorHAnsi"/>
          <w:kern w:val="0"/>
          <w:lang w:eastAsia="cy-GB"/>
          <w14:ligatures w14:val="none"/>
        </w:rPr>
        <w:t>period of time</w:t>
      </w:r>
      <w:proofErr w:type="gramEnd"/>
      <w:r w:rsidRPr="008569D7">
        <w:rPr>
          <w:rFonts w:eastAsia="Times New Roman" w:asciiTheme="majorHAnsi" w:hAnsiTheme="majorHAnsi" w:cstheme="majorHAnsi"/>
          <w:kern w:val="0"/>
          <w:lang w:eastAsia="cy-GB"/>
          <w14:ligatures w14:val="none"/>
        </w:rPr>
        <w:t xml:space="preserve"> may be required </w:t>
      </w:r>
      <w:proofErr w:type="gramStart"/>
      <w:r w:rsidRPr="008569D7">
        <w:rPr>
          <w:rFonts w:eastAsia="Times New Roman" w:asciiTheme="majorHAnsi" w:hAnsiTheme="majorHAnsi" w:cstheme="majorHAnsi"/>
          <w:kern w:val="0"/>
          <w:lang w:eastAsia="cy-GB"/>
          <w14:ligatures w14:val="none"/>
        </w:rPr>
        <w:t>in order to</w:t>
      </w:r>
      <w:proofErr w:type="gramEnd"/>
      <w:r w:rsidRPr="008569D7">
        <w:rPr>
          <w:rFonts w:eastAsia="Times New Roman" w:asciiTheme="majorHAnsi" w:hAnsiTheme="majorHAnsi" w:cstheme="majorHAnsi"/>
          <w:kern w:val="0"/>
          <w:lang w:eastAsia="cy-GB"/>
          <w14:ligatures w14:val="none"/>
        </w:rPr>
        <w:t xml:space="preserve"> achieve a meaningful outcome.</w:t>
      </w:r>
    </w:p>
    <w:p w:rsidRPr="008569D7" w:rsidR="00DB6FF2" w:rsidP="00DB6FF2" w:rsidRDefault="00DB6FF2" w14:paraId="46493766"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operate a short-term support model that is focused on outcomes, with clear pathways to refer or transfer individuals to more specialist or longer-term services where appropriate.</w:t>
      </w:r>
    </w:p>
    <w:p w:rsidRPr="008569D7" w:rsidR="00DB6FF2" w:rsidP="00DB6FF2" w:rsidRDefault="00DB6FF2" w14:paraId="01DF28B0"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As a general principle, an individual intervention should not extend beyond a period of 4 weeks, unless there is a clear and recorded reason for doing so.</w:t>
      </w:r>
    </w:p>
    <w:p w:rsidRPr="008569D7" w:rsidR="00AB43EA" w:rsidP="00AB43EA" w:rsidRDefault="00AB43EA" w14:paraId="18277A79" w14:textId="73D8D2D8">
      <w:pPr>
        <w:spacing w:after="0" w:line="300" w:lineRule="atLeast"/>
        <w:rPr>
          <w:rFonts w:ascii="Segoe UI" w:hAnsi="Segoe UI" w:eastAsia="Times New Roman" w:cs="Segoe UI"/>
          <w:kern w:val="0"/>
          <w:sz w:val="21"/>
          <w:szCs w:val="21"/>
          <w:lang w:eastAsia="cy-GB"/>
          <w14:ligatures w14:val="none"/>
        </w:rPr>
      </w:pPr>
    </w:p>
    <w:p w:rsidRPr="008569D7" w:rsidR="00AB43EA" w:rsidP="00AB43EA" w:rsidRDefault="00AB43EA" w14:paraId="3D92422F" w14:textId="77777777">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6.1 Access to Wider Support and Services</w:t>
      </w:r>
    </w:p>
    <w:p w:rsidRPr="008569D7" w:rsidR="00DE1533" w:rsidP="00DE1533" w:rsidRDefault="00DE1533" w14:paraId="00C360D8"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Ensuring that young people </w:t>
      </w:r>
      <w:proofErr w:type="gramStart"/>
      <w:r w:rsidRPr="008569D7">
        <w:rPr>
          <w:rFonts w:eastAsia="Times New Roman" w:asciiTheme="majorHAnsi" w:hAnsiTheme="majorHAnsi" w:cstheme="majorHAnsi"/>
          <w:kern w:val="0"/>
          <w:lang w:eastAsia="cy-GB"/>
          <w14:ligatures w14:val="none"/>
        </w:rPr>
        <w:t>are able to</w:t>
      </w:r>
      <w:proofErr w:type="gramEnd"/>
      <w:r w:rsidRPr="008569D7">
        <w:rPr>
          <w:rFonts w:eastAsia="Times New Roman" w:asciiTheme="majorHAnsi" w:hAnsiTheme="majorHAnsi" w:cstheme="majorHAnsi"/>
          <w:kern w:val="0"/>
          <w:lang w:eastAsia="cy-GB"/>
          <w14:ligatures w14:val="none"/>
        </w:rPr>
        <w:t xml:space="preserve"> access wider support is a key element of this service.</w:t>
      </w:r>
    </w:p>
    <w:p w:rsidRPr="008569D7" w:rsidR="00DE1533" w:rsidP="00DE1533" w:rsidRDefault="00DE1533" w14:paraId="6266F910"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operate as an early access point to support, enabling young people to connect promptly and effectively with relevant services and agencies.</w:t>
      </w:r>
    </w:p>
    <w:p w:rsidRPr="008569D7" w:rsidR="00DE1533" w:rsidP="00DE1533" w:rsidRDefault="00DE1533" w14:paraId="236DB64E"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This will include:</w:t>
      </w:r>
    </w:p>
    <w:p w:rsidRPr="008569D7" w:rsidR="00DE1533" w:rsidRDefault="00DE1533" w14:paraId="42F784F5" w14:textId="77777777">
      <w:pPr>
        <w:numPr>
          <w:ilvl w:val="0"/>
          <w:numId w:val="8"/>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Providing initial advice and support to identify individual needs</w:t>
      </w:r>
    </w:p>
    <w:p w:rsidRPr="008569D7" w:rsidR="00DE1533" w:rsidRDefault="00DE1533" w14:paraId="2CB494CE" w14:textId="77777777">
      <w:pPr>
        <w:numPr>
          <w:ilvl w:val="0"/>
          <w:numId w:val="8"/>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Referring and linking young people with appropriate services</w:t>
      </w:r>
    </w:p>
    <w:p w:rsidRPr="008569D7" w:rsidR="00DE1533" w:rsidRDefault="00DE1533" w14:paraId="26BD6899" w14:textId="77777777">
      <w:pPr>
        <w:numPr>
          <w:ilvl w:val="0"/>
          <w:numId w:val="8"/>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Supporting young people to engage with services where necessary</w:t>
      </w:r>
    </w:p>
    <w:p w:rsidRPr="008569D7" w:rsidR="00DE1533" w:rsidP="00DE1533" w:rsidRDefault="00DE1533" w14:paraId="2F351C9C" w14:textId="601DAC0B">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This may include referral to a range of services, including but not limited to:</w:t>
      </w:r>
    </w:p>
    <w:tbl>
      <w:tblPr>
        <w:tblStyle w:val="TableGrid"/>
        <w:tblW w:w="0" w:type="auto"/>
        <w:tblLook w:val="04A0" w:firstRow="1" w:lastRow="0" w:firstColumn="1" w:lastColumn="0" w:noHBand="0" w:noVBand="1"/>
      </w:tblPr>
      <w:tblGrid>
        <w:gridCol w:w="9016"/>
      </w:tblGrid>
      <w:tr w:rsidRPr="008569D7" w:rsidR="00DE1533" w:rsidTr="001E67B2" w14:paraId="12B04258" w14:textId="77777777">
        <w:tc>
          <w:tcPr>
            <w:tcW w:w="9016" w:type="dxa"/>
          </w:tcPr>
          <w:p w:rsidRPr="008569D7" w:rsidR="00DE1533" w:rsidP="00DE1533" w:rsidRDefault="00DE1533" w14:paraId="1B5B253C" w14:textId="62B480C8">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Council’s Homelessness Department</w:t>
            </w:r>
          </w:p>
        </w:tc>
      </w:tr>
      <w:tr w:rsidRPr="008569D7" w:rsidR="00DE1533" w:rsidTr="001E67B2" w14:paraId="59602D0A" w14:textId="77777777">
        <w:tc>
          <w:tcPr>
            <w:tcW w:w="9016" w:type="dxa"/>
          </w:tcPr>
          <w:p w:rsidRPr="008569D7" w:rsidR="00DE1533" w:rsidP="00DE1533" w:rsidRDefault="00DE1533" w14:paraId="0EEDF1C1" w14:textId="77AE36E0">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SPOA (Single Point of Access)</w:t>
            </w:r>
          </w:p>
        </w:tc>
      </w:tr>
      <w:tr w:rsidRPr="008569D7" w:rsidR="00DE1533" w:rsidTr="001E67B2" w14:paraId="509285C7" w14:textId="77777777">
        <w:tc>
          <w:tcPr>
            <w:tcW w:w="9016" w:type="dxa"/>
          </w:tcPr>
          <w:p w:rsidRPr="008569D7" w:rsidR="00DE1533" w:rsidP="00DE1533" w:rsidRDefault="00DE1533" w14:paraId="59ACADC0" w14:textId="67488D52">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Mental health services</w:t>
            </w:r>
          </w:p>
        </w:tc>
      </w:tr>
      <w:tr w:rsidRPr="008569D7" w:rsidR="00DE1533" w:rsidTr="001E67B2" w14:paraId="77EE8330" w14:textId="77777777">
        <w:tc>
          <w:tcPr>
            <w:tcW w:w="9016" w:type="dxa"/>
          </w:tcPr>
          <w:p w:rsidRPr="008569D7" w:rsidR="00DE1533" w:rsidP="00DE1533" w:rsidRDefault="001E67B2" w14:paraId="2022F3C5" w14:textId="0C8ED285">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Substance misuse services</w:t>
            </w:r>
          </w:p>
        </w:tc>
      </w:tr>
      <w:tr w:rsidRPr="008569D7" w:rsidR="001E67B2" w:rsidTr="001E67B2" w14:paraId="6B6193EB" w14:textId="77777777">
        <w:tc>
          <w:tcPr>
            <w:tcW w:w="9016" w:type="dxa"/>
          </w:tcPr>
          <w:p w:rsidRPr="008569D7" w:rsidR="001E67B2" w:rsidP="001E67B2" w:rsidRDefault="001E67B2" w14:paraId="142BB23D" w14:textId="22399775">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Youth services</w:t>
            </w:r>
          </w:p>
        </w:tc>
      </w:tr>
      <w:tr w:rsidRPr="008569D7" w:rsidR="001E67B2" w:rsidTr="001E67B2" w14:paraId="24D29A54" w14:textId="77777777">
        <w:tc>
          <w:tcPr>
            <w:tcW w:w="9016" w:type="dxa"/>
          </w:tcPr>
          <w:p w:rsidRPr="008569D7" w:rsidR="001E67B2" w:rsidP="001E67B2" w:rsidRDefault="001E67B2" w14:paraId="19747C55" w14:textId="167439E6">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Education, training and employment</w:t>
            </w:r>
          </w:p>
        </w:tc>
      </w:tr>
      <w:tr w:rsidRPr="008569D7" w:rsidR="001E67B2" w:rsidTr="001E67B2" w14:paraId="01D1D398" w14:textId="77777777">
        <w:tc>
          <w:tcPr>
            <w:tcW w:w="9016" w:type="dxa"/>
          </w:tcPr>
          <w:p w:rsidRPr="008569D7" w:rsidR="001E67B2" w:rsidP="001E67B2" w:rsidRDefault="001E67B2" w14:paraId="3E774D00" w14:textId="03DDF098">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Financial advice and benefits</w:t>
            </w:r>
          </w:p>
        </w:tc>
      </w:tr>
      <w:tr w:rsidRPr="008569D7" w:rsidR="001E67B2" w:rsidTr="001E67B2" w14:paraId="7C64F597" w14:textId="77777777">
        <w:tc>
          <w:tcPr>
            <w:tcW w:w="9016" w:type="dxa"/>
          </w:tcPr>
          <w:p w:rsidRPr="008569D7" w:rsidR="001E67B2" w:rsidP="001E67B2" w:rsidRDefault="001E67B2" w14:paraId="69AF127B" w14:textId="7463A7FF">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Specialist services (e.g. domestic abuse)</w:t>
            </w:r>
          </w:p>
        </w:tc>
      </w:tr>
      <w:tr w:rsidRPr="008569D7" w:rsidR="001E67B2" w:rsidTr="001E67B2" w14:paraId="3C90D34A" w14:textId="77777777">
        <w:tc>
          <w:tcPr>
            <w:tcW w:w="9016" w:type="dxa"/>
          </w:tcPr>
          <w:p w:rsidRPr="008569D7" w:rsidR="001E67B2" w:rsidP="001E67B2" w:rsidRDefault="001E67B2" w14:paraId="482E8AD4" w14:textId="2E30C4FE">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Access to food and emergency support (e.g. food bank, vouchers)</w:t>
            </w:r>
          </w:p>
        </w:tc>
      </w:tr>
      <w:tr w:rsidRPr="008569D7" w:rsidR="001E67B2" w:rsidTr="001E67B2" w14:paraId="63EC68ED" w14:textId="77777777">
        <w:tc>
          <w:tcPr>
            <w:tcW w:w="9016" w:type="dxa"/>
          </w:tcPr>
          <w:p w:rsidRPr="008569D7" w:rsidR="001E67B2" w:rsidP="001E67B2" w:rsidRDefault="001E67B2" w14:paraId="1B06836B" w14:textId="200218B8">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Grants and relevant sources of financial support</w:t>
            </w:r>
          </w:p>
        </w:tc>
      </w:tr>
    </w:tbl>
    <w:p w:rsidRPr="00444972" w:rsidR="00AB43EA" w:rsidP="00444972" w:rsidRDefault="00DE1533" w14:paraId="7DF8A60F" w14:textId="49599500">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The provider is expected to develop and maintain effective links with partner services </w:t>
      </w:r>
      <w:proofErr w:type="gramStart"/>
      <w:r w:rsidRPr="008569D7">
        <w:rPr>
          <w:rFonts w:eastAsia="Times New Roman" w:asciiTheme="majorHAnsi" w:hAnsiTheme="majorHAnsi" w:cstheme="majorHAnsi"/>
          <w:kern w:val="0"/>
          <w:lang w:eastAsia="cy-GB"/>
          <w14:ligatures w14:val="none"/>
        </w:rPr>
        <w:t>in order to</w:t>
      </w:r>
      <w:proofErr w:type="gramEnd"/>
      <w:r w:rsidRPr="008569D7">
        <w:rPr>
          <w:rFonts w:eastAsia="Times New Roman" w:asciiTheme="majorHAnsi" w:hAnsiTheme="majorHAnsi" w:cstheme="majorHAnsi"/>
          <w:kern w:val="0"/>
          <w:lang w:eastAsia="cy-GB"/>
          <w14:ligatures w14:val="none"/>
        </w:rPr>
        <w:t xml:space="preserve"> ensure clear and timely pathways to support.</w:t>
      </w:r>
    </w:p>
    <w:p w:rsidRPr="008569D7" w:rsidR="00AB43EA" w:rsidP="00AB43EA" w:rsidRDefault="00AB43EA" w14:paraId="47077899" w14:textId="77777777">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6.2 Digital Intervention and Remote Support</w:t>
      </w:r>
    </w:p>
    <w:p w:rsidRPr="008569D7" w:rsidR="00176158" w:rsidP="00176158" w:rsidRDefault="00176158" w14:paraId="1C86BBB3"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The Authority recognises that face-to-face support is not always suitable or accessible for every young person. As a result, the provider is expected to offer a digital element as part of the service </w:t>
      </w:r>
      <w:proofErr w:type="gramStart"/>
      <w:r w:rsidRPr="008569D7">
        <w:rPr>
          <w:rFonts w:eastAsia="Times New Roman" w:asciiTheme="majorHAnsi" w:hAnsiTheme="majorHAnsi" w:cstheme="majorHAnsi"/>
          <w:kern w:val="0"/>
          <w:lang w:eastAsia="cy-GB"/>
          <w14:ligatures w14:val="none"/>
        </w:rPr>
        <w:t>in order to</w:t>
      </w:r>
      <w:proofErr w:type="gramEnd"/>
      <w:r w:rsidRPr="008569D7">
        <w:rPr>
          <w:rFonts w:eastAsia="Times New Roman" w:asciiTheme="majorHAnsi" w:hAnsiTheme="majorHAnsi" w:cstheme="majorHAnsi"/>
          <w:kern w:val="0"/>
          <w:lang w:eastAsia="cy-GB"/>
          <w14:ligatures w14:val="none"/>
        </w:rPr>
        <w:t xml:space="preserve"> improve accessibility, responsiveness and reach across Gwynedd.</w:t>
      </w:r>
    </w:p>
    <w:p w:rsidRPr="008569D7" w:rsidR="00176158" w:rsidP="00176158" w:rsidRDefault="00176158" w14:paraId="77DB8263"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Although face-to-face support will be the main method of delivering the service, the digital provision should offer additional options for young people who:</w:t>
      </w:r>
    </w:p>
    <w:p w:rsidRPr="008569D7" w:rsidR="00176158" w:rsidRDefault="00176158" w14:paraId="3B26114B" w14:textId="77777777">
      <w:pPr>
        <w:numPr>
          <w:ilvl w:val="0"/>
          <w:numId w:val="9"/>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Live in rural or hard-to-reach areas</w:t>
      </w:r>
    </w:p>
    <w:p w:rsidRPr="008569D7" w:rsidR="00176158" w:rsidRDefault="00176158" w14:paraId="3E723181" w14:textId="77777777">
      <w:pPr>
        <w:numPr>
          <w:ilvl w:val="0"/>
          <w:numId w:val="9"/>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Face transport barriers</w:t>
      </w:r>
    </w:p>
    <w:p w:rsidRPr="008569D7" w:rsidR="00176158" w:rsidRDefault="00176158" w14:paraId="3DE1F1BD" w14:textId="77777777">
      <w:pPr>
        <w:numPr>
          <w:ilvl w:val="0"/>
          <w:numId w:val="9"/>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Prefer remote communication</w:t>
      </w:r>
    </w:p>
    <w:p w:rsidRPr="008569D7" w:rsidR="00176158" w:rsidRDefault="00176158" w14:paraId="2003AB44" w14:textId="77777777">
      <w:pPr>
        <w:numPr>
          <w:ilvl w:val="0"/>
          <w:numId w:val="9"/>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Feel anxious about attending face-to-face services</w:t>
      </w:r>
    </w:p>
    <w:p w:rsidRPr="008569D7" w:rsidR="00176158" w:rsidRDefault="00176158" w14:paraId="47CE0DBE" w14:textId="77777777">
      <w:pPr>
        <w:numPr>
          <w:ilvl w:val="0"/>
          <w:numId w:val="9"/>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Need quick access to information, advice or initial support</w:t>
      </w:r>
    </w:p>
    <w:p w:rsidRPr="008569D7" w:rsidR="00176158" w:rsidP="00176158" w:rsidRDefault="00176158" w14:paraId="242271E0" w14:textId="77777777">
      <w:pPr>
        <w:spacing w:before="100" w:beforeAutospacing="1" w:after="100" w:afterAutospacing="1" w:line="300" w:lineRule="atLeast"/>
        <w:rPr>
          <w:rFonts w:ascii="Segoe UI" w:hAnsi="Segoe UI" w:eastAsia="Times New Roman" w:cs="Segoe UI"/>
          <w:b/>
          <w:bCs/>
          <w:kern w:val="0"/>
          <w:sz w:val="21"/>
          <w:szCs w:val="21"/>
          <w:lang w:eastAsia="cy-GB"/>
          <w14:ligatures w14:val="none"/>
        </w:rPr>
      </w:pPr>
      <w:r w:rsidRPr="008569D7">
        <w:rPr>
          <w:rFonts w:ascii="Segoe UI" w:hAnsi="Segoe UI" w:eastAsia="Times New Roman" w:cs="Segoe UI"/>
          <w:b/>
          <w:bCs/>
          <w:kern w:val="0"/>
          <w:sz w:val="21"/>
          <w:szCs w:val="21"/>
          <w:lang w:eastAsia="cy-GB"/>
          <w14:ligatures w14:val="none"/>
        </w:rPr>
        <w:t>The provision may include:</w:t>
      </w:r>
    </w:p>
    <w:p w:rsidRPr="008569D7" w:rsidR="00176158" w:rsidRDefault="00176158" w14:paraId="5877627C" w14:textId="77777777">
      <w:pPr>
        <w:numPr>
          <w:ilvl w:val="0"/>
          <w:numId w:val="10"/>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Telephone calls</w:t>
      </w:r>
    </w:p>
    <w:p w:rsidRPr="008569D7" w:rsidR="00176158" w:rsidRDefault="00176158" w14:paraId="770A0D27" w14:textId="77777777">
      <w:pPr>
        <w:numPr>
          <w:ilvl w:val="0"/>
          <w:numId w:val="10"/>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Video calls</w:t>
      </w:r>
    </w:p>
    <w:p w:rsidRPr="008569D7" w:rsidR="00176158" w:rsidRDefault="00176158" w14:paraId="57A796C4" w14:textId="77777777">
      <w:pPr>
        <w:numPr>
          <w:ilvl w:val="0"/>
          <w:numId w:val="10"/>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Communication via email</w:t>
      </w:r>
    </w:p>
    <w:p w:rsidRPr="008569D7" w:rsidR="00176158" w:rsidRDefault="00176158" w14:paraId="534FB1F2" w14:textId="77777777">
      <w:pPr>
        <w:numPr>
          <w:ilvl w:val="0"/>
          <w:numId w:val="10"/>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Text messages or secure messaging through agreed platforms</w:t>
      </w:r>
    </w:p>
    <w:p w:rsidRPr="008569D7" w:rsidR="00176158" w:rsidRDefault="00176158" w14:paraId="336A7B77" w14:textId="77777777">
      <w:pPr>
        <w:numPr>
          <w:ilvl w:val="0"/>
          <w:numId w:val="10"/>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Individual or group virtual consultation sessions where appropriate</w:t>
      </w:r>
    </w:p>
    <w:p w:rsidRPr="008569D7" w:rsidR="00176158" w:rsidRDefault="00176158" w14:paraId="170F42F3" w14:textId="77777777">
      <w:pPr>
        <w:numPr>
          <w:ilvl w:val="0"/>
          <w:numId w:val="10"/>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Provision of accessible digital information, advice and resources</w:t>
      </w:r>
    </w:p>
    <w:p w:rsidRPr="008569D7" w:rsidR="00176158" w:rsidP="00176158" w:rsidRDefault="00176158" w14:paraId="3F881907" w14:textId="77777777">
      <w:pPr>
        <w:spacing w:before="100" w:beforeAutospacing="1" w:after="100" w:afterAutospacing="1" w:line="300" w:lineRule="atLeast"/>
        <w:rPr>
          <w:rFonts w:eastAsia="Times New Roman" w:cstheme="minorHAnsi"/>
          <w:b/>
          <w:bCs/>
          <w:kern w:val="0"/>
          <w:lang w:eastAsia="cy-GB"/>
          <w14:ligatures w14:val="none"/>
        </w:rPr>
      </w:pPr>
      <w:r w:rsidRPr="008569D7">
        <w:rPr>
          <w:rFonts w:eastAsia="Times New Roman" w:cstheme="minorHAnsi"/>
          <w:b/>
          <w:bCs/>
          <w:kern w:val="0"/>
          <w:lang w:eastAsia="cy-GB"/>
          <w14:ligatures w14:val="none"/>
        </w:rPr>
        <w:t>The provider is expected to ensure that:</w:t>
      </w:r>
    </w:p>
    <w:p w:rsidRPr="008569D7" w:rsidR="00176158" w:rsidRDefault="00176158" w14:paraId="6334F696" w14:textId="77777777">
      <w:pPr>
        <w:numPr>
          <w:ilvl w:val="0"/>
          <w:numId w:val="11"/>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Any digital provision is secure and complies with data protection and confidentiality requirements</w:t>
      </w:r>
    </w:p>
    <w:p w:rsidRPr="008569D7" w:rsidR="00176158" w:rsidRDefault="00176158" w14:paraId="01E4B88E" w14:textId="77777777">
      <w:pPr>
        <w:numPr>
          <w:ilvl w:val="0"/>
          <w:numId w:val="11"/>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Young people </w:t>
      </w:r>
      <w:proofErr w:type="gramStart"/>
      <w:r w:rsidRPr="008569D7">
        <w:rPr>
          <w:rFonts w:eastAsia="Times New Roman" w:asciiTheme="majorHAnsi" w:hAnsiTheme="majorHAnsi" w:cstheme="majorHAnsi"/>
          <w:kern w:val="0"/>
          <w:lang w:eastAsia="cy-GB"/>
          <w14:ligatures w14:val="none"/>
        </w:rPr>
        <w:t>are able to</w:t>
      </w:r>
      <w:proofErr w:type="gramEnd"/>
      <w:r w:rsidRPr="008569D7">
        <w:rPr>
          <w:rFonts w:eastAsia="Times New Roman" w:asciiTheme="majorHAnsi" w:hAnsiTheme="majorHAnsi" w:cstheme="majorHAnsi"/>
          <w:kern w:val="0"/>
          <w:lang w:eastAsia="cy-GB"/>
          <w14:ligatures w14:val="none"/>
        </w:rPr>
        <w:t xml:space="preserve"> choose the method of engagement that best suits their needs</w:t>
      </w:r>
    </w:p>
    <w:p w:rsidRPr="008569D7" w:rsidR="00176158" w:rsidRDefault="00176158" w14:paraId="3E88CDD1" w14:textId="77777777">
      <w:pPr>
        <w:numPr>
          <w:ilvl w:val="0"/>
          <w:numId w:val="11"/>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use of digital methods does not reduce access to face-to-face support</w:t>
      </w:r>
    </w:p>
    <w:p w:rsidRPr="008569D7" w:rsidR="00176158" w:rsidRDefault="00176158" w14:paraId="214CA78B" w14:textId="77777777">
      <w:pPr>
        <w:numPr>
          <w:ilvl w:val="0"/>
          <w:numId w:val="11"/>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Clear pathways are in place for escalating cases where risk, safeguarding concerns or the need for more intensive support are identified</w:t>
      </w:r>
    </w:p>
    <w:p w:rsidRPr="005D62B4" w:rsidR="00176158" w:rsidP="005D62B4" w:rsidRDefault="00176158" w14:paraId="4FB35862" w14:textId="450A255C">
      <w:pPr>
        <w:spacing w:before="100" w:beforeAutospacing="1" w:after="100" w:afterAutospacing="1" w:line="300" w:lineRule="atLeast"/>
        <w:rPr>
          <w:rFonts w:eastAsia="Times New Roman" w:cstheme="minorHAnsi"/>
          <w:kern w:val="0"/>
          <w:lang w:eastAsia="cy-GB"/>
          <w14:ligatures w14:val="none"/>
        </w:rPr>
      </w:pPr>
      <w:r w:rsidRPr="008569D7">
        <w:rPr>
          <w:rFonts w:eastAsia="Times New Roman" w:asciiTheme="majorHAnsi" w:hAnsiTheme="majorHAnsi" w:cstheme="majorHAnsi"/>
          <w:kern w:val="0"/>
          <w:lang w:eastAsia="cy-GB"/>
          <w14:ligatures w14:val="none"/>
        </w:rPr>
        <w:t>The provider is encouraged to use innovative digital methods to reach out to young people and to promote the service, ensuring that the provision remains accessible, inclusive and relevant to the needs of young people in Gwynedd.</w:t>
      </w:r>
    </w:p>
    <w:p w:rsidRPr="008569D7" w:rsidR="00AB43EA" w:rsidP="00AB43EA" w:rsidRDefault="00AB43EA" w14:paraId="2728BBBC" w14:textId="0CB6003D">
      <w:pPr>
        <w:spacing w:after="0" w:line="300" w:lineRule="atLeast"/>
        <w:rPr>
          <w:rFonts w:ascii="Segoe UI" w:hAnsi="Segoe UI" w:eastAsia="Times New Roman" w:cs="Segoe UI"/>
          <w:kern w:val="0"/>
          <w:sz w:val="21"/>
          <w:szCs w:val="21"/>
          <w:lang w:eastAsia="cy-GB"/>
          <w14:ligatures w14:val="none"/>
        </w:rPr>
      </w:pPr>
    </w:p>
    <w:p w:rsidR="00444972" w:rsidP="00444972" w:rsidRDefault="00AB43EA" w14:paraId="025EA867" w14:textId="77777777">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7. Expected Outcomes</w:t>
      </w:r>
    </w:p>
    <w:p w:rsidRPr="00444972" w:rsidR="00176158" w:rsidP="00444972" w:rsidRDefault="00176158" w14:paraId="3AC69988" w14:textId="081E02D0">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asciiTheme="majorHAnsi" w:hAnsiTheme="majorHAnsi" w:cstheme="majorHAnsi"/>
          <w:kern w:val="0"/>
          <w:lang w:eastAsia="cy-GB"/>
          <w14:ligatures w14:val="none"/>
        </w:rPr>
        <w:t>The main aim of the service is to support young people to prevent or overcome difficulties related to housing before they worsen, promoting independence, resilience and long-term stability. The service is expected to deliver the following outcomes:</w:t>
      </w:r>
    </w:p>
    <w:p w:rsidRPr="008569D7" w:rsidR="00176158" w:rsidRDefault="00176158" w14:paraId="6FFCDC3B" w14:textId="77777777">
      <w:pPr>
        <w:numPr>
          <w:ilvl w:val="0"/>
          <w:numId w:val="12"/>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Reduce homelessness among young people</w:t>
      </w:r>
    </w:p>
    <w:p w:rsidRPr="008569D7" w:rsidR="00176158" w:rsidRDefault="00176158" w14:paraId="5299BDDE" w14:textId="77777777">
      <w:pPr>
        <w:numPr>
          <w:ilvl w:val="0"/>
          <w:numId w:val="12"/>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Improve housing stability</w:t>
      </w:r>
    </w:p>
    <w:p w:rsidRPr="008569D7" w:rsidR="00176158" w:rsidRDefault="00176158" w14:paraId="6F15BFFE" w14:textId="77777777">
      <w:pPr>
        <w:numPr>
          <w:ilvl w:val="0"/>
          <w:numId w:val="12"/>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Increase access to services</w:t>
      </w:r>
    </w:p>
    <w:p w:rsidRPr="005D62B4" w:rsidR="00176158" w:rsidP="005D62B4" w:rsidRDefault="00176158" w14:paraId="2492587E" w14:textId="73CA69BE">
      <w:pPr>
        <w:numPr>
          <w:ilvl w:val="0"/>
          <w:numId w:val="12"/>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Improve wellbeing</w:t>
      </w:r>
    </w:p>
    <w:p w:rsidRPr="008569D7" w:rsidR="00AB43EA" w:rsidP="00AB43EA" w:rsidRDefault="00AB43EA" w14:paraId="4A64E92C" w14:textId="046F2BCC">
      <w:pPr>
        <w:spacing w:after="0" w:line="300" w:lineRule="atLeast"/>
        <w:rPr>
          <w:rFonts w:ascii="Segoe UI" w:hAnsi="Segoe UI" w:eastAsia="Times New Roman" w:cs="Segoe UI"/>
          <w:kern w:val="0"/>
          <w:sz w:val="21"/>
          <w:szCs w:val="21"/>
          <w:lang w:eastAsia="cy-GB"/>
          <w14:ligatures w14:val="none"/>
        </w:rPr>
      </w:pPr>
    </w:p>
    <w:p w:rsidRPr="008569D7" w:rsidR="00AB43EA" w:rsidP="00AB43EA" w:rsidRDefault="00AB43EA" w14:paraId="1C521BD9" w14:textId="77777777">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8. Approach and Working Principles</w:t>
      </w:r>
    </w:p>
    <w:p w:rsidRPr="008569D7" w:rsidR="00176158" w:rsidP="00176158" w:rsidRDefault="00176158" w14:paraId="00CAD6A2"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will adopt an approach based on the principles of a Psychologically Informed Environment (PIE) and a trauma-informed approach.</w:t>
      </w:r>
    </w:p>
    <w:p w:rsidRPr="008569D7" w:rsidR="00176158" w:rsidP="00176158" w:rsidRDefault="00176158" w14:paraId="0098B496"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ensure that this approach is embedded in all aspects of service delivery.</w:t>
      </w:r>
    </w:p>
    <w:p w:rsidRPr="008569D7" w:rsidR="00176158" w:rsidP="00176158" w:rsidRDefault="00176158" w14:paraId="7D5486A7"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must:</w:t>
      </w:r>
    </w:p>
    <w:p w:rsidRPr="008569D7" w:rsidR="00176158" w:rsidRDefault="00176158" w14:paraId="2EBEA7CB" w14:textId="77777777">
      <w:pPr>
        <w:numPr>
          <w:ilvl w:val="0"/>
          <w:numId w:val="13"/>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Ensure that staff are appropriately trained in PIE and a trauma-informed approach</w:t>
      </w:r>
    </w:p>
    <w:p w:rsidRPr="008569D7" w:rsidR="00176158" w:rsidRDefault="00176158" w14:paraId="6337F049" w14:textId="77777777">
      <w:pPr>
        <w:numPr>
          <w:ilvl w:val="0"/>
          <w:numId w:val="13"/>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Demonstrate understanding of the impact of trauma and adverse childhood experiences on young people</w:t>
      </w:r>
    </w:p>
    <w:p w:rsidRPr="008569D7" w:rsidR="00176158" w:rsidRDefault="00176158" w14:paraId="7409FCAE" w14:textId="77777777">
      <w:pPr>
        <w:numPr>
          <w:ilvl w:val="0"/>
          <w:numId w:val="13"/>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Adopt an empathetic, non-judgemental and strengths-based approach</w:t>
      </w:r>
    </w:p>
    <w:p w:rsidRPr="008569D7" w:rsidR="00176158" w:rsidRDefault="00176158" w14:paraId="3E2F8916" w14:textId="77777777">
      <w:pPr>
        <w:numPr>
          <w:ilvl w:val="0"/>
          <w:numId w:val="13"/>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Create an environment that promotes a sense of safety, trust and consistency</w:t>
      </w:r>
    </w:p>
    <w:p w:rsidRPr="008569D7" w:rsidR="00176158" w:rsidRDefault="00176158" w14:paraId="40AADDCB" w14:textId="77777777">
      <w:pPr>
        <w:numPr>
          <w:ilvl w:val="0"/>
          <w:numId w:val="13"/>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Ensure that young people are actively involved in their decisions and their support plans</w:t>
      </w:r>
    </w:p>
    <w:p w:rsidRPr="005D62B4" w:rsidR="00176158" w:rsidP="005D62B4" w:rsidRDefault="00176158" w14:paraId="193543A5" w14:textId="37479636">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be able to demonstrate how these principles are implemented in practice as part of their delivery model.</w:t>
      </w:r>
    </w:p>
    <w:p w:rsidRPr="008569D7" w:rsidR="00AB43EA" w:rsidP="00AB43EA" w:rsidRDefault="00AB43EA" w14:paraId="0E8033B0" w14:textId="37EFE351">
      <w:pPr>
        <w:spacing w:after="0" w:line="300" w:lineRule="atLeast"/>
        <w:rPr>
          <w:rFonts w:ascii="Segoe UI" w:hAnsi="Segoe UI" w:eastAsia="Times New Roman" w:cs="Segoe UI"/>
          <w:kern w:val="0"/>
          <w:sz w:val="21"/>
          <w:szCs w:val="21"/>
          <w:lang w:eastAsia="cy-GB"/>
          <w14:ligatures w14:val="none"/>
        </w:rPr>
      </w:pPr>
    </w:p>
    <w:p w:rsidRPr="008569D7" w:rsidR="00AB43EA" w:rsidP="00AB43EA" w:rsidRDefault="00AB43EA" w14:paraId="674B8D13" w14:textId="77777777">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9. Staffing Requirements</w:t>
      </w:r>
    </w:p>
    <w:p w:rsidRPr="008569D7" w:rsidR="00176158" w:rsidP="000A5DAB" w:rsidRDefault="00176158" w14:paraId="14E607E0"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ensure that they have an appropriate staffing structure to deliver the service effectively.</w:t>
      </w:r>
    </w:p>
    <w:p w:rsidRPr="008569D7" w:rsidR="00176158" w:rsidP="000A5DAB" w:rsidRDefault="00176158" w14:paraId="57C8DAB7"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Staff are expected to:</w:t>
      </w:r>
    </w:p>
    <w:p w:rsidRPr="008569D7" w:rsidR="00176158" w:rsidP="000A5DAB" w:rsidRDefault="00176158" w14:paraId="4F7B7D1D" w14:textId="77777777">
      <w:pPr>
        <w:numPr>
          <w:ilvl w:val="0"/>
          <w:numId w:val="14"/>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Be skilled support workers with relevant experience of working with young people</w:t>
      </w:r>
    </w:p>
    <w:p w:rsidRPr="008569D7" w:rsidR="00176158" w:rsidP="000A5DAB" w:rsidRDefault="00176158" w14:paraId="4F7BAB2F"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All staff must receive appropriate training, including:</w:t>
      </w:r>
    </w:p>
    <w:p w:rsidRPr="008569D7" w:rsidR="00176158" w:rsidP="000A5DAB" w:rsidRDefault="00176158" w14:paraId="56630842" w14:textId="77777777">
      <w:pPr>
        <w:numPr>
          <w:ilvl w:val="0"/>
          <w:numId w:val="15"/>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Psychologically Informed Environments (PIE)</w:t>
      </w:r>
    </w:p>
    <w:p w:rsidRPr="008569D7" w:rsidR="00176158" w:rsidP="000A5DAB" w:rsidRDefault="00176158" w14:paraId="3040B22E" w14:textId="77777777">
      <w:pPr>
        <w:numPr>
          <w:ilvl w:val="0"/>
          <w:numId w:val="15"/>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Trauma-informed practice</w:t>
      </w:r>
    </w:p>
    <w:p w:rsidRPr="008569D7" w:rsidR="00176158" w:rsidP="000A5DAB" w:rsidRDefault="00176158" w14:paraId="3D005F42" w14:textId="77777777">
      <w:pPr>
        <w:numPr>
          <w:ilvl w:val="0"/>
          <w:numId w:val="15"/>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Safeguarding</w:t>
      </w:r>
    </w:p>
    <w:p w:rsidRPr="008569D7" w:rsidR="00176158" w:rsidP="000A5DAB" w:rsidRDefault="00176158" w14:paraId="52534AEE"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Staff are expected to </w:t>
      </w:r>
      <w:proofErr w:type="gramStart"/>
      <w:r w:rsidRPr="008569D7">
        <w:rPr>
          <w:rFonts w:eastAsia="Times New Roman" w:asciiTheme="majorHAnsi" w:hAnsiTheme="majorHAnsi" w:cstheme="majorHAnsi"/>
          <w:kern w:val="0"/>
          <w:lang w:eastAsia="cy-GB"/>
          <w14:ligatures w14:val="none"/>
        </w:rPr>
        <w:t>have an understanding of</w:t>
      </w:r>
      <w:proofErr w:type="gramEnd"/>
      <w:r w:rsidRPr="008569D7">
        <w:rPr>
          <w:rFonts w:eastAsia="Times New Roman" w:asciiTheme="majorHAnsi" w:hAnsiTheme="majorHAnsi" w:cstheme="majorHAnsi"/>
          <w:kern w:val="0"/>
          <w:lang w:eastAsia="cy-GB"/>
          <w14:ligatures w14:val="none"/>
        </w:rPr>
        <w:t xml:space="preserve"> diversity, equality and inclusion, including awareness of issues that affect LGBTQ+ young people and individuals of different gender identities and sexual orientations.</w:t>
      </w:r>
    </w:p>
    <w:p w:rsidRPr="008569D7" w:rsidR="00176158" w:rsidP="000A5DAB" w:rsidRDefault="00176158" w14:paraId="606E7223"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Staff must be able to deliver a service that is respectful, non-judgemental and person-centred, recognising and responding appropriately to the needs, experiences and identity of each young person.</w:t>
      </w:r>
    </w:p>
    <w:p w:rsidRPr="008569D7" w:rsidR="00176158" w:rsidP="000A5DAB" w:rsidRDefault="00176158" w14:paraId="081D9537"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ensure that staff receive appropriate training or professional development to support inclusive practice and promote equal access to the service.</w:t>
      </w:r>
    </w:p>
    <w:p w:rsidRPr="008569D7" w:rsidR="00176158" w:rsidP="000A5DAB" w:rsidRDefault="00176158" w14:paraId="71F2130E"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ensure that:</w:t>
      </w:r>
    </w:p>
    <w:p w:rsidRPr="008569D7" w:rsidR="00176158" w:rsidP="4B991855" w:rsidRDefault="00176158" w14:paraId="6ED1E323" w14:textId="77777777">
      <w:pPr>
        <w:numPr>
          <w:ilvl w:val="0"/>
          <w:numId w:val="16"/>
        </w:numPr>
        <w:spacing w:before="100" w:beforeAutospacing="on" w:after="100" w:afterAutospacing="on" w:line="25" w:lineRule="atLeast"/>
        <w:rPr>
          <w:rFonts w:ascii="Calibri Light" w:hAnsi="Calibri Light" w:eastAsia="Times New Roman" w:cs="Calibri Light" w:asciiTheme="majorAscii" w:hAnsiTheme="majorAscii" w:cstheme="majorAscii"/>
          <w:kern w:val="0"/>
          <w:lang w:eastAsia="cy-GB"/>
          <w14:ligatures w14:val="none"/>
        </w:rPr>
      </w:pPr>
      <w:r w:rsidRPr="4B991855" w:rsidR="1CDA568A">
        <w:rPr>
          <w:rFonts w:ascii="Calibri Light" w:hAnsi="Calibri Light" w:eastAsia="Times New Roman" w:cs="Calibri Light" w:asciiTheme="majorAscii" w:hAnsiTheme="majorAscii" w:cstheme="majorAscii"/>
          <w:kern w:val="0"/>
          <w:lang w:eastAsia="cy-GB"/>
          <w14:ligatures w14:val="none"/>
        </w:rPr>
        <w:t>All members of staff have received a satisfactory enhanced Disclosure and Barring Service (DBS) check prior to starting in their role</w:t>
      </w:r>
    </w:p>
    <w:p w:rsidR="4B991855" w:rsidP="4B991855" w:rsidRDefault="4B991855" w14:paraId="74C8CCE9" w14:textId="79936615">
      <w:pPr>
        <w:pStyle w:val="Normal"/>
        <w:spacing w:beforeAutospacing="on" w:afterAutospacing="on" w:line="25" w:lineRule="atLeast"/>
        <w:ind w:left="720"/>
        <w:rPr>
          <w:rFonts w:ascii="Calibri Light" w:hAnsi="Calibri Light" w:eastAsia="Times New Roman" w:cs="Calibri Light" w:asciiTheme="majorAscii" w:hAnsiTheme="majorAscii" w:cstheme="majorAscii"/>
          <w:lang w:eastAsia="cy-GB"/>
        </w:rPr>
      </w:pPr>
    </w:p>
    <w:p w:rsidRPr="008569D7" w:rsidR="00176158" w:rsidP="000A5DAB" w:rsidRDefault="00176158" w14:paraId="0503BB04"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must be fully bilingual:</w:t>
      </w:r>
    </w:p>
    <w:p w:rsidRPr="008569D7" w:rsidR="00176158" w:rsidP="000A5DAB" w:rsidRDefault="00176158" w14:paraId="7B2A4152" w14:textId="77777777">
      <w:pPr>
        <w:numPr>
          <w:ilvl w:val="0"/>
          <w:numId w:val="17"/>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All information, advice and support must be provided in Welsh and English, in line with the needs and preference of the individual</w:t>
      </w:r>
    </w:p>
    <w:p w:rsidRPr="008569D7" w:rsidR="00176158" w:rsidP="000A5DAB" w:rsidRDefault="00176158" w14:paraId="1F18E1D3" w14:textId="77777777">
      <w:pPr>
        <w:numPr>
          <w:ilvl w:val="0"/>
          <w:numId w:val="17"/>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Staff are expected to have the ability to deliver the service in Welsh</w:t>
      </w:r>
    </w:p>
    <w:p w:rsidRPr="008569D7" w:rsidR="00176158" w:rsidP="000A5DAB" w:rsidRDefault="00176158" w14:paraId="189C1905" w14:textId="77777777">
      <w:pPr>
        <w:numPr>
          <w:ilvl w:val="0"/>
          <w:numId w:val="17"/>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Any public activities or group sessions must be fully bilingual, with translation support available where necessary</w:t>
      </w:r>
    </w:p>
    <w:p w:rsidRPr="008569D7" w:rsidR="00176158" w:rsidP="000A5DAB" w:rsidRDefault="00176158" w14:paraId="3778A597"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ensure:</w:t>
      </w:r>
    </w:p>
    <w:p w:rsidRPr="008569D7" w:rsidR="00176158" w:rsidP="000A5DAB" w:rsidRDefault="00176158" w14:paraId="2A75645A" w14:textId="77777777">
      <w:pPr>
        <w:numPr>
          <w:ilvl w:val="0"/>
          <w:numId w:val="18"/>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Regular formal supervision for staff</w:t>
      </w:r>
    </w:p>
    <w:p w:rsidRPr="008569D7" w:rsidR="00176158" w:rsidP="000A5DAB" w:rsidRDefault="00176158" w14:paraId="7497AA02" w14:textId="77777777">
      <w:pPr>
        <w:numPr>
          <w:ilvl w:val="0"/>
          <w:numId w:val="18"/>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Annual performance evaluation</w:t>
      </w:r>
    </w:p>
    <w:p w:rsidRPr="008569D7" w:rsidR="00176158" w:rsidP="000A5DAB" w:rsidRDefault="00176158" w14:paraId="7961FC58" w14:textId="77777777">
      <w:pPr>
        <w:numPr>
          <w:ilvl w:val="0"/>
          <w:numId w:val="18"/>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 Personal Development Plan for each member of staff</w:t>
      </w:r>
    </w:p>
    <w:p w:rsidRPr="008569D7" w:rsidR="00176158" w:rsidP="000A5DAB" w:rsidRDefault="00176158" w14:paraId="3F1AB248" w14:textId="77777777">
      <w:pPr>
        <w:numPr>
          <w:ilvl w:val="0"/>
          <w:numId w:val="18"/>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Identification and provision for ongoing training needs</w:t>
      </w:r>
    </w:p>
    <w:p w:rsidRPr="005D62B4" w:rsidR="00176158" w:rsidP="005D62B4" w:rsidRDefault="00176158" w14:paraId="175BBC40" w14:textId="505A5694">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New staff are expected to receive induction within 3 months of starting in their role.</w:t>
      </w:r>
    </w:p>
    <w:p w:rsidR="00444972" w:rsidP="00AB43EA" w:rsidRDefault="00444972" w14:paraId="47F83667" w14:textId="77777777">
      <w:pPr>
        <w:spacing w:before="100" w:beforeAutospacing="1" w:after="100" w:afterAutospacing="1" w:line="300" w:lineRule="atLeast"/>
        <w:outlineLvl w:val="1"/>
        <w:rPr>
          <w:rFonts w:ascii="Segoe UI" w:hAnsi="Segoe UI" w:eastAsia="Times New Roman" w:cs="Segoe UI"/>
          <w:kern w:val="0"/>
          <w:sz w:val="21"/>
          <w:szCs w:val="21"/>
          <w:lang w:eastAsia="cy-GB"/>
          <w14:ligatures w14:val="none"/>
        </w:rPr>
      </w:pPr>
    </w:p>
    <w:p w:rsidRPr="008569D7" w:rsidR="00AB43EA" w:rsidP="00AB43EA" w:rsidRDefault="00AB43EA" w14:paraId="31745B39" w14:textId="40A9AA54">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4B991855" w:rsidR="20B4084D">
        <w:rPr>
          <w:rFonts w:eastAsia="Times New Roman" w:cs="Calibri" w:cstheme="minorAscii"/>
          <w:b w:val="1"/>
          <w:bCs w:val="1"/>
          <w:color w:val="2F5496" w:themeColor="accent1" w:themeShade="BF"/>
          <w:kern w:val="0"/>
          <w:sz w:val="28"/>
          <w:szCs w:val="28"/>
          <w:lang w:eastAsia="cy-GB"/>
          <w14:ligatures w14:val="none"/>
        </w:rPr>
        <w:t>10. Contract Value</w:t>
      </w:r>
    </w:p>
    <w:p w:rsidRPr="008569D7" w:rsidR="00176158" w:rsidP="4B991855" w:rsidRDefault="00176158" w14:paraId="64707EC6" w14:textId="33D78F7B">
      <w:pPr>
        <w:spacing w:before="0" w:beforeAutospacing="off" w:after="0" w:afterAutospacing="off" w:line="300" w:lineRule="auto"/>
        <w:rPr>
          <w:rFonts w:ascii="Calibri" w:hAnsi="Calibri" w:eastAsia="Calibri" w:cs="Calibri"/>
          <w:b w:val="0"/>
          <w:bCs w:val="0"/>
          <w:i w:val="0"/>
          <w:iCs w:val="0"/>
          <w:noProof w:val="0"/>
          <w:sz w:val="22"/>
          <w:szCs w:val="22"/>
          <w:lang w:val="en-GB"/>
        </w:rPr>
      </w:pPr>
      <w:r w:rsidRPr="4B991855" w:rsidR="0F0407D4">
        <w:rPr>
          <w:rFonts w:ascii="Calibri" w:hAnsi="Calibri" w:eastAsia="Calibri" w:cs="Calibri"/>
          <w:b w:val="0"/>
          <w:bCs w:val="0"/>
          <w:i w:val="0"/>
          <w:iCs w:val="0"/>
          <w:noProof w:val="0"/>
          <w:sz w:val="22"/>
          <w:szCs w:val="22"/>
          <w:lang w:val="en-GB"/>
        </w:rPr>
        <w:t>The maximum contract value for the initial contract period (Year 1) shall not exceed £118,545 (inclusive of VAT).</w:t>
      </w:r>
    </w:p>
    <w:p w:rsidRPr="008569D7" w:rsidR="00176158" w:rsidP="4B991855" w:rsidRDefault="00176158" w14:paraId="5875E203" w14:textId="7F941841">
      <w:pPr>
        <w:pStyle w:val="NormalWeb"/>
        <w:spacing w:line="300" w:lineRule="atLeast"/>
        <w:rPr>
          <w:rFonts w:ascii="Calibri Light" w:hAnsi="Calibri Light" w:cs="Calibri Light" w:asciiTheme="majorAscii" w:hAnsiTheme="majorAscii" w:cstheme="majorAscii"/>
          <w:sz w:val="22"/>
          <w:szCs w:val="22"/>
          <w:lang w:val="en-GB"/>
        </w:rPr>
      </w:pPr>
      <w:r w:rsidRPr="4B991855" w:rsidR="1CDA568A">
        <w:rPr>
          <w:rFonts w:ascii="Calibri Light" w:hAnsi="Calibri Light" w:cs="Calibri Light" w:asciiTheme="majorAscii" w:hAnsiTheme="majorAscii" w:cstheme="majorAscii"/>
          <w:sz w:val="22"/>
          <w:szCs w:val="22"/>
          <w:lang w:val="en-GB"/>
        </w:rPr>
        <w:t xml:space="preserve">The provider should </w:t>
      </w:r>
      <w:r w:rsidRPr="4B991855" w:rsidR="1CDA568A">
        <w:rPr>
          <w:rFonts w:ascii="Calibri Light" w:hAnsi="Calibri Light" w:cs="Calibri Light" w:asciiTheme="majorAscii" w:hAnsiTheme="majorAscii" w:cstheme="majorAscii"/>
          <w:sz w:val="22"/>
          <w:szCs w:val="22"/>
          <w:lang w:val="en-GB"/>
        </w:rPr>
        <w:t>submit</w:t>
      </w:r>
      <w:r w:rsidRPr="4B991855" w:rsidR="1CDA568A">
        <w:rPr>
          <w:rFonts w:ascii="Calibri Light" w:hAnsi="Calibri Light" w:cs="Calibri Light" w:asciiTheme="majorAscii" w:hAnsiTheme="majorAscii" w:cstheme="majorAscii"/>
          <w:sz w:val="22"/>
          <w:szCs w:val="22"/>
          <w:lang w:val="en-GB"/>
        </w:rPr>
        <w:t xml:space="preserve"> financial schedules based on the costs for Year 1.</w:t>
      </w:r>
    </w:p>
    <w:p w:rsidRPr="008569D7" w:rsidR="00176158" w:rsidP="00176158" w:rsidRDefault="00176158" w14:paraId="3D6C7CA9" w14:textId="77777777">
      <w:pPr>
        <w:pStyle w:val="NormalWeb"/>
        <w:spacing w:line="300" w:lineRule="atLeast"/>
        <w:rPr>
          <w:rFonts w:asciiTheme="majorHAnsi" w:hAnsiTheme="majorHAnsi" w:cstheme="majorHAnsi"/>
          <w:sz w:val="22"/>
          <w:szCs w:val="22"/>
          <w:lang w:val="en-GB"/>
        </w:rPr>
      </w:pPr>
      <w:r w:rsidRPr="008569D7">
        <w:rPr>
          <w:rFonts w:asciiTheme="majorHAnsi" w:hAnsiTheme="majorHAnsi" w:cstheme="majorHAnsi"/>
          <w:sz w:val="22"/>
          <w:szCs w:val="22"/>
          <w:lang w:val="en-GB"/>
        </w:rPr>
        <w:t>Subject to funding constraints, it is intended to include inflation in the overall agreement for Years 2 and 3.</w:t>
      </w:r>
    </w:p>
    <w:p w:rsidRPr="008569D7" w:rsidR="00176158" w:rsidP="4B991855" w:rsidRDefault="00176158" w14:paraId="05F724A2" w14:textId="26AD514F">
      <w:pPr>
        <w:pStyle w:val="NormalWeb"/>
        <w:spacing w:line="300" w:lineRule="atLeast"/>
        <w:rPr>
          <w:rFonts w:ascii="Calibri Light" w:hAnsi="Calibri Light" w:cs="Calibri Light" w:asciiTheme="majorAscii" w:hAnsiTheme="majorAscii" w:cstheme="majorAscii"/>
          <w:b w:val="1"/>
          <w:bCs w:val="1"/>
          <w:sz w:val="22"/>
          <w:szCs w:val="22"/>
          <w:lang w:val="en-GB"/>
        </w:rPr>
      </w:pPr>
      <w:r w:rsidRPr="4B991855" w:rsidR="1CDA568A">
        <w:rPr>
          <w:rStyle w:val="Strong"/>
          <w:rFonts w:ascii="Calibri Light" w:hAnsi="Calibri Light" w:cs="Calibri Light" w:asciiTheme="majorAscii" w:hAnsiTheme="majorAscii" w:cstheme="majorAscii"/>
          <w:b w:val="0"/>
          <w:bCs w:val="0"/>
          <w:sz w:val="22"/>
          <w:szCs w:val="22"/>
          <w:lang w:val="en-GB"/>
        </w:rPr>
        <w:t>THE START DATE OF THIS AGREEMENT IS 01/1</w:t>
      </w:r>
      <w:r w:rsidRPr="4B991855" w:rsidR="00DF2B71">
        <w:rPr>
          <w:rStyle w:val="Strong"/>
          <w:rFonts w:ascii="Calibri Light" w:hAnsi="Calibri Light" w:cs="Calibri Light" w:asciiTheme="majorAscii" w:hAnsiTheme="majorAscii" w:cstheme="majorAscii"/>
          <w:b w:val="0"/>
          <w:bCs w:val="0"/>
          <w:sz w:val="22"/>
          <w:szCs w:val="22"/>
          <w:lang w:val="en-GB"/>
        </w:rPr>
        <w:t>2</w:t>
      </w:r>
      <w:r w:rsidRPr="4B991855" w:rsidR="1CDA568A">
        <w:rPr>
          <w:rStyle w:val="Strong"/>
          <w:rFonts w:ascii="Calibri Light" w:hAnsi="Calibri Light" w:cs="Calibri Light" w:asciiTheme="majorAscii" w:hAnsiTheme="majorAscii" w:cstheme="majorAscii"/>
          <w:b w:val="0"/>
          <w:bCs w:val="0"/>
          <w:sz w:val="22"/>
          <w:szCs w:val="22"/>
          <w:lang w:val="en-GB"/>
        </w:rPr>
        <w:t>/2026 TO 3</w:t>
      </w:r>
      <w:r w:rsidRPr="4B991855" w:rsidR="0006F16F">
        <w:rPr>
          <w:rStyle w:val="Strong"/>
          <w:rFonts w:ascii="Calibri Light" w:hAnsi="Calibri Light" w:cs="Calibri Light" w:asciiTheme="majorAscii" w:hAnsiTheme="majorAscii" w:cstheme="majorAscii"/>
          <w:b w:val="0"/>
          <w:bCs w:val="0"/>
          <w:sz w:val="22"/>
          <w:szCs w:val="22"/>
          <w:lang w:val="en-GB"/>
        </w:rPr>
        <w:t>0</w:t>
      </w:r>
      <w:r w:rsidRPr="4B991855" w:rsidR="1CDA568A">
        <w:rPr>
          <w:rStyle w:val="Strong"/>
          <w:rFonts w:ascii="Calibri Light" w:hAnsi="Calibri Light" w:cs="Calibri Light" w:asciiTheme="majorAscii" w:hAnsiTheme="majorAscii" w:cstheme="majorAscii"/>
          <w:b w:val="0"/>
          <w:bCs w:val="0"/>
          <w:sz w:val="22"/>
          <w:szCs w:val="22"/>
          <w:lang w:val="en-GB"/>
        </w:rPr>
        <w:t>/1</w:t>
      </w:r>
      <w:r w:rsidRPr="4B991855" w:rsidR="1BABC720">
        <w:rPr>
          <w:rStyle w:val="Strong"/>
          <w:rFonts w:ascii="Calibri Light" w:hAnsi="Calibri Light" w:cs="Calibri Light" w:asciiTheme="majorAscii" w:hAnsiTheme="majorAscii" w:cstheme="majorAscii"/>
          <w:b w:val="0"/>
          <w:bCs w:val="0"/>
          <w:sz w:val="22"/>
          <w:szCs w:val="22"/>
          <w:lang w:val="en-GB"/>
        </w:rPr>
        <w:t>1</w:t>
      </w:r>
      <w:r w:rsidRPr="4B991855" w:rsidR="1CDA568A">
        <w:rPr>
          <w:rStyle w:val="Strong"/>
          <w:rFonts w:ascii="Calibri Light" w:hAnsi="Calibri Light" w:cs="Calibri Light" w:asciiTheme="majorAscii" w:hAnsiTheme="majorAscii" w:cstheme="majorAscii"/>
          <w:b w:val="0"/>
          <w:bCs w:val="0"/>
          <w:sz w:val="22"/>
          <w:szCs w:val="22"/>
          <w:lang w:val="en-GB"/>
        </w:rPr>
        <w:t>/2029 WITH OPTIONS TO EXTEND ON A YEAR-BY-YEAR BASIS UP TO 31/10/2032 (INITIAL 3 YEARS WITH OPTIONS FOR +1 +1 +1 – MAXIMUM OF 6 YEARS)</w:t>
      </w:r>
    </w:p>
    <w:p w:rsidRPr="008569D7" w:rsidR="00176158" w:rsidP="00176158" w:rsidRDefault="00176158" w14:paraId="75450808" w14:textId="77777777">
      <w:pPr>
        <w:pStyle w:val="NormalWeb"/>
        <w:spacing w:line="300" w:lineRule="atLeast"/>
        <w:rPr>
          <w:rFonts w:asciiTheme="majorHAnsi" w:hAnsiTheme="majorHAnsi" w:cstheme="majorHAnsi"/>
          <w:sz w:val="22"/>
          <w:szCs w:val="22"/>
          <w:lang w:val="en-GB"/>
        </w:rPr>
      </w:pPr>
      <w:r w:rsidRPr="008569D7">
        <w:rPr>
          <w:rFonts w:asciiTheme="majorHAnsi" w:hAnsiTheme="majorHAnsi" w:cstheme="majorHAnsi"/>
          <w:sz w:val="22"/>
          <w:szCs w:val="22"/>
          <w:lang w:val="en-GB"/>
        </w:rPr>
        <w:t>Central Management Fees should not be more than 10% of the total direct and indirect cost of delivering the services.</w:t>
      </w:r>
    </w:p>
    <w:p w:rsidRPr="005D62B4" w:rsidR="00176158" w:rsidP="005D62B4" w:rsidRDefault="00176158" w14:paraId="258FD8EC" w14:textId="34B8581D">
      <w:pPr>
        <w:pStyle w:val="NormalWeb"/>
        <w:spacing w:line="300" w:lineRule="atLeast"/>
        <w:rPr>
          <w:rFonts w:asciiTheme="majorHAnsi" w:hAnsiTheme="majorHAnsi" w:cstheme="majorHAnsi"/>
          <w:sz w:val="22"/>
          <w:szCs w:val="22"/>
          <w:lang w:val="en-GB"/>
        </w:rPr>
      </w:pPr>
      <w:r w:rsidRPr="008569D7">
        <w:rPr>
          <w:rFonts w:asciiTheme="majorHAnsi" w:hAnsiTheme="majorHAnsi" w:cstheme="majorHAnsi"/>
          <w:sz w:val="22"/>
          <w:szCs w:val="22"/>
          <w:lang w:val="en-GB"/>
        </w:rPr>
        <w:t>Payments will be made to the provider following receipt of a monthly/quarterly invoice.</w:t>
      </w:r>
    </w:p>
    <w:p w:rsidRPr="008569D7" w:rsidR="00AB43EA" w:rsidP="00AB43EA" w:rsidRDefault="00AB43EA" w14:paraId="60568353" w14:textId="07A0D8CB">
      <w:pPr>
        <w:spacing w:after="0" w:line="300" w:lineRule="atLeast"/>
        <w:rPr>
          <w:rFonts w:ascii="Segoe UI" w:hAnsi="Segoe UI" w:eastAsia="Times New Roman" w:cs="Segoe UI"/>
          <w:kern w:val="0"/>
          <w:sz w:val="21"/>
          <w:szCs w:val="21"/>
          <w:lang w:eastAsia="cy-GB"/>
          <w14:ligatures w14:val="none"/>
        </w:rPr>
      </w:pPr>
    </w:p>
    <w:p w:rsidRPr="008569D7" w:rsidR="00AB43EA" w:rsidP="00AB43EA" w:rsidRDefault="00AB43EA" w14:paraId="71F8E64F" w14:textId="77777777">
      <w:pPr>
        <w:spacing w:before="100" w:beforeAutospacing="1" w:after="100" w:afterAutospacing="1" w:line="300" w:lineRule="atLeast"/>
        <w:outlineLvl w:val="1"/>
        <w:rPr>
          <w:rFonts w:ascii="Calibri" w:hAnsi="Calibri" w:eastAsia="Times New Roman" w:cs="Calibri"/>
          <w:b/>
          <w:bCs/>
          <w:color w:val="2F5496" w:themeColor="accent1" w:themeShade="BF"/>
          <w:kern w:val="0"/>
          <w:sz w:val="28"/>
          <w:szCs w:val="28"/>
          <w:lang w:eastAsia="cy-GB"/>
          <w14:ligatures w14:val="none"/>
        </w:rPr>
      </w:pPr>
      <w:r w:rsidRPr="008569D7">
        <w:rPr>
          <w:rFonts w:ascii="Calibri" w:hAnsi="Calibri" w:eastAsia="Times New Roman" w:cs="Calibri"/>
          <w:b/>
          <w:bCs/>
          <w:color w:val="2F5496" w:themeColor="accent1" w:themeShade="BF"/>
          <w:kern w:val="0"/>
          <w:sz w:val="28"/>
          <w:szCs w:val="28"/>
          <w:lang w:eastAsia="cy-GB"/>
          <w14:ligatures w14:val="none"/>
        </w:rPr>
        <w:t>10.1 Contract Expansion</w:t>
      </w:r>
    </w:p>
    <w:p w:rsidRPr="008569D7" w:rsidR="0083794C" w:rsidP="0083794C" w:rsidRDefault="0083794C" w14:paraId="37E70F75"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Authority recognises that the needs and demand for the service may change over time. As a result, there may be opportunities to:</w:t>
      </w:r>
    </w:p>
    <w:p w:rsidRPr="008569D7" w:rsidR="0083794C" w:rsidP="00504887" w:rsidRDefault="0083794C" w14:paraId="3648C6E2" w14:textId="77777777">
      <w:pPr>
        <w:numPr>
          <w:ilvl w:val="0"/>
          <w:numId w:val="19"/>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expand or adapt the provision</w:t>
      </w:r>
    </w:p>
    <w:p w:rsidRPr="008569D7" w:rsidR="0083794C" w:rsidP="00504887" w:rsidRDefault="0083794C" w14:paraId="21029B9A" w14:textId="77777777">
      <w:pPr>
        <w:numPr>
          <w:ilvl w:val="0"/>
          <w:numId w:val="19"/>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develop new service elements</w:t>
      </w:r>
    </w:p>
    <w:p w:rsidRPr="008569D7" w:rsidR="0083794C" w:rsidP="0083794C" w:rsidRDefault="0083794C" w14:paraId="7C183211"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Any changes or expansion will be subject to:</w:t>
      </w:r>
    </w:p>
    <w:p w:rsidRPr="008569D7" w:rsidR="0083794C" w:rsidRDefault="0083794C" w14:paraId="4745AF2F" w14:textId="77777777">
      <w:pPr>
        <w:numPr>
          <w:ilvl w:val="0"/>
          <w:numId w:val="20"/>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availability of additional funding</w:t>
      </w:r>
    </w:p>
    <w:p w:rsidRPr="008569D7" w:rsidR="0083794C" w:rsidRDefault="0083794C" w14:paraId="575E8566" w14:textId="77777777">
      <w:pPr>
        <w:numPr>
          <w:ilvl w:val="0"/>
          <w:numId w:val="20"/>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evidence of need</w:t>
      </w:r>
    </w:p>
    <w:p w:rsidRPr="008569D7" w:rsidR="0083794C" w:rsidRDefault="0083794C" w14:paraId="60308666" w14:textId="77777777">
      <w:pPr>
        <w:numPr>
          <w:ilvl w:val="0"/>
          <w:numId w:val="20"/>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agreement between the parties</w:t>
      </w:r>
    </w:p>
    <w:p w:rsidRPr="005D62B4" w:rsidR="00AB43EA" w:rsidP="00AB43EA" w:rsidRDefault="0083794C" w14:paraId="74A858C3" w14:textId="1F191D0A">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Authority does not guarantee additional funding but seeks to work in partnership to develop the service where appropriate.</w:t>
      </w:r>
    </w:p>
    <w:p w:rsidRPr="008569D7" w:rsidR="00AB43EA" w:rsidP="00AB43EA" w:rsidRDefault="00AB43EA" w14:paraId="7962189D" w14:textId="184BD7C0">
      <w:pPr>
        <w:spacing w:after="0" w:line="300" w:lineRule="atLeast"/>
        <w:rPr>
          <w:rFonts w:ascii="Segoe UI" w:hAnsi="Segoe UI" w:eastAsia="Times New Roman" w:cs="Segoe UI"/>
          <w:kern w:val="0"/>
          <w:sz w:val="21"/>
          <w:szCs w:val="21"/>
          <w:lang w:eastAsia="cy-GB"/>
          <w14:ligatures w14:val="none"/>
        </w:rPr>
      </w:pPr>
    </w:p>
    <w:p w:rsidRPr="008569D7" w:rsidR="00AB43EA" w:rsidP="00AB43EA" w:rsidRDefault="00AB43EA" w14:paraId="43572EE7" w14:textId="77777777">
      <w:pPr>
        <w:spacing w:before="100" w:beforeAutospacing="1" w:after="100" w:afterAutospacing="1" w:line="300"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 xml:space="preserve">11. Funding and </w:t>
      </w:r>
      <w:proofErr w:type="gramStart"/>
      <w:r w:rsidRPr="008569D7">
        <w:rPr>
          <w:rFonts w:eastAsia="Times New Roman" w:cstheme="minorHAnsi"/>
          <w:b/>
          <w:bCs/>
          <w:color w:val="2F5496" w:themeColor="accent1" w:themeShade="BF"/>
          <w:kern w:val="0"/>
          <w:sz w:val="28"/>
          <w:szCs w:val="28"/>
          <w:lang w:eastAsia="cy-GB"/>
          <w14:ligatures w14:val="none"/>
        </w:rPr>
        <w:t>Non-Duplication</w:t>
      </w:r>
      <w:proofErr w:type="gramEnd"/>
    </w:p>
    <w:p w:rsidRPr="008569D7" w:rsidR="0083794C" w:rsidP="0083794C" w:rsidRDefault="0083794C" w14:paraId="05AEF344"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ensure that this service does not duplicate provision that is funded through other sources.</w:t>
      </w:r>
    </w:p>
    <w:p w:rsidRPr="008569D7" w:rsidR="00504887" w:rsidP="00504887" w:rsidRDefault="0083794C" w14:paraId="21BD250C" w14:textId="77777777">
      <w:pPr>
        <w:spacing w:before="80" w:after="80"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w:t>
      </w:r>
    </w:p>
    <w:p w:rsidRPr="008569D7" w:rsidR="0083794C" w:rsidP="00504887" w:rsidRDefault="001E1823" w14:paraId="43820695" w14:textId="42D9346E">
      <w:pPr>
        <w:spacing w:before="80" w:after="80"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t>
      </w:r>
      <w:r w:rsidRPr="008569D7" w:rsidR="0083794C">
        <w:rPr>
          <w:rFonts w:eastAsia="Times New Roman" w:asciiTheme="majorHAnsi" w:hAnsiTheme="majorHAnsi" w:cstheme="majorHAnsi"/>
          <w:kern w:val="0"/>
          <w:lang w:eastAsia="cy-GB"/>
          <w14:ligatures w14:val="none"/>
        </w:rPr>
        <w:t>Demonstrate clear additional value</w:t>
      </w:r>
    </w:p>
    <w:p w:rsidRPr="008569D7" w:rsidR="0083794C" w:rsidP="00504887" w:rsidRDefault="001E1823" w14:paraId="6E436688" w14:textId="348A9E85">
      <w:pPr>
        <w:spacing w:before="80" w:after="80"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t>
      </w:r>
      <w:r w:rsidRPr="008569D7" w:rsidR="0083794C">
        <w:rPr>
          <w:rFonts w:eastAsia="Times New Roman" w:asciiTheme="majorHAnsi" w:hAnsiTheme="majorHAnsi" w:cstheme="majorHAnsi"/>
          <w:kern w:val="0"/>
          <w:lang w:eastAsia="cy-GB"/>
          <w14:ligatures w14:val="none"/>
        </w:rPr>
        <w:t>Declare all relevant sources of funding</w:t>
      </w:r>
    </w:p>
    <w:p w:rsidRPr="008569D7" w:rsidR="0083794C" w:rsidP="00504887" w:rsidRDefault="001E1823" w14:paraId="2AC15888" w14:textId="44F023D1">
      <w:pPr>
        <w:spacing w:before="80" w:after="80"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t>
      </w:r>
      <w:r w:rsidRPr="008569D7" w:rsidR="0083794C">
        <w:rPr>
          <w:rFonts w:eastAsia="Times New Roman" w:asciiTheme="majorHAnsi" w:hAnsiTheme="majorHAnsi" w:cstheme="majorHAnsi"/>
          <w:kern w:val="0"/>
          <w:lang w:eastAsia="cy-GB"/>
          <w14:ligatures w14:val="none"/>
        </w:rPr>
        <w:t>Ensure that there is no double funding</w:t>
      </w:r>
    </w:p>
    <w:p w:rsidRPr="008569D7" w:rsidR="0083794C" w:rsidP="0083794C" w:rsidRDefault="0083794C" w14:paraId="566E2D40"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will represent new provision or an expansion of existing provision with clear evidence of additionality.</w:t>
      </w:r>
    </w:p>
    <w:p w:rsidR="00444972" w:rsidP="00444972" w:rsidRDefault="0083794C" w14:paraId="45DAB0E3"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Council has the right to request financial evidence and to recover funding if duplication is identified.</w:t>
      </w:r>
    </w:p>
    <w:p w:rsidR="001E5ADC" w:rsidP="00AB43EA" w:rsidRDefault="001E5ADC" w14:paraId="655DD620" w14:textId="77777777">
      <w:pPr>
        <w:spacing w:before="100" w:beforeAutospacing="1" w:after="100" w:afterAutospacing="1" w:line="300" w:lineRule="atLeast"/>
        <w:outlineLvl w:val="1"/>
        <w:rPr>
          <w:rFonts w:ascii="Calibri" w:hAnsi="Calibri" w:eastAsia="Times New Roman" w:cs="Calibri"/>
          <w:b/>
          <w:bCs/>
          <w:color w:val="2F5496" w:themeColor="accent1" w:themeShade="BF"/>
          <w:kern w:val="0"/>
          <w:sz w:val="28"/>
          <w:szCs w:val="28"/>
          <w:lang w:eastAsia="cy-GB"/>
          <w14:ligatures w14:val="none"/>
        </w:rPr>
      </w:pPr>
    </w:p>
    <w:p w:rsidRPr="008569D7" w:rsidR="00AB43EA" w:rsidP="00AB43EA" w:rsidRDefault="00AB43EA" w14:paraId="509942BE" w14:textId="4BAA752B">
      <w:pPr>
        <w:spacing w:before="100" w:beforeAutospacing="1" w:after="100" w:afterAutospacing="1" w:line="300" w:lineRule="atLeast"/>
        <w:outlineLvl w:val="1"/>
        <w:rPr>
          <w:rFonts w:ascii="Calibri" w:hAnsi="Calibri" w:eastAsia="Times New Roman" w:cs="Calibri"/>
          <w:b/>
          <w:bCs/>
          <w:color w:val="2F5496" w:themeColor="accent1" w:themeShade="BF"/>
          <w:kern w:val="0"/>
          <w:sz w:val="28"/>
          <w:szCs w:val="28"/>
          <w:lang w:eastAsia="cy-GB"/>
          <w14:ligatures w14:val="none"/>
        </w:rPr>
      </w:pPr>
      <w:r w:rsidRPr="008569D7">
        <w:rPr>
          <w:rFonts w:ascii="Calibri" w:hAnsi="Calibri" w:eastAsia="Times New Roman" w:cs="Calibri"/>
          <w:b/>
          <w:bCs/>
          <w:color w:val="2F5496" w:themeColor="accent1" w:themeShade="BF"/>
          <w:kern w:val="0"/>
          <w:sz w:val="28"/>
          <w:szCs w:val="28"/>
          <w:lang w:eastAsia="cy-GB"/>
          <w14:ligatures w14:val="none"/>
        </w:rPr>
        <w:t>12. Service Development and Partnership Working</w:t>
      </w:r>
    </w:p>
    <w:p w:rsidRPr="008569D7" w:rsidR="0083794C" w:rsidP="00735793" w:rsidRDefault="0083794C" w14:paraId="1B54F6E4" w14:textId="77777777">
      <w:pPr>
        <w:pStyle w:val="Heading1"/>
        <w:rPr>
          <w:rFonts w:eastAsia="Times New Roman" w:cstheme="majorHAnsi"/>
          <w:color w:val="000000" w:themeColor="text1"/>
          <w:sz w:val="22"/>
          <w:szCs w:val="22"/>
          <w:lang w:eastAsia="cy-GB"/>
        </w:rPr>
      </w:pPr>
      <w:r w:rsidRPr="008569D7">
        <w:rPr>
          <w:rFonts w:eastAsia="Times New Roman" w:cstheme="majorHAnsi"/>
          <w:color w:val="000000" w:themeColor="text1"/>
          <w:sz w:val="22"/>
          <w:szCs w:val="22"/>
          <w:lang w:eastAsia="cy-GB"/>
        </w:rPr>
        <w:t>The provider is expected to work closely with the Authority throughout the agreement to develop a detailed understanding of the needs of young people in Gwynedd.</w:t>
      </w:r>
    </w:p>
    <w:p w:rsidRPr="008569D7" w:rsidR="0083794C" w:rsidP="00735793" w:rsidRDefault="0083794C" w14:paraId="259059FA" w14:textId="77777777">
      <w:pPr>
        <w:pStyle w:val="Heading1"/>
        <w:rPr>
          <w:rFonts w:eastAsia="Times New Roman" w:cstheme="majorHAnsi"/>
          <w:color w:val="000000" w:themeColor="text1"/>
          <w:sz w:val="22"/>
          <w:szCs w:val="22"/>
          <w:lang w:eastAsia="cy-GB"/>
        </w:rPr>
      </w:pPr>
      <w:r w:rsidRPr="008569D7">
        <w:rPr>
          <w:rFonts w:eastAsia="Times New Roman" w:cstheme="majorHAnsi"/>
          <w:color w:val="000000" w:themeColor="text1"/>
          <w:sz w:val="22"/>
          <w:szCs w:val="22"/>
          <w:lang w:eastAsia="cy-GB"/>
        </w:rPr>
        <w:t>This will include:</w:t>
      </w:r>
    </w:p>
    <w:p w:rsidRPr="008569D7" w:rsidR="0083794C" w:rsidP="00504887" w:rsidRDefault="00735793" w14:paraId="2DD89ACC" w14:textId="7ADFD8E0">
      <w:pPr>
        <w:pStyle w:val="Heading1"/>
        <w:spacing w:before="80" w:after="0" w:line="240" w:lineRule="auto"/>
        <w:rPr>
          <w:rFonts w:eastAsia="Times New Roman" w:cstheme="majorHAnsi"/>
          <w:color w:val="000000" w:themeColor="text1"/>
          <w:sz w:val="22"/>
          <w:szCs w:val="22"/>
          <w:lang w:eastAsia="cy-GB"/>
        </w:rPr>
      </w:pPr>
      <w:r w:rsidRPr="008569D7">
        <w:rPr>
          <w:rFonts w:eastAsia="Times New Roman" w:cstheme="majorHAnsi"/>
          <w:color w:val="000000" w:themeColor="text1"/>
          <w:sz w:val="22"/>
          <w:szCs w:val="22"/>
          <w:lang w:eastAsia="cy-GB"/>
        </w:rPr>
        <w:t>-</w:t>
      </w:r>
      <w:r w:rsidRPr="008569D7" w:rsidR="0083794C">
        <w:rPr>
          <w:rFonts w:eastAsia="Times New Roman" w:cstheme="majorHAnsi"/>
          <w:color w:val="000000" w:themeColor="text1"/>
          <w:sz w:val="22"/>
          <w:szCs w:val="22"/>
          <w:lang w:eastAsia="cy-GB"/>
        </w:rPr>
        <w:t>Identifying areas of high demand</w:t>
      </w:r>
    </w:p>
    <w:p w:rsidRPr="008569D7" w:rsidR="0083794C" w:rsidP="00504887" w:rsidRDefault="00735793" w14:paraId="69B748D1" w14:textId="788FF38C">
      <w:pPr>
        <w:pStyle w:val="Heading1"/>
        <w:spacing w:before="80" w:after="0" w:line="240" w:lineRule="auto"/>
        <w:rPr>
          <w:rFonts w:eastAsia="Times New Roman" w:cstheme="majorHAnsi"/>
          <w:color w:val="000000" w:themeColor="text1"/>
          <w:sz w:val="22"/>
          <w:szCs w:val="22"/>
          <w:lang w:eastAsia="cy-GB"/>
        </w:rPr>
      </w:pPr>
      <w:r w:rsidRPr="008569D7">
        <w:rPr>
          <w:rFonts w:eastAsia="Times New Roman" w:cstheme="majorHAnsi"/>
          <w:color w:val="000000" w:themeColor="text1"/>
          <w:sz w:val="22"/>
          <w:szCs w:val="22"/>
          <w:lang w:eastAsia="cy-GB"/>
        </w:rPr>
        <w:t>-</w:t>
      </w:r>
      <w:r w:rsidRPr="008569D7" w:rsidR="0083794C">
        <w:rPr>
          <w:rFonts w:eastAsia="Times New Roman" w:cstheme="majorHAnsi"/>
          <w:color w:val="000000" w:themeColor="text1"/>
          <w:sz w:val="22"/>
          <w:szCs w:val="22"/>
          <w:lang w:eastAsia="cy-GB"/>
        </w:rPr>
        <w:t>Understanding the issues facing young people</w:t>
      </w:r>
    </w:p>
    <w:p w:rsidRPr="008569D7" w:rsidR="0083794C" w:rsidP="00504887" w:rsidRDefault="00735793" w14:paraId="3771696C" w14:textId="457F2A89">
      <w:pPr>
        <w:pStyle w:val="Heading1"/>
        <w:spacing w:before="80" w:after="0" w:line="240" w:lineRule="auto"/>
        <w:rPr>
          <w:rFonts w:eastAsia="Times New Roman" w:cstheme="majorHAnsi"/>
          <w:color w:val="000000" w:themeColor="text1"/>
          <w:sz w:val="22"/>
          <w:szCs w:val="22"/>
          <w:lang w:eastAsia="cy-GB"/>
        </w:rPr>
      </w:pPr>
      <w:r w:rsidRPr="008569D7">
        <w:rPr>
          <w:rFonts w:eastAsia="Times New Roman" w:cstheme="majorHAnsi"/>
          <w:color w:val="000000" w:themeColor="text1"/>
          <w:sz w:val="22"/>
          <w:szCs w:val="22"/>
          <w:lang w:eastAsia="cy-GB"/>
        </w:rPr>
        <w:t>-</w:t>
      </w:r>
      <w:r w:rsidRPr="008569D7" w:rsidR="0083794C">
        <w:rPr>
          <w:rFonts w:eastAsia="Times New Roman" w:cstheme="majorHAnsi"/>
          <w:color w:val="000000" w:themeColor="text1"/>
          <w:sz w:val="22"/>
          <w:szCs w:val="22"/>
          <w:lang w:eastAsia="cy-GB"/>
        </w:rPr>
        <w:t>Identifying gaps in provision</w:t>
      </w:r>
    </w:p>
    <w:p w:rsidRPr="008569D7" w:rsidR="0083794C" w:rsidP="00735793" w:rsidRDefault="0083794C" w14:paraId="14E61281" w14:textId="77777777">
      <w:pPr>
        <w:pStyle w:val="Heading1"/>
        <w:rPr>
          <w:rFonts w:eastAsia="Times New Roman" w:cstheme="majorHAnsi"/>
          <w:color w:val="000000" w:themeColor="text1"/>
          <w:sz w:val="22"/>
          <w:szCs w:val="22"/>
          <w:lang w:eastAsia="cy-GB"/>
        </w:rPr>
      </w:pPr>
      <w:r w:rsidRPr="008569D7">
        <w:rPr>
          <w:rFonts w:eastAsia="Times New Roman" w:cstheme="majorHAnsi"/>
          <w:color w:val="000000" w:themeColor="text1"/>
          <w:sz w:val="22"/>
          <w:szCs w:val="22"/>
          <w:lang w:eastAsia="cy-GB"/>
        </w:rPr>
        <w:t>The service will be flexible and will evolve based on data, evidence and feedback.</w:t>
      </w:r>
    </w:p>
    <w:p w:rsidRPr="008569D7" w:rsidR="0083794C" w:rsidP="00735793" w:rsidRDefault="0083794C" w14:paraId="5960902A" w14:textId="77777777">
      <w:pPr>
        <w:pStyle w:val="Heading1"/>
        <w:rPr>
          <w:rFonts w:eastAsia="Times New Roman" w:cstheme="majorHAnsi"/>
          <w:color w:val="000000" w:themeColor="text1"/>
          <w:sz w:val="22"/>
          <w:szCs w:val="22"/>
          <w:lang w:eastAsia="cy-GB"/>
        </w:rPr>
      </w:pPr>
      <w:r w:rsidRPr="008569D7">
        <w:rPr>
          <w:rFonts w:eastAsia="Times New Roman" w:cstheme="majorHAnsi"/>
          <w:color w:val="000000" w:themeColor="text1"/>
          <w:sz w:val="22"/>
          <w:szCs w:val="22"/>
          <w:lang w:eastAsia="cy-GB"/>
        </w:rPr>
        <w:t>The Commissioner and the Provider will:</w:t>
      </w:r>
    </w:p>
    <w:p w:rsidRPr="008569D7" w:rsidR="00504887" w:rsidP="00504887" w:rsidRDefault="00504887" w14:paraId="25D5ABEF" w14:textId="77777777">
      <w:pPr>
        <w:spacing w:after="80" w:line="240" w:lineRule="auto"/>
        <w:jc w:val="both"/>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t>
      </w:r>
      <w:r w:rsidRPr="008569D7" w:rsidR="0083794C">
        <w:rPr>
          <w:rFonts w:eastAsia="Times New Roman" w:asciiTheme="majorHAnsi" w:hAnsiTheme="majorHAnsi" w:cstheme="majorHAnsi"/>
          <w:kern w:val="0"/>
          <w:lang w:eastAsia="cy-GB"/>
          <w14:ligatures w14:val="none"/>
        </w:rPr>
        <w:t>Review the provision</w:t>
      </w:r>
    </w:p>
    <w:p w:rsidRPr="008569D7" w:rsidR="0083794C" w:rsidP="00504887" w:rsidRDefault="00504887" w14:paraId="32A0AF5B" w14:textId="4D648F2E">
      <w:pPr>
        <w:spacing w:after="80" w:line="240" w:lineRule="auto"/>
        <w:jc w:val="both"/>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t>
      </w:r>
      <w:r w:rsidRPr="008569D7" w:rsidR="0083794C">
        <w:rPr>
          <w:rFonts w:eastAsia="Times New Roman" w:asciiTheme="majorHAnsi" w:hAnsiTheme="majorHAnsi" w:cstheme="majorHAnsi"/>
          <w:kern w:val="0"/>
          <w:lang w:eastAsia="cy-GB"/>
          <w14:ligatures w14:val="none"/>
        </w:rPr>
        <w:t>Identify opportunities to improve</w:t>
      </w:r>
    </w:p>
    <w:p w:rsidRPr="008569D7" w:rsidR="0083794C" w:rsidP="00504887" w:rsidRDefault="00504887" w14:paraId="5973F96B" w14:textId="7C377677">
      <w:pPr>
        <w:spacing w:after="80" w:line="240" w:lineRule="auto"/>
        <w:jc w:val="both"/>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t>
      </w:r>
      <w:r w:rsidRPr="008569D7" w:rsidR="0083794C">
        <w:rPr>
          <w:rFonts w:eastAsia="Times New Roman" w:asciiTheme="majorHAnsi" w:hAnsiTheme="majorHAnsi" w:cstheme="majorHAnsi"/>
          <w:kern w:val="0"/>
          <w:lang w:eastAsia="cy-GB"/>
          <w14:ligatures w14:val="none"/>
        </w:rPr>
        <w:t>Consider expanding or developing new services</w:t>
      </w:r>
    </w:p>
    <w:p w:rsidRPr="008569D7" w:rsidR="0083794C" w:rsidP="0083794C" w:rsidRDefault="0083794C" w14:paraId="51346306"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This may include expanding provision or further commissioning, subject to funding.</w:t>
      </w:r>
    </w:p>
    <w:p w:rsidRPr="008569D7" w:rsidR="0083794C" w:rsidP="0083794C" w:rsidRDefault="0083794C" w14:paraId="61C7BF42"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contribute by sharing insights, data and development ideas.</w:t>
      </w:r>
    </w:p>
    <w:p w:rsidR="0083794C" w:rsidP="005D62B4" w:rsidRDefault="0083794C" w14:paraId="36E6EE1C" w14:textId="1BEB90D1">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ensure that the service is registered on DEWIS Cymru (www.dewis.wales) and that all relevant information is kept up to date throughout the duration of the contract.</w:t>
      </w:r>
    </w:p>
    <w:p w:rsidRPr="005D62B4" w:rsidR="00444972" w:rsidP="005D62B4" w:rsidRDefault="00444972" w14:paraId="35E02972"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p>
    <w:p w:rsidR="00AB43EA" w:rsidP="00444972" w:rsidRDefault="001E5ADC" w14:paraId="1C82A5FF" w14:textId="7A1093C9">
      <w:pPr>
        <w:spacing w:after="0" w:line="300" w:lineRule="atLeast"/>
        <w:rPr>
          <w:rFonts w:eastAsia="Times New Roman" w:cstheme="minorHAnsi"/>
          <w:b/>
          <w:bCs/>
          <w:color w:val="2F5496" w:themeColor="accent1" w:themeShade="BF"/>
          <w:kern w:val="0"/>
          <w:sz w:val="28"/>
          <w:szCs w:val="28"/>
          <w:lang w:eastAsia="cy-GB"/>
          <w14:ligatures w14:val="none"/>
        </w:rPr>
      </w:pPr>
      <w:r>
        <w:rPr>
          <w:rFonts w:eastAsia="Times New Roman" w:cstheme="minorHAnsi"/>
          <w:b/>
          <w:bCs/>
          <w:color w:val="2F5496" w:themeColor="accent1" w:themeShade="BF"/>
          <w:kern w:val="0"/>
          <w:sz w:val="28"/>
          <w:szCs w:val="28"/>
          <w:lang w:eastAsia="cy-GB"/>
          <w14:ligatures w14:val="none"/>
        </w:rPr>
        <w:t>1</w:t>
      </w:r>
      <w:r w:rsidRPr="008569D7" w:rsidR="00AB43EA">
        <w:rPr>
          <w:rFonts w:eastAsia="Times New Roman" w:cstheme="minorHAnsi"/>
          <w:b/>
          <w:bCs/>
          <w:color w:val="2F5496" w:themeColor="accent1" w:themeShade="BF"/>
          <w:kern w:val="0"/>
          <w:sz w:val="28"/>
          <w:szCs w:val="28"/>
          <w:lang w:eastAsia="cy-GB"/>
          <w14:ligatures w14:val="none"/>
        </w:rPr>
        <w:t>3. Safeguarding and Risk Management</w:t>
      </w:r>
    </w:p>
    <w:p w:rsidRPr="008569D7" w:rsidR="00444972" w:rsidP="00444972" w:rsidRDefault="00444972" w14:paraId="496D8B02" w14:textId="77777777">
      <w:pPr>
        <w:spacing w:after="0" w:line="300" w:lineRule="atLeast"/>
        <w:rPr>
          <w:rFonts w:eastAsia="Times New Roman" w:cstheme="minorHAnsi"/>
          <w:b/>
          <w:bCs/>
          <w:color w:val="2F5496" w:themeColor="accent1" w:themeShade="BF"/>
          <w:kern w:val="0"/>
          <w:sz w:val="28"/>
          <w:szCs w:val="28"/>
          <w:lang w:eastAsia="cy-GB"/>
          <w14:ligatures w14:val="none"/>
        </w:rPr>
      </w:pPr>
    </w:p>
    <w:p w:rsidRPr="008569D7" w:rsidR="0083794C" w:rsidP="0083794C" w:rsidRDefault="0083794C" w14:paraId="5B3B98A9"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Safeguarding and protection of people is a fundamental principle of this service, in accordance with the Social Services and Well-being (Wales) Act 2014.</w:t>
      </w:r>
    </w:p>
    <w:p w:rsidRPr="008569D7" w:rsidR="0083794C" w:rsidP="0083794C" w:rsidRDefault="0083794C" w14:paraId="185C7160"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ensure that robust safeguarding policies and procedures are in place and are effectively implemented.</w:t>
      </w:r>
    </w:p>
    <w:p w:rsidRPr="008569D7" w:rsidR="0083794C" w:rsidP="0083794C" w:rsidRDefault="0083794C" w14:paraId="2D762B85"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must:</w:t>
      </w:r>
    </w:p>
    <w:p w:rsidRPr="008569D7" w:rsidR="0083794C" w:rsidRDefault="0083794C" w14:paraId="29705746" w14:textId="77777777">
      <w:pPr>
        <w:numPr>
          <w:ilvl w:val="0"/>
          <w:numId w:val="24"/>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Comply with all relevant safeguarding frameworks in Wales</w:t>
      </w:r>
    </w:p>
    <w:p w:rsidRPr="008569D7" w:rsidR="0083794C" w:rsidRDefault="0083794C" w14:paraId="55D0D69F" w14:textId="77777777">
      <w:pPr>
        <w:numPr>
          <w:ilvl w:val="0"/>
          <w:numId w:val="24"/>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Have clear safeguarding policies that are regularly updated</w:t>
      </w:r>
    </w:p>
    <w:p w:rsidRPr="008569D7" w:rsidR="0083794C" w:rsidRDefault="0083794C" w14:paraId="47C66276" w14:textId="77777777">
      <w:pPr>
        <w:numPr>
          <w:ilvl w:val="0"/>
          <w:numId w:val="24"/>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Ensure that staff are trained to recognise and respond to signs of risk or abuse</w:t>
      </w:r>
    </w:p>
    <w:p w:rsidRPr="008569D7" w:rsidR="0083794C" w:rsidRDefault="0083794C" w14:paraId="20BC1466" w14:textId="77777777">
      <w:pPr>
        <w:numPr>
          <w:ilvl w:val="0"/>
          <w:numId w:val="24"/>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Provide clear pathways for escalating concerns</w:t>
      </w:r>
    </w:p>
    <w:p w:rsidRPr="008569D7" w:rsidR="0083794C" w:rsidRDefault="0083794C" w14:paraId="6A674420" w14:textId="77777777">
      <w:pPr>
        <w:numPr>
          <w:ilvl w:val="0"/>
          <w:numId w:val="24"/>
        </w:num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Ensure that all members of staff understand their responsibilities in relation to safeguarding</w:t>
      </w:r>
    </w:p>
    <w:p w:rsidRPr="008569D7" w:rsidR="0083794C" w:rsidP="0083794C" w:rsidRDefault="0083794C" w14:paraId="16AD6CE0" w14:textId="77777777">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Any safeguarding concern must be acted upon immediately by following the local procedures of the Council and statutory partners.</w:t>
      </w:r>
    </w:p>
    <w:p w:rsidRPr="005D62B4" w:rsidR="0083794C" w:rsidP="005D62B4" w:rsidRDefault="0083794C" w14:paraId="03C1A2A6" w14:textId="371F6C08">
      <w:pPr>
        <w:spacing w:before="100" w:beforeAutospacing="1" w:after="100" w:afterAutospacing="1" w:line="300"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If there is an immediate risk to an individual, the Police must be contacted immediately.</w:t>
      </w:r>
    </w:p>
    <w:p w:rsidRPr="008569D7" w:rsidR="00AB43EA" w:rsidP="00AB43EA" w:rsidRDefault="00AB43EA" w14:paraId="1553A7A6" w14:textId="69027D3A">
      <w:pPr>
        <w:spacing w:after="0" w:line="300" w:lineRule="atLeast"/>
        <w:rPr>
          <w:rFonts w:ascii="Segoe UI" w:hAnsi="Segoe UI" w:eastAsia="Times New Roman" w:cs="Segoe UI"/>
          <w:kern w:val="0"/>
          <w:sz w:val="21"/>
          <w:szCs w:val="21"/>
          <w:lang w:eastAsia="cy-GB"/>
          <w14:ligatures w14:val="none"/>
        </w:rPr>
      </w:pPr>
    </w:p>
    <w:p w:rsidRPr="008569D7" w:rsidR="00AB43EA" w:rsidP="00AB43EA" w:rsidRDefault="00AB43EA" w14:paraId="455356D5" w14:textId="77777777">
      <w:pPr>
        <w:spacing w:before="100" w:beforeAutospacing="1" w:after="100" w:afterAutospacing="1" w:line="300" w:lineRule="atLeast"/>
        <w:outlineLvl w:val="1"/>
        <w:rPr>
          <w:rFonts w:eastAsia="Times New Roman" w:asciiTheme="majorHAnsi" w:hAnsiTheme="majorHAnsi" w:cstheme="maj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13.1 Escalation Contacts</w:t>
      </w:r>
    </w:p>
    <w:p w:rsidRPr="008569D7" w:rsidR="007F585B" w:rsidP="001E1823" w:rsidRDefault="007F585B" w14:paraId="6E4F2766" w14:textId="4CB18CAA">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If the provider has a concern about the safety of a child or adult, the following should be contacted immediately:</w:t>
      </w:r>
    </w:p>
    <w:p w:rsidRPr="008569D7" w:rsidR="007F585B" w:rsidP="001E1823" w:rsidRDefault="007F585B" w14:paraId="6DA76A24" w14:textId="0749A001">
      <w:pPr>
        <w:numPr>
          <w:ilvl w:val="0"/>
          <w:numId w:val="25"/>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Adults Services Advice and Assessment Team – 01766 772577</w:t>
      </w:r>
    </w:p>
    <w:p w:rsidRPr="008569D7" w:rsidR="007F585B" w:rsidP="001E1823" w:rsidRDefault="007F585B" w14:paraId="4A9FCB1B" w14:textId="77777777">
      <w:pPr>
        <w:numPr>
          <w:ilvl w:val="0"/>
          <w:numId w:val="25"/>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Children’s Services Duty Team – 01766 772577</w:t>
      </w:r>
    </w:p>
    <w:p w:rsidRPr="008569D7" w:rsidR="007F585B" w:rsidP="001E1823" w:rsidRDefault="007F585B" w14:paraId="6F3FB787"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Outside office hours (after 5pm, weekends and bank holidays):</w:t>
      </w:r>
    </w:p>
    <w:p w:rsidRPr="008569D7" w:rsidR="007F585B" w:rsidP="001E1823" w:rsidRDefault="007F585B" w14:paraId="7A70A562" w14:textId="77777777">
      <w:pPr>
        <w:numPr>
          <w:ilvl w:val="0"/>
          <w:numId w:val="26"/>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Social Services Out of Hours Team – 01766 772577</w:t>
      </w:r>
    </w:p>
    <w:p w:rsidRPr="008569D7" w:rsidR="007F585B" w:rsidP="001E1823" w:rsidRDefault="007F585B" w14:paraId="4E859DCE" w14:textId="77777777">
      <w:pPr>
        <w:spacing w:before="100" w:beforeAutospacing="1" w:after="100" w:afterAutospacing="1" w:line="25" w:lineRule="atLeast"/>
        <w:outlineLvl w:val="2"/>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Access to Emergency Homelessness Support:</w:t>
      </w:r>
    </w:p>
    <w:p w:rsidRPr="008569D7" w:rsidR="007F585B" w:rsidP="001E1823" w:rsidRDefault="007F585B" w14:paraId="7703D5C1" w14:textId="77777777">
      <w:pPr>
        <w:numPr>
          <w:ilvl w:val="0"/>
          <w:numId w:val="27"/>
        </w:numPr>
        <w:spacing w:before="100" w:beforeAutospacing="1" w:after="100" w:afterAutospacing="1" w:line="25" w:lineRule="atLeast"/>
        <w:ind w:left="714" w:hanging="357"/>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This service operates between the hours specified in the specification and is not an emergency response service or an out-of-hours service.</w:t>
      </w:r>
    </w:p>
    <w:p w:rsidRPr="008569D7" w:rsidR="007F585B" w:rsidP="001E1823" w:rsidRDefault="007F585B" w14:paraId="692C38DC" w14:textId="77777777">
      <w:pPr>
        <w:numPr>
          <w:ilvl w:val="0"/>
          <w:numId w:val="27"/>
        </w:numPr>
        <w:spacing w:before="100" w:beforeAutospacing="1" w:after="100" w:afterAutospacing="1" w:line="25" w:lineRule="atLeast"/>
        <w:ind w:left="714" w:hanging="357"/>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If a young person requires urgent assistance in relation to homelessness or is at immediate risk of losing accommodation outside of the service hours, the provider must ensure that clear information is provided on how to access support.</w:t>
      </w:r>
    </w:p>
    <w:p w:rsidRPr="008569D7" w:rsidR="001E1823" w:rsidP="001E1823" w:rsidRDefault="007F585B" w14:paraId="6623B448"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This will include reference to:</w:t>
      </w:r>
      <w:r w:rsidRPr="008569D7">
        <w:rPr>
          <w:rFonts w:eastAsia="Times New Roman" w:asciiTheme="majorHAnsi" w:hAnsiTheme="majorHAnsi" w:cstheme="majorHAnsi"/>
          <w:kern w:val="0"/>
          <w:lang w:eastAsia="cy-GB"/>
          <w14:ligatures w14:val="none"/>
        </w:rPr>
        <w:br/>
      </w:r>
      <w:r w:rsidRPr="008569D7">
        <w:rPr>
          <w:rFonts w:eastAsia="Times New Roman" w:asciiTheme="majorHAnsi" w:hAnsiTheme="majorHAnsi" w:cstheme="majorHAnsi"/>
          <w:kern w:val="0"/>
          <w:lang w:eastAsia="cy-GB"/>
          <w14:ligatures w14:val="none"/>
        </w:rPr>
        <w:t>Gwynedd Council Homelessness Department</w:t>
      </w:r>
    </w:p>
    <w:p w:rsidRPr="008569D7" w:rsidR="007F585B" w:rsidP="001E1823" w:rsidRDefault="007F585B" w14:paraId="4A0FE210" w14:textId="729C02C8">
      <w:pPr>
        <w:pStyle w:val="ListParagraph"/>
        <w:numPr>
          <w:ilvl w:val="0"/>
          <w:numId w:val="4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Telephone: 01286 685100 (during office hours)</w:t>
      </w:r>
    </w:p>
    <w:p w:rsidRPr="008569D7" w:rsidR="007F585B" w:rsidP="001E1823" w:rsidRDefault="007F585B" w14:paraId="5E60529B" w14:textId="77777777">
      <w:pPr>
        <w:numPr>
          <w:ilvl w:val="0"/>
          <w:numId w:val="4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Telephone: 01286 771000 (outside office hours)</w:t>
      </w:r>
    </w:p>
    <w:p w:rsidRPr="005D62B4" w:rsidR="007F585B" w:rsidP="005D62B4" w:rsidRDefault="007F585B" w14:paraId="43371C0E" w14:textId="4B803B08">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Where necessary, the provider should also ensure that young people are aware of other relevant emergency services, including social services, health services or the police if there is an immediate risk to an individual’s safety or wellbeing.</w:t>
      </w:r>
    </w:p>
    <w:p w:rsidRPr="008569D7" w:rsidR="00AB43EA" w:rsidP="001E1823" w:rsidRDefault="00AB43EA" w14:paraId="7B624697" w14:textId="1F8B19FA">
      <w:pPr>
        <w:spacing w:after="0" w:line="25" w:lineRule="atLeast"/>
        <w:rPr>
          <w:rFonts w:eastAsia="Times New Roman" w:cstheme="minorHAnsi"/>
          <w:kern w:val="0"/>
          <w:lang w:eastAsia="cy-GB"/>
          <w14:ligatures w14:val="none"/>
        </w:rPr>
      </w:pPr>
    </w:p>
    <w:p w:rsidRPr="008569D7" w:rsidR="00AB43EA" w:rsidP="001E1823" w:rsidRDefault="00AB43EA" w14:paraId="043B156E" w14:textId="77777777">
      <w:pPr>
        <w:spacing w:before="100" w:beforeAutospacing="1" w:after="100" w:afterAutospacing="1" w:line="25"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13.2 Policies and Compliance</w:t>
      </w:r>
    </w:p>
    <w:p w:rsidRPr="008569D7" w:rsidR="007F585B" w:rsidP="001E1823" w:rsidRDefault="007F585B" w14:paraId="1911CE3E"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have and maintain the following policies:</w:t>
      </w:r>
    </w:p>
    <w:p w:rsidRPr="008569D7" w:rsidR="007F585B" w:rsidP="001E1823" w:rsidRDefault="007F585B" w14:paraId="5B21DF9D" w14:textId="77777777">
      <w:pPr>
        <w:numPr>
          <w:ilvl w:val="0"/>
          <w:numId w:val="29"/>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Child Protection Policy</w:t>
      </w:r>
    </w:p>
    <w:p w:rsidRPr="008569D7" w:rsidR="007F585B" w:rsidP="001E1823" w:rsidRDefault="007F585B" w14:paraId="3D8C61A0" w14:textId="77777777">
      <w:pPr>
        <w:numPr>
          <w:ilvl w:val="0"/>
          <w:numId w:val="29"/>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Adult Safeguarding Policy</w:t>
      </w:r>
    </w:p>
    <w:p w:rsidRPr="008569D7" w:rsidR="007F585B" w:rsidP="001E1823" w:rsidRDefault="007F585B" w14:paraId="4D8A1DED" w14:textId="77777777">
      <w:pPr>
        <w:numPr>
          <w:ilvl w:val="0"/>
          <w:numId w:val="29"/>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Domestic Violence Policy for staff</w:t>
      </w:r>
    </w:p>
    <w:p w:rsidRPr="008569D7" w:rsidR="007F585B" w:rsidP="001E1823" w:rsidRDefault="007F585B" w14:paraId="46AAEF07"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These policies must be reviewed and updated regularly in line with legislation and national guidance.</w:t>
      </w:r>
    </w:p>
    <w:p w:rsidRPr="005D62B4" w:rsidR="007F585B" w:rsidP="005D62B4" w:rsidRDefault="007F585B" w14:paraId="79E82A59" w14:textId="116590BA">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comply with the Serious Violence Duty (Police, Crime, Sentencing and Courts Act 2022), working with partners to share information and support efforts to prevent and reduce serious violence.</w:t>
      </w:r>
    </w:p>
    <w:p w:rsidRPr="008569D7" w:rsidR="00AB43EA" w:rsidP="001E1823" w:rsidRDefault="00AB43EA" w14:paraId="3C3E20F0" w14:textId="3670419F">
      <w:pPr>
        <w:spacing w:after="0" w:line="25" w:lineRule="atLeast"/>
        <w:rPr>
          <w:rFonts w:eastAsia="Times New Roman" w:cstheme="minorHAnsi"/>
          <w:kern w:val="0"/>
          <w:lang w:eastAsia="cy-GB"/>
          <w14:ligatures w14:val="none"/>
        </w:rPr>
      </w:pPr>
    </w:p>
    <w:p w:rsidRPr="008569D7" w:rsidR="00AB43EA" w:rsidP="001E1823" w:rsidRDefault="00AB43EA" w14:paraId="36827DD7" w14:textId="77777777">
      <w:pPr>
        <w:spacing w:before="100" w:beforeAutospacing="1" w:after="100" w:afterAutospacing="1" w:line="25"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13.3 Health and Safety</w:t>
      </w:r>
    </w:p>
    <w:p w:rsidRPr="008569D7" w:rsidR="007F585B" w:rsidP="001E1823" w:rsidRDefault="007F585B" w14:paraId="768F100B"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The provider must ensure that appropriate Health and Safety arrangements are in place </w:t>
      </w:r>
      <w:proofErr w:type="gramStart"/>
      <w:r w:rsidRPr="008569D7">
        <w:rPr>
          <w:rFonts w:eastAsia="Times New Roman" w:asciiTheme="majorHAnsi" w:hAnsiTheme="majorHAnsi" w:cstheme="majorHAnsi"/>
          <w:kern w:val="0"/>
          <w:lang w:eastAsia="cy-GB"/>
          <w14:ligatures w14:val="none"/>
        </w:rPr>
        <w:t>in order to</w:t>
      </w:r>
      <w:proofErr w:type="gramEnd"/>
      <w:r w:rsidRPr="008569D7">
        <w:rPr>
          <w:rFonts w:eastAsia="Times New Roman" w:asciiTheme="majorHAnsi" w:hAnsiTheme="majorHAnsi" w:cstheme="majorHAnsi"/>
          <w:kern w:val="0"/>
          <w:lang w:eastAsia="cy-GB"/>
          <w14:ligatures w14:val="none"/>
        </w:rPr>
        <w:t xml:space="preserve"> protect staff, volunteers, young people and the public when delivering the service.</w:t>
      </w:r>
    </w:p>
    <w:p w:rsidRPr="008569D7" w:rsidR="007F585B" w:rsidP="001E1823" w:rsidRDefault="007F585B" w14:paraId="69676556"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have relevant policies, procedures and systems which are regularly reviewed and effectively implemented.</w:t>
      </w:r>
    </w:p>
    <w:p w:rsidRPr="008569D7" w:rsidR="007F585B" w:rsidP="001E1823" w:rsidRDefault="007F585B" w14:paraId="3EA79173"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This should include, but is not limited to:</w:t>
      </w:r>
    </w:p>
    <w:p w:rsidRPr="008569D7" w:rsidR="007F585B" w:rsidP="001E1823" w:rsidRDefault="007F585B" w14:paraId="3D83B042" w14:textId="77777777">
      <w:pPr>
        <w:numPr>
          <w:ilvl w:val="0"/>
          <w:numId w:val="3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Lone working procedures</w:t>
      </w:r>
    </w:p>
    <w:p w:rsidRPr="008569D7" w:rsidR="007F585B" w:rsidP="001E1823" w:rsidRDefault="007F585B" w14:paraId="000DB8C2" w14:textId="77777777">
      <w:pPr>
        <w:numPr>
          <w:ilvl w:val="0"/>
          <w:numId w:val="3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Risk assessment and management</w:t>
      </w:r>
    </w:p>
    <w:p w:rsidRPr="008569D7" w:rsidR="007F585B" w:rsidP="001E1823" w:rsidRDefault="007F585B" w14:paraId="2975A9B8" w14:textId="77777777">
      <w:pPr>
        <w:numPr>
          <w:ilvl w:val="0"/>
          <w:numId w:val="3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Reporting and recording accidents and incidents</w:t>
      </w:r>
    </w:p>
    <w:p w:rsidRPr="008569D7" w:rsidR="007F585B" w:rsidP="001E1823" w:rsidRDefault="007F585B" w14:paraId="21FCB703" w14:textId="77777777">
      <w:pPr>
        <w:numPr>
          <w:ilvl w:val="0"/>
          <w:numId w:val="3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Management of emergencies and serious incidents</w:t>
      </w:r>
    </w:p>
    <w:p w:rsidRPr="008569D7" w:rsidR="007F585B" w:rsidP="001E1823" w:rsidRDefault="007F585B" w14:paraId="7705B3EC" w14:textId="77777777">
      <w:pPr>
        <w:numPr>
          <w:ilvl w:val="0"/>
          <w:numId w:val="3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Health and safety in offices and community locations</w:t>
      </w:r>
    </w:p>
    <w:p w:rsidRPr="008569D7" w:rsidR="007F585B" w:rsidP="001E1823" w:rsidRDefault="007F585B" w14:paraId="30D449AA" w14:textId="77777777">
      <w:pPr>
        <w:numPr>
          <w:ilvl w:val="0"/>
          <w:numId w:val="3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First aid and staff welfare arrangements</w:t>
      </w:r>
    </w:p>
    <w:p w:rsidRPr="008569D7" w:rsidR="007F585B" w:rsidP="001E1823" w:rsidRDefault="007F585B" w14:paraId="5B1ACC02" w14:textId="77777777">
      <w:pPr>
        <w:numPr>
          <w:ilvl w:val="0"/>
          <w:numId w:val="3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Risk assessments for activities, events and service delivery locations</w:t>
      </w:r>
    </w:p>
    <w:p w:rsidRPr="008569D7" w:rsidR="007F585B" w:rsidP="001E1823" w:rsidRDefault="007F585B" w14:paraId="2E114CFB" w14:textId="77777777">
      <w:pPr>
        <w:numPr>
          <w:ilvl w:val="0"/>
          <w:numId w:val="3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Arrangements to support staff in responding to challenging, threatening or violent behaviour</w:t>
      </w:r>
    </w:p>
    <w:p w:rsidRPr="008569D7" w:rsidR="007F585B" w:rsidP="001E1823" w:rsidRDefault="007F585B" w14:paraId="68C3145F" w14:textId="77777777">
      <w:pPr>
        <w:numPr>
          <w:ilvl w:val="0"/>
          <w:numId w:val="30"/>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Domestic Violence Policy for staff and service users</w:t>
      </w:r>
    </w:p>
    <w:p w:rsidRPr="005D62B4" w:rsidR="007F585B" w:rsidP="005D62B4" w:rsidRDefault="007F585B" w14:paraId="5025B81A" w14:textId="006DFBDA">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ensure that staff receive appropriate training and understand their responsibilities in relation to Health and Safety.</w:t>
      </w:r>
    </w:p>
    <w:p w:rsidRPr="008569D7" w:rsidR="00AB43EA" w:rsidP="001E1823" w:rsidRDefault="00AB43EA" w14:paraId="7DEADC14" w14:textId="0B923447">
      <w:pPr>
        <w:spacing w:after="0" w:line="25" w:lineRule="atLeast"/>
        <w:rPr>
          <w:rFonts w:eastAsia="Times New Roman" w:cstheme="minorHAnsi"/>
          <w:kern w:val="0"/>
          <w:lang w:eastAsia="cy-GB"/>
          <w14:ligatures w14:val="none"/>
        </w:rPr>
      </w:pPr>
    </w:p>
    <w:p w:rsidRPr="008569D7" w:rsidR="007F585B" w:rsidP="001E1823" w:rsidRDefault="007F585B" w14:paraId="06D0DA67" w14:textId="77777777">
      <w:pPr>
        <w:spacing w:before="100" w:beforeAutospacing="1" w:after="100" w:afterAutospacing="1" w:line="25"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14. Complaints</w:t>
      </w:r>
    </w:p>
    <w:p w:rsidRPr="008569D7" w:rsidR="007F585B" w:rsidP="001E1823" w:rsidRDefault="007F585B" w14:paraId="15576442"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have a clear, accessible and effective complaints policy and procedure.</w:t>
      </w:r>
    </w:p>
    <w:p w:rsidRPr="008569D7" w:rsidR="007F585B" w:rsidP="001E1823" w:rsidRDefault="007F585B" w14:paraId="54ADEC5A"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following must be ensured:</w:t>
      </w:r>
    </w:p>
    <w:p w:rsidRPr="008569D7" w:rsidR="007F585B" w:rsidP="001E1823" w:rsidRDefault="007F585B" w14:paraId="2F511143" w14:textId="77777777">
      <w:pPr>
        <w:numPr>
          <w:ilvl w:val="0"/>
          <w:numId w:val="31"/>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Copies of the complaints policy and procedures must be provided to the Housing Support Grant (HSG) Commissioning Team at Gwynedd Council at the start of the contract for approval</w:t>
      </w:r>
    </w:p>
    <w:p w:rsidRPr="008569D7" w:rsidR="007F585B" w:rsidP="001E1823" w:rsidRDefault="007F585B" w14:paraId="541005A4" w14:textId="77777777">
      <w:pPr>
        <w:numPr>
          <w:ilvl w:val="0"/>
          <w:numId w:val="31"/>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complaints process must be clear, transparent and available to all service users</w:t>
      </w:r>
    </w:p>
    <w:p w:rsidRPr="008569D7" w:rsidR="007F585B" w:rsidP="001E1823" w:rsidRDefault="007F585B" w14:paraId="05B5374E"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Any complaint relating to this service must be:</w:t>
      </w:r>
    </w:p>
    <w:p w:rsidRPr="008569D7" w:rsidR="007F585B" w:rsidP="001E1823" w:rsidRDefault="007F585B" w14:paraId="14174CD5" w14:textId="77777777">
      <w:pPr>
        <w:numPr>
          <w:ilvl w:val="0"/>
          <w:numId w:val="32"/>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Formally recorded</w:t>
      </w:r>
    </w:p>
    <w:p w:rsidRPr="008569D7" w:rsidR="007F585B" w:rsidP="001E1823" w:rsidRDefault="007F585B" w14:paraId="5CEB4245" w14:textId="77777777">
      <w:pPr>
        <w:numPr>
          <w:ilvl w:val="0"/>
          <w:numId w:val="32"/>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Escalated appropriately</w:t>
      </w:r>
    </w:p>
    <w:p w:rsidRPr="008569D7" w:rsidR="007F585B" w:rsidP="001E1823" w:rsidRDefault="007F585B" w14:paraId="485A486D" w14:textId="77777777">
      <w:pPr>
        <w:numPr>
          <w:ilvl w:val="0"/>
          <w:numId w:val="32"/>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Shared with the Authority promptly</w:t>
      </w:r>
    </w:p>
    <w:p w:rsidRPr="008569D7" w:rsidR="007F585B" w:rsidP="001E1823" w:rsidRDefault="007F585B" w14:paraId="4A996500"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Any significant or serious complaint must be brought to the attention of the HSG Lead Officer at Gwynedd Council in writing and immediately.</w:t>
      </w:r>
    </w:p>
    <w:p w:rsidRPr="008569D7" w:rsidR="007F585B" w:rsidP="001E1823" w:rsidRDefault="007F585B" w14:paraId="79C47DF3" w14:textId="02EC2E29">
      <w:pPr>
        <w:spacing w:after="0" w:line="25" w:lineRule="atLeast"/>
        <w:rPr>
          <w:rFonts w:eastAsia="Times New Roman" w:cstheme="minorHAnsi"/>
          <w:kern w:val="0"/>
          <w:lang w:eastAsia="cy-GB"/>
          <w14:ligatures w14:val="none"/>
        </w:rPr>
      </w:pPr>
    </w:p>
    <w:p w:rsidRPr="008569D7" w:rsidR="007F585B" w:rsidP="001E1823" w:rsidRDefault="007F585B" w14:paraId="0220C207" w14:textId="77777777">
      <w:pPr>
        <w:spacing w:before="100" w:beforeAutospacing="1" w:after="100" w:afterAutospacing="1" w:line="25"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15. Monitoring, Evaluation and Reporting</w:t>
      </w:r>
    </w:p>
    <w:p w:rsidRPr="008569D7" w:rsidR="007F585B" w:rsidP="001E1823" w:rsidRDefault="007F585B" w14:paraId="3DC025A4"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operate robust systems to monitor, evaluate and report on service performance.</w:t>
      </w:r>
    </w:p>
    <w:p w:rsidRPr="008569D7" w:rsidR="007F585B" w:rsidP="001E1823" w:rsidRDefault="007F585B" w14:paraId="0F70C6AC"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use data and evidence to understand demand, assess impact, and inform the ongoing development of the service.</w:t>
      </w:r>
    </w:p>
    <w:p w:rsidRPr="008569D7" w:rsidR="007F585B" w:rsidP="001E1823" w:rsidRDefault="007F585B" w14:paraId="7482608A" w14:textId="39B38E5F">
      <w:pPr>
        <w:spacing w:after="0" w:line="25" w:lineRule="atLeast"/>
        <w:rPr>
          <w:rFonts w:eastAsia="Times New Roman" w:cstheme="minorHAnsi"/>
          <w:kern w:val="0"/>
          <w:lang w:eastAsia="cy-GB"/>
          <w14:ligatures w14:val="none"/>
        </w:rPr>
      </w:pPr>
    </w:p>
    <w:p w:rsidRPr="008569D7" w:rsidR="007F585B" w:rsidP="001E1823" w:rsidRDefault="007F585B" w14:paraId="48BE86D8" w14:textId="77777777">
      <w:pPr>
        <w:spacing w:before="100" w:beforeAutospacing="1" w:after="100" w:afterAutospacing="1" w:line="25" w:lineRule="atLeast"/>
        <w:outlineLvl w:val="2"/>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15.1 Performance Monitoring</w:t>
      </w:r>
    </w:p>
    <w:p w:rsidRPr="008569D7" w:rsidR="007F585B" w:rsidP="00007F11" w:rsidRDefault="007F585B" w14:paraId="5047D7EC"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service will:</w:t>
      </w:r>
    </w:p>
    <w:p w:rsidRPr="008569D7" w:rsidR="007F585B" w:rsidP="00007F11" w:rsidRDefault="007F585B" w14:paraId="6F334F33" w14:textId="77777777">
      <w:pPr>
        <w:numPr>
          <w:ilvl w:val="0"/>
          <w:numId w:val="33"/>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Record user engagement and the support provided</w:t>
      </w:r>
    </w:p>
    <w:p w:rsidRPr="008569D7" w:rsidR="007F585B" w:rsidP="00007F11" w:rsidRDefault="007F585B" w14:paraId="1E7248E5" w14:textId="77777777">
      <w:pPr>
        <w:numPr>
          <w:ilvl w:val="0"/>
          <w:numId w:val="33"/>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Monitor outcomes in line with Housing Support Grant (HSG) objectives</w:t>
      </w:r>
    </w:p>
    <w:p w:rsidRPr="008569D7" w:rsidR="007F585B" w:rsidP="00007F11" w:rsidRDefault="007F585B" w14:paraId="21634C4A" w14:textId="77777777">
      <w:pPr>
        <w:numPr>
          <w:ilvl w:val="0"/>
          <w:numId w:val="33"/>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Collect feedback from service users</w:t>
      </w:r>
    </w:p>
    <w:p w:rsidRPr="008569D7" w:rsidR="007F585B" w:rsidP="00007F11" w:rsidRDefault="007F585B" w14:paraId="79727737" w14:textId="77777777">
      <w:pPr>
        <w:numPr>
          <w:ilvl w:val="0"/>
          <w:numId w:val="33"/>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Use data to continuously improve the service</w:t>
      </w:r>
    </w:p>
    <w:p w:rsidRPr="008569D7" w:rsidR="007F585B" w:rsidP="00007F11" w:rsidRDefault="007F585B" w14:paraId="37546BFF"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provide analysis of demand trends, emerging needs, and gaps in provision as part of monitoring processes.</w:t>
      </w:r>
    </w:p>
    <w:p w:rsidRPr="008569D7" w:rsidR="007F585B" w:rsidP="001E1823" w:rsidRDefault="007F585B" w14:paraId="3CBFE895" w14:textId="3869A430">
      <w:pPr>
        <w:spacing w:after="0" w:line="25" w:lineRule="atLeast"/>
        <w:rPr>
          <w:rFonts w:eastAsia="Times New Roman" w:cstheme="minorHAnsi"/>
          <w:kern w:val="0"/>
          <w:lang w:eastAsia="cy-GB"/>
          <w14:ligatures w14:val="none"/>
        </w:rPr>
      </w:pPr>
    </w:p>
    <w:p w:rsidRPr="008569D7" w:rsidR="007F585B" w:rsidP="001E1823" w:rsidRDefault="007F585B" w14:paraId="294A78E4" w14:textId="77777777">
      <w:pPr>
        <w:spacing w:before="100" w:beforeAutospacing="1" w:after="100" w:afterAutospacing="1" w:line="25" w:lineRule="atLeast"/>
        <w:outlineLvl w:val="2"/>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15.2 Reporting and HSG Requirements</w:t>
      </w:r>
    </w:p>
    <w:p w:rsidRPr="008569D7" w:rsidR="007F585B" w:rsidP="001E1823" w:rsidRDefault="007F585B" w14:paraId="290C97B9"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comply with all Housing Support Grant monitoring requirements.</w:t>
      </w:r>
    </w:p>
    <w:p w:rsidRPr="008569D7" w:rsidR="007F585B" w:rsidP="001E1823" w:rsidRDefault="007F585B" w14:paraId="63256654"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This will include:</w:t>
      </w:r>
    </w:p>
    <w:p w:rsidRPr="008569D7" w:rsidR="007F585B" w:rsidP="001E1823" w:rsidRDefault="007F585B" w14:paraId="2CD3815A" w14:textId="77777777">
      <w:pPr>
        <w:numPr>
          <w:ilvl w:val="0"/>
          <w:numId w:val="34"/>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Completion of the </w:t>
      </w:r>
      <w:r w:rsidRPr="001E5ADC">
        <w:rPr>
          <w:rFonts w:eastAsia="Times New Roman" w:asciiTheme="majorHAnsi" w:hAnsiTheme="majorHAnsi" w:cstheme="majorHAnsi"/>
          <w:b/>
          <w:bCs/>
          <w:kern w:val="0"/>
          <w:lang w:eastAsia="cy-GB"/>
          <w14:ligatures w14:val="none"/>
        </w:rPr>
        <w:t>HSG Outcomes Framework</w:t>
      </w:r>
      <w:r w:rsidRPr="008569D7">
        <w:rPr>
          <w:rFonts w:eastAsia="Times New Roman" w:asciiTheme="majorHAnsi" w:hAnsiTheme="majorHAnsi" w:cstheme="majorHAnsi"/>
          <w:kern w:val="0"/>
          <w:lang w:eastAsia="cy-GB"/>
          <w14:ligatures w14:val="none"/>
        </w:rPr>
        <w:t>, including primary and secondary outcomes</w:t>
      </w:r>
    </w:p>
    <w:p w:rsidRPr="008569D7" w:rsidR="007F585B" w:rsidP="001E1823" w:rsidRDefault="007F585B" w14:paraId="4916358F" w14:textId="77777777">
      <w:pPr>
        <w:numPr>
          <w:ilvl w:val="0"/>
          <w:numId w:val="34"/>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Submission of </w:t>
      </w:r>
      <w:r w:rsidRPr="001E5ADC">
        <w:rPr>
          <w:rFonts w:eastAsia="Times New Roman" w:asciiTheme="majorHAnsi" w:hAnsiTheme="majorHAnsi" w:cstheme="majorHAnsi"/>
          <w:b/>
          <w:bCs/>
          <w:kern w:val="0"/>
          <w:lang w:eastAsia="cy-GB"/>
          <w14:ligatures w14:val="none"/>
        </w:rPr>
        <w:t>Performance Monitoring Returns (PMR)</w:t>
      </w:r>
      <w:r w:rsidRPr="008569D7">
        <w:rPr>
          <w:rFonts w:eastAsia="Times New Roman" w:asciiTheme="majorHAnsi" w:hAnsiTheme="majorHAnsi" w:cstheme="majorHAnsi"/>
          <w:kern w:val="0"/>
          <w:lang w:eastAsia="cy-GB"/>
          <w14:ligatures w14:val="none"/>
        </w:rPr>
        <w:t xml:space="preserve"> on a quarterly basis</w:t>
      </w:r>
    </w:p>
    <w:p w:rsidRPr="008569D7" w:rsidR="007F585B" w:rsidP="001E1823" w:rsidRDefault="007F585B" w14:paraId="74117CF2" w14:textId="77777777">
      <w:pPr>
        <w:numPr>
          <w:ilvl w:val="0"/>
          <w:numId w:val="34"/>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Providing accurate, complete data in a timely manner</w:t>
      </w:r>
    </w:p>
    <w:p w:rsidRPr="008569D7" w:rsidR="007F585B" w:rsidP="001E1823" w:rsidRDefault="007F585B" w14:paraId="5DF3537D"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 xml:space="preserve">The Commissioner may reasonably request additional information </w:t>
      </w:r>
      <w:proofErr w:type="gramStart"/>
      <w:r w:rsidRPr="008569D7">
        <w:rPr>
          <w:rFonts w:eastAsia="Times New Roman" w:asciiTheme="majorHAnsi" w:hAnsiTheme="majorHAnsi" w:cstheme="majorHAnsi"/>
          <w:kern w:val="0"/>
          <w:lang w:eastAsia="cy-GB"/>
          <w14:ligatures w14:val="none"/>
        </w:rPr>
        <w:t>in order to</w:t>
      </w:r>
      <w:proofErr w:type="gramEnd"/>
      <w:r w:rsidRPr="008569D7">
        <w:rPr>
          <w:rFonts w:eastAsia="Times New Roman" w:asciiTheme="majorHAnsi" w:hAnsiTheme="majorHAnsi" w:cstheme="majorHAnsi"/>
          <w:kern w:val="0"/>
          <w:lang w:eastAsia="cy-GB"/>
          <w14:ligatures w14:val="none"/>
        </w:rPr>
        <w:t xml:space="preserve"> assess service performance.</w:t>
      </w:r>
    </w:p>
    <w:p w:rsidRPr="008569D7" w:rsidR="007F585B" w:rsidP="001E1823" w:rsidRDefault="007F585B" w14:paraId="5AD6BAC0" w14:textId="47CC8F77">
      <w:pPr>
        <w:spacing w:after="0" w:line="25" w:lineRule="atLeast"/>
        <w:rPr>
          <w:rFonts w:eastAsia="Times New Roman" w:cstheme="minorHAnsi"/>
          <w:kern w:val="0"/>
          <w:lang w:eastAsia="cy-GB"/>
          <w14:ligatures w14:val="none"/>
        </w:rPr>
      </w:pPr>
    </w:p>
    <w:p w:rsidRPr="008569D7" w:rsidR="007F585B" w:rsidP="001E1823" w:rsidRDefault="007F585B" w14:paraId="7AC73781" w14:textId="77777777">
      <w:pPr>
        <w:spacing w:before="100" w:beforeAutospacing="1" w:after="100" w:afterAutospacing="1" w:line="25" w:lineRule="atLeast"/>
        <w:outlineLvl w:val="2"/>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15.3 Monitoring by the Commissioner</w:t>
      </w:r>
    </w:p>
    <w:p w:rsidRPr="008569D7" w:rsidR="007F585B" w:rsidP="001E1823" w:rsidRDefault="007F585B" w14:paraId="47A9554F"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Commissioner will monitor and review the quality of the service through:</w:t>
      </w:r>
    </w:p>
    <w:p w:rsidRPr="008569D7" w:rsidR="007F585B" w:rsidP="001E1823" w:rsidRDefault="007F585B" w14:paraId="463AA4DF" w14:textId="77777777">
      <w:pPr>
        <w:numPr>
          <w:ilvl w:val="0"/>
          <w:numId w:val="35"/>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Regular monitoring meetings</w:t>
      </w:r>
    </w:p>
    <w:p w:rsidRPr="008569D7" w:rsidR="007F585B" w:rsidP="001E1823" w:rsidRDefault="007F585B" w14:paraId="52D3CB70" w14:textId="77777777">
      <w:pPr>
        <w:numPr>
          <w:ilvl w:val="0"/>
          <w:numId w:val="35"/>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Annual service reviews</w:t>
      </w:r>
    </w:p>
    <w:p w:rsidRPr="008569D7" w:rsidR="007F585B" w:rsidP="001E1823" w:rsidRDefault="007F585B" w14:paraId="22306C05" w14:textId="77777777">
      <w:pPr>
        <w:numPr>
          <w:ilvl w:val="0"/>
          <w:numId w:val="35"/>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 full review of the service at the end of the contract period (or earlier if required)</w:t>
      </w:r>
    </w:p>
    <w:p w:rsidRPr="008569D7" w:rsidR="007F585B" w:rsidP="001E1823" w:rsidRDefault="007F585B" w14:paraId="36ACB79C"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fully co-operate with these processes.</w:t>
      </w:r>
    </w:p>
    <w:p w:rsidRPr="008569D7" w:rsidR="007F585B" w:rsidP="001E1823" w:rsidRDefault="007F585B" w14:paraId="1B0CB391" w14:textId="0774A076">
      <w:pPr>
        <w:spacing w:after="0" w:line="25" w:lineRule="atLeast"/>
        <w:rPr>
          <w:rFonts w:eastAsia="Times New Roman" w:cstheme="minorHAnsi"/>
          <w:kern w:val="0"/>
          <w:lang w:eastAsia="cy-GB"/>
          <w14:ligatures w14:val="none"/>
        </w:rPr>
      </w:pPr>
    </w:p>
    <w:p w:rsidRPr="008569D7" w:rsidR="007F585B" w:rsidP="001E1823" w:rsidRDefault="007F585B" w14:paraId="515177A0" w14:textId="77777777">
      <w:pPr>
        <w:spacing w:before="100" w:beforeAutospacing="1" w:after="100" w:afterAutospacing="1" w:line="25" w:lineRule="atLeast"/>
        <w:outlineLvl w:val="2"/>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15.4 Inspection and Audit</w:t>
      </w:r>
    </w:p>
    <w:p w:rsidRPr="008569D7" w:rsidR="007F585B" w:rsidP="001E1823" w:rsidRDefault="007F585B" w14:paraId="3D670693"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co-operate with the Authority in any monitoring, auditing or evaluation activity.</w:t>
      </w:r>
    </w:p>
    <w:p w:rsidRPr="008569D7" w:rsidR="007F585B" w:rsidP="001E1823" w:rsidRDefault="007F585B" w14:paraId="3473F9E3"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This may include (but is not limited to):</w:t>
      </w:r>
    </w:p>
    <w:p w:rsidRPr="008569D7" w:rsidR="007F585B" w:rsidP="001E1823" w:rsidRDefault="007F585B" w14:paraId="6046540D" w14:textId="77777777">
      <w:pPr>
        <w:numPr>
          <w:ilvl w:val="0"/>
          <w:numId w:val="36"/>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Access to relevant records</w:t>
      </w:r>
    </w:p>
    <w:p w:rsidRPr="008569D7" w:rsidR="007F585B" w:rsidP="001E1823" w:rsidRDefault="007F585B" w14:paraId="051367B8" w14:textId="77777777">
      <w:pPr>
        <w:numPr>
          <w:ilvl w:val="0"/>
          <w:numId w:val="36"/>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Access to staff</w:t>
      </w:r>
    </w:p>
    <w:p w:rsidRPr="008569D7" w:rsidR="007F585B" w:rsidP="001E1823" w:rsidRDefault="007F585B" w14:paraId="547EAE06" w14:textId="77777777">
      <w:pPr>
        <w:numPr>
          <w:ilvl w:val="0"/>
          <w:numId w:val="36"/>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Access to service locations</w:t>
      </w:r>
    </w:p>
    <w:p w:rsidRPr="008569D7" w:rsidR="007F585B" w:rsidP="001E1823" w:rsidRDefault="007F585B" w14:paraId="1AE6EE27"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Where appropriate, the provider must provide evidence to support the data submitted.</w:t>
      </w:r>
    </w:p>
    <w:p w:rsidRPr="008569D7" w:rsidR="007F585B" w:rsidP="001E1823" w:rsidRDefault="007F585B" w14:paraId="284B1D12" w14:textId="5200E597">
      <w:pPr>
        <w:spacing w:after="0" w:line="25" w:lineRule="atLeast"/>
        <w:rPr>
          <w:rFonts w:eastAsia="Times New Roman" w:cstheme="minorHAnsi"/>
          <w:kern w:val="0"/>
          <w:lang w:eastAsia="cy-GB"/>
          <w14:ligatures w14:val="none"/>
        </w:rPr>
      </w:pPr>
    </w:p>
    <w:p w:rsidRPr="008569D7" w:rsidR="007F585B" w:rsidP="001E1823" w:rsidRDefault="007F585B" w14:paraId="64A6F947" w14:textId="77777777">
      <w:pPr>
        <w:spacing w:before="100" w:beforeAutospacing="1" w:after="100" w:afterAutospacing="1" w:line="25" w:lineRule="atLeast"/>
        <w:outlineLvl w:val="2"/>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15.5 Learning and Service Development</w:t>
      </w:r>
    </w:p>
    <w:p w:rsidRPr="008569D7" w:rsidR="007F585B" w:rsidP="001E1823" w:rsidRDefault="007F585B" w14:paraId="74B60C68"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use information collected through monitoring to:</w:t>
      </w:r>
    </w:p>
    <w:p w:rsidRPr="008569D7" w:rsidR="007F585B" w:rsidP="001E1823" w:rsidRDefault="007F585B" w14:paraId="0706D60A" w14:textId="77777777">
      <w:pPr>
        <w:numPr>
          <w:ilvl w:val="0"/>
          <w:numId w:val="37"/>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Identify areas for improvement</w:t>
      </w:r>
    </w:p>
    <w:p w:rsidRPr="008569D7" w:rsidR="007F585B" w:rsidP="001E1823" w:rsidRDefault="007F585B" w14:paraId="2C4DF29C" w14:textId="77777777">
      <w:pPr>
        <w:numPr>
          <w:ilvl w:val="0"/>
          <w:numId w:val="37"/>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Adapt the provision</w:t>
      </w:r>
    </w:p>
    <w:p w:rsidRPr="008569D7" w:rsidR="007F585B" w:rsidP="001E1823" w:rsidRDefault="007F585B" w14:paraId="45610E42" w14:textId="77777777">
      <w:pPr>
        <w:numPr>
          <w:ilvl w:val="0"/>
          <w:numId w:val="37"/>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Contribute to the development of the service over time</w:t>
      </w:r>
    </w:p>
    <w:p w:rsidR="007F585B" w:rsidP="001E1823" w:rsidRDefault="007F585B" w14:paraId="376CCDAC"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is expected to share insights with the Commissioner to support future planning and commissioning.</w:t>
      </w:r>
    </w:p>
    <w:p w:rsidRPr="008569D7" w:rsidR="001E5ADC" w:rsidP="001E1823" w:rsidRDefault="001E5ADC" w14:paraId="37BC687A"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p>
    <w:p w:rsidRPr="008569D7" w:rsidR="007F585B" w:rsidP="001E1823" w:rsidRDefault="007F585B" w14:paraId="2861C073" w14:textId="77777777">
      <w:pPr>
        <w:spacing w:before="100" w:beforeAutospacing="1" w:after="100" w:afterAutospacing="1" w:line="25" w:lineRule="atLeast"/>
        <w:outlineLvl w:val="1"/>
        <w:rPr>
          <w:rFonts w:eastAsia="Times New Roman" w:cstheme="minorHAnsi"/>
          <w:b/>
          <w:bCs/>
          <w:color w:val="2F5496" w:themeColor="accent1" w:themeShade="BF"/>
          <w:kern w:val="0"/>
          <w:sz w:val="28"/>
          <w:szCs w:val="28"/>
          <w:lang w:eastAsia="cy-GB"/>
          <w14:ligatures w14:val="none"/>
        </w:rPr>
      </w:pPr>
      <w:r w:rsidRPr="008569D7">
        <w:rPr>
          <w:rFonts w:eastAsia="Times New Roman" w:cstheme="minorHAnsi"/>
          <w:b/>
          <w:bCs/>
          <w:color w:val="2F5496" w:themeColor="accent1" w:themeShade="BF"/>
          <w:kern w:val="0"/>
          <w:sz w:val="28"/>
          <w:szCs w:val="28"/>
          <w:lang w:eastAsia="cy-GB"/>
          <w14:ligatures w14:val="none"/>
        </w:rPr>
        <w:t>16. Exit Arrangements and Termination of the Service</w:t>
      </w:r>
    </w:p>
    <w:p w:rsidRPr="008569D7" w:rsidR="007F585B" w:rsidP="001E1823" w:rsidRDefault="007F585B" w14:paraId="4920CA4D"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The provider must fully cooperate with the Authority to ensure that any arrangements for ending the service, transferring the service or changing provider are managed safely and effectively.</w:t>
      </w:r>
    </w:p>
    <w:p w:rsidRPr="008569D7" w:rsidR="007F585B" w:rsidP="001E1823" w:rsidRDefault="007F585B" w14:paraId="09FDD39A" w14:textId="77777777">
      <w:p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In a situation where the service comes to an end or transfers to another provider, the provider must:</w:t>
      </w:r>
    </w:p>
    <w:p w:rsidRPr="008569D7" w:rsidR="007F585B" w:rsidP="001E1823" w:rsidRDefault="007F585B" w14:paraId="69AB7670" w14:textId="77777777">
      <w:pPr>
        <w:numPr>
          <w:ilvl w:val="0"/>
          <w:numId w:val="38"/>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Ensure as little disruption as possible to young people using the service</w:t>
      </w:r>
    </w:p>
    <w:p w:rsidRPr="008569D7" w:rsidR="007F585B" w:rsidP="001E1823" w:rsidRDefault="007F585B" w14:paraId="71EB8911" w14:textId="77777777">
      <w:pPr>
        <w:numPr>
          <w:ilvl w:val="0"/>
          <w:numId w:val="38"/>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Work with young people to close or transfer any support in an appropriate and accessible manner</w:t>
      </w:r>
    </w:p>
    <w:p w:rsidRPr="008569D7" w:rsidR="007F585B" w:rsidP="001E1823" w:rsidRDefault="007F585B" w14:paraId="73F63DF8" w14:textId="77777777">
      <w:pPr>
        <w:numPr>
          <w:ilvl w:val="0"/>
          <w:numId w:val="38"/>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Work with the Authority and relevant providers to ensure a safe and orderly transition</w:t>
      </w:r>
    </w:p>
    <w:p w:rsidRPr="008569D7" w:rsidR="007F585B" w:rsidP="001E1823" w:rsidRDefault="007F585B" w14:paraId="48B44968" w14:textId="77777777">
      <w:pPr>
        <w:numPr>
          <w:ilvl w:val="0"/>
          <w:numId w:val="38"/>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Manage any staffing matters, records and information in accordance with legal and contractual requirements</w:t>
      </w:r>
    </w:p>
    <w:p w:rsidRPr="008569D7" w:rsidR="007F585B" w:rsidP="001E1823" w:rsidRDefault="007F585B" w14:paraId="4770ED6D" w14:textId="77777777">
      <w:pPr>
        <w:numPr>
          <w:ilvl w:val="0"/>
          <w:numId w:val="38"/>
        </w:numPr>
        <w:spacing w:before="100" w:beforeAutospacing="1" w:after="100" w:afterAutospacing="1" w:line="25" w:lineRule="atLeast"/>
        <w:rPr>
          <w:rFonts w:eastAsia="Times New Roman" w:asciiTheme="majorHAnsi" w:hAnsiTheme="majorHAnsi" w:cstheme="majorHAnsi"/>
          <w:kern w:val="0"/>
          <w:lang w:eastAsia="cy-GB"/>
          <w14:ligatures w14:val="none"/>
        </w:rPr>
      </w:pPr>
      <w:r w:rsidRPr="008569D7">
        <w:rPr>
          <w:rFonts w:eastAsia="Times New Roman" w:asciiTheme="majorHAnsi" w:hAnsiTheme="majorHAnsi" w:cstheme="majorHAnsi"/>
          <w:kern w:val="0"/>
          <w:lang w:eastAsia="cy-GB"/>
          <w14:ligatures w14:val="none"/>
        </w:rPr>
        <w:t>Ensure that any data, documents or information relevant to the continuity of the service are transferred securely and in line with data protection legislation</w:t>
      </w:r>
    </w:p>
    <w:p w:rsidRPr="008569D7" w:rsidR="007F585B" w:rsidP="4B991855" w:rsidRDefault="007F585B" w14:paraId="20418CFF" w14:textId="79AF629C">
      <w:pPr>
        <w:spacing w:before="100" w:beforeAutospacing="on" w:after="100" w:afterAutospacing="on" w:line="25" w:lineRule="atLeast"/>
        <w:rPr>
          <w:rFonts w:ascii="Calibri Light" w:hAnsi="Calibri Light" w:eastAsia="Times New Roman" w:cs="Calibri Light" w:asciiTheme="majorAscii" w:hAnsiTheme="majorAscii" w:cstheme="majorAscii"/>
          <w:lang w:eastAsia="cy-GB"/>
        </w:rPr>
      </w:pPr>
      <w:r w:rsidRPr="4B991855" w:rsidR="3D9AD13F">
        <w:rPr>
          <w:rFonts w:ascii="Calibri Light" w:hAnsi="Calibri Light" w:eastAsia="Times New Roman" w:cs="Calibri Light" w:asciiTheme="majorAscii" w:hAnsiTheme="majorAscii" w:cstheme="majorAscii"/>
          <w:kern w:val="0"/>
          <w:lang w:eastAsia="cy-GB"/>
          <w14:ligatures w14:val="none"/>
        </w:rPr>
        <w:t xml:space="preserve">The provider is expected to have </w:t>
      </w:r>
      <w:r w:rsidRPr="4B991855" w:rsidR="3D9AD13F">
        <w:rPr>
          <w:rFonts w:ascii="Calibri Light" w:hAnsi="Calibri Light" w:eastAsia="Times New Roman" w:cs="Calibri Light" w:asciiTheme="majorAscii" w:hAnsiTheme="majorAscii" w:cstheme="majorAscii"/>
          <w:lang w:eastAsia="cy-GB"/>
        </w:rPr>
        <w:t>an appropriate exit</w:t>
      </w:r>
      <w:r w:rsidRPr="4B991855" w:rsidR="3D9AD13F">
        <w:rPr>
          <w:rFonts w:ascii="Calibri Light" w:hAnsi="Calibri Light" w:eastAsia="Times New Roman" w:cs="Calibri Light" w:asciiTheme="majorAscii" w:hAnsiTheme="majorAscii" w:cstheme="majorAscii"/>
          <w:lang w:eastAsia="cy-GB"/>
        </w:rPr>
        <w:t xml:space="preserve"> plan and to implement it when </w:t>
      </w:r>
      <w:r w:rsidRPr="4B991855" w:rsidR="3D9AD13F">
        <w:rPr>
          <w:rFonts w:ascii="Calibri Light" w:hAnsi="Calibri Light" w:eastAsia="Times New Roman" w:cs="Calibri Light" w:asciiTheme="majorAscii" w:hAnsiTheme="majorAscii" w:cstheme="majorAscii"/>
          <w:lang w:eastAsia="cy-GB"/>
        </w:rPr>
        <w:t>required</w:t>
      </w:r>
      <w:r w:rsidRPr="4B991855" w:rsidR="3D9AD13F">
        <w:rPr>
          <w:rFonts w:ascii="Calibri Light" w:hAnsi="Calibri Light" w:eastAsia="Times New Roman" w:cs="Calibri Light" w:asciiTheme="majorAscii" w:hAnsiTheme="majorAscii" w:cstheme="majorAscii"/>
          <w:lang w:eastAsia="cy-GB"/>
        </w:rPr>
        <w:t>.</w:t>
      </w:r>
    </w:p>
    <w:sectPr w:rsidRPr="008569D7" w:rsidR="00F505A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bullet="t" o:hr="t" o:hrstd="t" o:hralign="center" fillcolor="#a0a0a0" stroked="f"/>
    </w:pict>
  </w:numPicBullet>
  <w:abstractNum w:abstractNumId="0" w15:restartNumberingAfterBreak="0">
    <w:nsid w:val="0008577B"/>
    <w:multiLevelType w:val="hybridMultilevel"/>
    <w:tmpl w:val="7D86E7BE"/>
    <w:lvl w:ilvl="0" w:tplc="AE184E54">
      <w:start w:val="1"/>
      <w:numFmt w:val="bullet"/>
      <w:lvlText w:val="o"/>
      <w:lvlJc w:val="left"/>
      <w:pPr>
        <w:ind w:left="1080" w:hanging="360"/>
      </w:pPr>
      <w:rPr>
        <w:rFonts w:hint="default" w:ascii="Courier New" w:hAnsi="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 w15:restartNumberingAfterBreak="0">
    <w:nsid w:val="06B16D9C"/>
    <w:multiLevelType w:val="multilevel"/>
    <w:tmpl w:val="A79C8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707E41"/>
    <w:multiLevelType w:val="multilevel"/>
    <w:tmpl w:val="CC9E6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734B2A"/>
    <w:multiLevelType w:val="multilevel"/>
    <w:tmpl w:val="8C227C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5B4C43"/>
    <w:multiLevelType w:val="multilevel"/>
    <w:tmpl w:val="DA742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CB2F86"/>
    <w:multiLevelType w:val="multilevel"/>
    <w:tmpl w:val="B644F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8436A5"/>
    <w:multiLevelType w:val="multilevel"/>
    <w:tmpl w:val="47D07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9A211C9"/>
    <w:multiLevelType w:val="multilevel"/>
    <w:tmpl w:val="EE6C5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A6E20F9"/>
    <w:multiLevelType w:val="multilevel"/>
    <w:tmpl w:val="5CB87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AFD1FA7"/>
    <w:multiLevelType w:val="multilevel"/>
    <w:tmpl w:val="01AA2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F1C3539"/>
    <w:multiLevelType w:val="multilevel"/>
    <w:tmpl w:val="0F9C1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20E1F58"/>
    <w:multiLevelType w:val="multilevel"/>
    <w:tmpl w:val="2EEC8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470CC9"/>
    <w:multiLevelType w:val="multilevel"/>
    <w:tmpl w:val="71F2E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8B30FC3"/>
    <w:multiLevelType w:val="multilevel"/>
    <w:tmpl w:val="DB5E4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A2C2299"/>
    <w:multiLevelType w:val="multilevel"/>
    <w:tmpl w:val="E68AE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F3A0272"/>
    <w:multiLevelType w:val="multilevel"/>
    <w:tmpl w:val="05E6A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03E711A"/>
    <w:multiLevelType w:val="multilevel"/>
    <w:tmpl w:val="5F2A5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1AF4076"/>
    <w:multiLevelType w:val="multilevel"/>
    <w:tmpl w:val="69B23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3174303"/>
    <w:multiLevelType w:val="multilevel"/>
    <w:tmpl w:val="F6C8D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62E4B81"/>
    <w:multiLevelType w:val="multilevel"/>
    <w:tmpl w:val="B05C6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90E0965"/>
    <w:multiLevelType w:val="hybridMultilevel"/>
    <w:tmpl w:val="0D70EF2E"/>
    <w:lvl w:ilvl="0" w:tplc="33A25E3E">
      <w:start w:val="1"/>
      <w:numFmt w:val="decimal"/>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21" w15:restartNumberingAfterBreak="0">
    <w:nsid w:val="3A284479"/>
    <w:multiLevelType w:val="multilevel"/>
    <w:tmpl w:val="2D626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B3A5B2D"/>
    <w:multiLevelType w:val="multilevel"/>
    <w:tmpl w:val="26225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CB64F1B"/>
    <w:multiLevelType w:val="multilevel"/>
    <w:tmpl w:val="F89AD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5AD340B"/>
    <w:multiLevelType w:val="multilevel"/>
    <w:tmpl w:val="883E4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6B31145"/>
    <w:multiLevelType w:val="multilevel"/>
    <w:tmpl w:val="672EE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7E27195"/>
    <w:multiLevelType w:val="hybridMultilevel"/>
    <w:tmpl w:val="6A2ED492"/>
    <w:lvl w:ilvl="0" w:tplc="04520001">
      <w:start w:val="1"/>
      <w:numFmt w:val="bullet"/>
      <w:lvlText w:val=""/>
      <w:lvlJc w:val="left"/>
      <w:pPr>
        <w:ind w:left="1080" w:hanging="360"/>
      </w:pPr>
      <w:rPr>
        <w:rFonts w:hint="default" w:ascii="Symbol" w:hAnsi="Symbol"/>
      </w:rPr>
    </w:lvl>
    <w:lvl w:ilvl="1" w:tplc="04520003" w:tentative="1">
      <w:start w:val="1"/>
      <w:numFmt w:val="bullet"/>
      <w:lvlText w:val="o"/>
      <w:lvlJc w:val="left"/>
      <w:pPr>
        <w:ind w:left="1800" w:hanging="360"/>
      </w:pPr>
      <w:rPr>
        <w:rFonts w:hint="default" w:ascii="Courier New" w:hAnsi="Courier New" w:cs="Courier New"/>
      </w:rPr>
    </w:lvl>
    <w:lvl w:ilvl="2" w:tplc="04520005" w:tentative="1">
      <w:start w:val="1"/>
      <w:numFmt w:val="bullet"/>
      <w:lvlText w:val=""/>
      <w:lvlJc w:val="left"/>
      <w:pPr>
        <w:ind w:left="2520" w:hanging="360"/>
      </w:pPr>
      <w:rPr>
        <w:rFonts w:hint="default" w:ascii="Wingdings" w:hAnsi="Wingdings"/>
      </w:rPr>
    </w:lvl>
    <w:lvl w:ilvl="3" w:tplc="04520001" w:tentative="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27" w15:restartNumberingAfterBreak="0">
    <w:nsid w:val="4D916EE3"/>
    <w:multiLevelType w:val="multilevel"/>
    <w:tmpl w:val="7E96C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11A26E5"/>
    <w:multiLevelType w:val="multilevel"/>
    <w:tmpl w:val="CF7AF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3F074DA"/>
    <w:multiLevelType w:val="multilevel"/>
    <w:tmpl w:val="1E5E5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64E355D"/>
    <w:multiLevelType w:val="multilevel"/>
    <w:tmpl w:val="01BCC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7232AA6"/>
    <w:multiLevelType w:val="multilevel"/>
    <w:tmpl w:val="DCBCC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E8265F6"/>
    <w:multiLevelType w:val="multilevel"/>
    <w:tmpl w:val="AC48D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2F33F3B"/>
    <w:multiLevelType w:val="hybridMultilevel"/>
    <w:tmpl w:val="1B0AAC16"/>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34" w15:restartNumberingAfterBreak="0">
    <w:nsid w:val="63B15827"/>
    <w:multiLevelType w:val="multilevel"/>
    <w:tmpl w:val="30F6B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3CA018D"/>
    <w:multiLevelType w:val="multilevel"/>
    <w:tmpl w:val="6EF29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D5C2468"/>
    <w:multiLevelType w:val="multilevel"/>
    <w:tmpl w:val="B6985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D940654"/>
    <w:multiLevelType w:val="multilevel"/>
    <w:tmpl w:val="E8721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1A2262B"/>
    <w:multiLevelType w:val="multilevel"/>
    <w:tmpl w:val="17240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47A43CF"/>
    <w:multiLevelType w:val="multilevel"/>
    <w:tmpl w:val="20CEB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8C856B5"/>
    <w:multiLevelType w:val="multilevel"/>
    <w:tmpl w:val="2CF05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F750B0C"/>
    <w:multiLevelType w:val="multilevel"/>
    <w:tmpl w:val="142A0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26572047">
    <w:abstractNumId w:val="3"/>
  </w:num>
  <w:num w:numId="2" w16cid:durableId="443501904">
    <w:abstractNumId w:val="8"/>
  </w:num>
  <w:num w:numId="3" w16cid:durableId="1401714111">
    <w:abstractNumId w:val="12"/>
  </w:num>
  <w:num w:numId="4" w16cid:durableId="1772703503">
    <w:abstractNumId w:val="40"/>
  </w:num>
  <w:num w:numId="5" w16cid:durableId="2015297800">
    <w:abstractNumId w:val="31"/>
  </w:num>
  <w:num w:numId="6" w16cid:durableId="1534540602">
    <w:abstractNumId w:val="28"/>
  </w:num>
  <w:num w:numId="7" w16cid:durableId="208542643">
    <w:abstractNumId w:val="34"/>
  </w:num>
  <w:num w:numId="8" w16cid:durableId="1855684301">
    <w:abstractNumId w:val="7"/>
  </w:num>
  <w:num w:numId="9" w16cid:durableId="450325475">
    <w:abstractNumId w:val="11"/>
  </w:num>
  <w:num w:numId="10" w16cid:durableId="1988893620">
    <w:abstractNumId w:val="4"/>
  </w:num>
  <w:num w:numId="11" w16cid:durableId="1837838189">
    <w:abstractNumId w:val="2"/>
  </w:num>
  <w:num w:numId="12" w16cid:durableId="1979526103">
    <w:abstractNumId w:val="15"/>
  </w:num>
  <w:num w:numId="13" w16cid:durableId="766652389">
    <w:abstractNumId w:val="41"/>
  </w:num>
  <w:num w:numId="14" w16cid:durableId="1385178927">
    <w:abstractNumId w:val="1"/>
  </w:num>
  <w:num w:numId="15" w16cid:durableId="2059352061">
    <w:abstractNumId w:val="35"/>
  </w:num>
  <w:num w:numId="16" w16cid:durableId="1016924258">
    <w:abstractNumId w:val="10"/>
  </w:num>
  <w:num w:numId="17" w16cid:durableId="1488011643">
    <w:abstractNumId w:val="23"/>
  </w:num>
  <w:num w:numId="18" w16cid:durableId="159779318">
    <w:abstractNumId w:val="29"/>
  </w:num>
  <w:num w:numId="19" w16cid:durableId="2023119336">
    <w:abstractNumId w:val="17"/>
  </w:num>
  <w:num w:numId="20" w16cid:durableId="30617714">
    <w:abstractNumId w:val="32"/>
  </w:num>
  <w:num w:numId="21" w16cid:durableId="254241683">
    <w:abstractNumId w:val="9"/>
  </w:num>
  <w:num w:numId="22" w16cid:durableId="1826126535">
    <w:abstractNumId w:val="27"/>
  </w:num>
  <w:num w:numId="23" w16cid:durableId="281302655">
    <w:abstractNumId w:val="39"/>
  </w:num>
  <w:num w:numId="24" w16cid:durableId="1195343781">
    <w:abstractNumId w:val="25"/>
  </w:num>
  <w:num w:numId="25" w16cid:durableId="1930700673">
    <w:abstractNumId w:val="36"/>
  </w:num>
  <w:num w:numId="26" w16cid:durableId="314454130">
    <w:abstractNumId w:val="21"/>
  </w:num>
  <w:num w:numId="27" w16cid:durableId="292828895">
    <w:abstractNumId w:val="24"/>
  </w:num>
  <w:num w:numId="28" w16cid:durableId="1043863807">
    <w:abstractNumId w:val="30"/>
  </w:num>
  <w:num w:numId="29" w16cid:durableId="944730806">
    <w:abstractNumId w:val="5"/>
  </w:num>
  <w:num w:numId="30" w16cid:durableId="1813866457">
    <w:abstractNumId w:val="13"/>
  </w:num>
  <w:num w:numId="31" w16cid:durableId="1802534598">
    <w:abstractNumId w:val="38"/>
  </w:num>
  <w:num w:numId="32" w16cid:durableId="474298652">
    <w:abstractNumId w:val="22"/>
  </w:num>
  <w:num w:numId="33" w16cid:durableId="337007685">
    <w:abstractNumId w:val="14"/>
  </w:num>
  <w:num w:numId="34" w16cid:durableId="1363239632">
    <w:abstractNumId w:val="18"/>
  </w:num>
  <w:num w:numId="35" w16cid:durableId="1276908212">
    <w:abstractNumId w:val="6"/>
  </w:num>
  <w:num w:numId="36" w16cid:durableId="21326143">
    <w:abstractNumId w:val="16"/>
  </w:num>
  <w:num w:numId="37" w16cid:durableId="1195116324">
    <w:abstractNumId w:val="37"/>
  </w:num>
  <w:num w:numId="38" w16cid:durableId="920220141">
    <w:abstractNumId w:val="19"/>
  </w:num>
  <w:num w:numId="39" w16cid:durableId="1560557818">
    <w:abstractNumId w:val="20"/>
  </w:num>
  <w:num w:numId="40" w16cid:durableId="715205823">
    <w:abstractNumId w:val="33"/>
  </w:num>
  <w:num w:numId="41" w16cid:durableId="192769539">
    <w:abstractNumId w:val="26"/>
  </w:num>
  <w:num w:numId="42" w16cid:durableId="1187793482">
    <w:abstractNumId w:val="0"/>
  </w:num>
  <w:numIdMacAtCleanup w:val="3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95"/>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EA"/>
    <w:rsid w:val="00007F11"/>
    <w:rsid w:val="0006F16F"/>
    <w:rsid w:val="00083F7A"/>
    <w:rsid w:val="000A5DAB"/>
    <w:rsid w:val="00176158"/>
    <w:rsid w:val="001E1823"/>
    <w:rsid w:val="001E5ADC"/>
    <w:rsid w:val="001E67B2"/>
    <w:rsid w:val="002A5CED"/>
    <w:rsid w:val="002F7B6B"/>
    <w:rsid w:val="0032204E"/>
    <w:rsid w:val="00421FDF"/>
    <w:rsid w:val="00444972"/>
    <w:rsid w:val="00504887"/>
    <w:rsid w:val="005C7E0B"/>
    <w:rsid w:val="005D62B4"/>
    <w:rsid w:val="005F3754"/>
    <w:rsid w:val="00630997"/>
    <w:rsid w:val="00735793"/>
    <w:rsid w:val="00745E77"/>
    <w:rsid w:val="007F585B"/>
    <w:rsid w:val="00803781"/>
    <w:rsid w:val="0083794C"/>
    <w:rsid w:val="008569D7"/>
    <w:rsid w:val="008B1989"/>
    <w:rsid w:val="00A47D01"/>
    <w:rsid w:val="00AB43EA"/>
    <w:rsid w:val="00B20D21"/>
    <w:rsid w:val="00B66A4F"/>
    <w:rsid w:val="00D92569"/>
    <w:rsid w:val="00DB6FF2"/>
    <w:rsid w:val="00DE1533"/>
    <w:rsid w:val="00DF2B71"/>
    <w:rsid w:val="00E27665"/>
    <w:rsid w:val="00E344DC"/>
    <w:rsid w:val="00EEB099"/>
    <w:rsid w:val="00F24A6F"/>
    <w:rsid w:val="00F505A7"/>
    <w:rsid w:val="00F53906"/>
    <w:rsid w:val="00FE58B1"/>
    <w:rsid w:val="0462E4DB"/>
    <w:rsid w:val="0B8E2F20"/>
    <w:rsid w:val="0F0407D4"/>
    <w:rsid w:val="12AE62C8"/>
    <w:rsid w:val="1473CF80"/>
    <w:rsid w:val="1BABC720"/>
    <w:rsid w:val="1CDA568A"/>
    <w:rsid w:val="20B4084D"/>
    <w:rsid w:val="238E243E"/>
    <w:rsid w:val="29D5B676"/>
    <w:rsid w:val="2F4B47DA"/>
    <w:rsid w:val="324729A6"/>
    <w:rsid w:val="38695E00"/>
    <w:rsid w:val="3AD4C009"/>
    <w:rsid w:val="3D9AD13F"/>
    <w:rsid w:val="40481CA7"/>
    <w:rsid w:val="42E70B47"/>
    <w:rsid w:val="454FBAA4"/>
    <w:rsid w:val="4B991855"/>
    <w:rsid w:val="51A386E6"/>
    <w:rsid w:val="5BCEA13F"/>
    <w:rsid w:val="6FC4A6CC"/>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B46F"/>
  <w15:chartTrackingRefBased/>
  <w15:docId w15:val="{9CD7F420-CF87-4150-86F9-E6FB1344B4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AB43E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3E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3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3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3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3E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43EA"/>
    <w:rPr>
      <w:rFonts w:asciiTheme="majorHAnsi" w:hAnsiTheme="majorHAnsi" w:eastAsiaTheme="majorEastAsia" w:cstheme="majorBidi"/>
      <w:color w:val="2F5496" w:themeColor="accent1" w:themeShade="BF"/>
      <w:sz w:val="40"/>
      <w:szCs w:val="40"/>
      <w:lang w:val="en-GB"/>
    </w:rPr>
  </w:style>
  <w:style w:type="character" w:styleId="Heading2Char" w:customStyle="1">
    <w:name w:val="Heading 2 Char"/>
    <w:basedOn w:val="DefaultParagraphFont"/>
    <w:link w:val="Heading2"/>
    <w:uiPriority w:val="9"/>
    <w:semiHidden/>
    <w:rsid w:val="00AB43EA"/>
    <w:rPr>
      <w:rFonts w:asciiTheme="majorHAnsi" w:hAnsiTheme="majorHAnsi" w:eastAsiaTheme="majorEastAsia" w:cstheme="majorBidi"/>
      <w:color w:val="2F5496" w:themeColor="accent1" w:themeShade="BF"/>
      <w:sz w:val="32"/>
      <w:szCs w:val="32"/>
      <w:lang w:val="en-GB"/>
    </w:rPr>
  </w:style>
  <w:style w:type="character" w:styleId="Heading3Char" w:customStyle="1">
    <w:name w:val="Heading 3 Char"/>
    <w:basedOn w:val="DefaultParagraphFont"/>
    <w:link w:val="Heading3"/>
    <w:uiPriority w:val="9"/>
    <w:semiHidden/>
    <w:rsid w:val="00AB43EA"/>
    <w:rPr>
      <w:rFonts w:eastAsiaTheme="majorEastAsia" w:cstheme="majorBidi"/>
      <w:color w:val="2F5496" w:themeColor="accent1" w:themeShade="BF"/>
      <w:sz w:val="28"/>
      <w:szCs w:val="28"/>
      <w:lang w:val="en-GB"/>
    </w:rPr>
  </w:style>
  <w:style w:type="character" w:styleId="Heading4Char" w:customStyle="1">
    <w:name w:val="Heading 4 Char"/>
    <w:basedOn w:val="DefaultParagraphFont"/>
    <w:link w:val="Heading4"/>
    <w:uiPriority w:val="9"/>
    <w:semiHidden/>
    <w:rsid w:val="00AB43EA"/>
    <w:rPr>
      <w:rFonts w:eastAsiaTheme="majorEastAsia" w:cstheme="majorBidi"/>
      <w:i/>
      <w:iCs/>
      <w:color w:val="2F5496" w:themeColor="accent1" w:themeShade="BF"/>
      <w:lang w:val="en-GB"/>
    </w:rPr>
  </w:style>
  <w:style w:type="character" w:styleId="Heading5Char" w:customStyle="1">
    <w:name w:val="Heading 5 Char"/>
    <w:basedOn w:val="DefaultParagraphFont"/>
    <w:link w:val="Heading5"/>
    <w:uiPriority w:val="9"/>
    <w:semiHidden/>
    <w:rsid w:val="00AB43EA"/>
    <w:rPr>
      <w:rFonts w:eastAsiaTheme="majorEastAsia" w:cstheme="majorBidi"/>
      <w:color w:val="2F5496" w:themeColor="accent1" w:themeShade="BF"/>
      <w:lang w:val="en-GB"/>
    </w:rPr>
  </w:style>
  <w:style w:type="character" w:styleId="Heading6Char" w:customStyle="1">
    <w:name w:val="Heading 6 Char"/>
    <w:basedOn w:val="DefaultParagraphFont"/>
    <w:link w:val="Heading6"/>
    <w:uiPriority w:val="9"/>
    <w:semiHidden/>
    <w:rsid w:val="00AB43EA"/>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AB43EA"/>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AB43EA"/>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AB43E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B43E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43EA"/>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AB43E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43E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B43EA"/>
    <w:pPr>
      <w:spacing w:before="160"/>
      <w:jc w:val="center"/>
    </w:pPr>
    <w:rPr>
      <w:i/>
      <w:iCs/>
      <w:color w:val="404040" w:themeColor="text1" w:themeTint="BF"/>
    </w:rPr>
  </w:style>
  <w:style w:type="character" w:styleId="QuoteChar" w:customStyle="1">
    <w:name w:val="Quote Char"/>
    <w:basedOn w:val="DefaultParagraphFont"/>
    <w:link w:val="Quote"/>
    <w:uiPriority w:val="29"/>
    <w:rsid w:val="00AB43EA"/>
    <w:rPr>
      <w:i/>
      <w:iCs/>
      <w:color w:val="404040" w:themeColor="text1" w:themeTint="BF"/>
      <w:lang w:val="en-GB"/>
    </w:rPr>
  </w:style>
  <w:style w:type="paragraph" w:styleId="ListParagraph">
    <w:name w:val="List Paragraph"/>
    <w:basedOn w:val="Normal"/>
    <w:uiPriority w:val="34"/>
    <w:qFormat/>
    <w:rsid w:val="00AB43EA"/>
    <w:pPr>
      <w:ind w:left="720"/>
      <w:contextualSpacing/>
    </w:pPr>
  </w:style>
  <w:style w:type="character" w:styleId="IntenseEmphasis">
    <w:name w:val="Intense Emphasis"/>
    <w:basedOn w:val="DefaultParagraphFont"/>
    <w:uiPriority w:val="21"/>
    <w:qFormat/>
    <w:rsid w:val="00AB43EA"/>
    <w:rPr>
      <w:i/>
      <w:iCs/>
      <w:color w:val="2F5496" w:themeColor="accent1" w:themeShade="BF"/>
    </w:rPr>
  </w:style>
  <w:style w:type="paragraph" w:styleId="IntenseQuote">
    <w:name w:val="Intense Quote"/>
    <w:basedOn w:val="Normal"/>
    <w:next w:val="Normal"/>
    <w:link w:val="IntenseQuoteChar"/>
    <w:uiPriority w:val="30"/>
    <w:qFormat/>
    <w:rsid w:val="00AB43E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AB43EA"/>
    <w:rPr>
      <w:i/>
      <w:iCs/>
      <w:color w:val="2F5496" w:themeColor="accent1" w:themeShade="BF"/>
      <w:lang w:val="en-GB"/>
    </w:rPr>
  </w:style>
  <w:style w:type="character" w:styleId="IntenseReference">
    <w:name w:val="Intense Reference"/>
    <w:basedOn w:val="DefaultParagraphFont"/>
    <w:uiPriority w:val="32"/>
    <w:qFormat/>
    <w:rsid w:val="00AB43EA"/>
    <w:rPr>
      <w:b/>
      <w:bCs/>
      <w:smallCaps/>
      <w:color w:val="2F5496" w:themeColor="accent1" w:themeShade="BF"/>
      <w:spacing w:val="5"/>
    </w:rPr>
  </w:style>
  <w:style w:type="table" w:styleId="TableGrid">
    <w:name w:val="Table Grid"/>
    <w:basedOn w:val="TableNormal"/>
    <w:uiPriority w:val="39"/>
    <w:rsid w:val="00DE15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176158"/>
    <w:pPr>
      <w:spacing w:before="100" w:beforeAutospacing="1" w:after="100" w:afterAutospacing="1" w:line="240" w:lineRule="auto"/>
    </w:pPr>
    <w:rPr>
      <w:rFonts w:ascii="Times New Roman" w:hAnsi="Times New Roman" w:eastAsia="Times New Roman" w:cs="Times New Roman"/>
      <w:kern w:val="0"/>
      <w:sz w:val="24"/>
      <w:szCs w:val="24"/>
      <w:lang w:val="cy-GB" w:eastAsia="cy-GB"/>
      <w14:ligatures w14:val="none"/>
    </w:rPr>
  </w:style>
  <w:style w:type="character" w:styleId="Strong">
    <w:name w:val="Strong"/>
    <w:basedOn w:val="DefaultParagraphFont"/>
    <w:uiPriority w:val="22"/>
    <w:qFormat/>
    <w:rsid w:val="00176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hyperlink" Target="mailto:grantcymorthtai@gwynedd.llyw.cymru" TargetMode="External" Id="rId9" /></Relationships>
</file>

<file path=word/theme/theme1.xml><?xml version="1.0" encoding="utf-8"?>
<a:theme xmlns:a="http://schemas.openxmlformats.org/drawingml/2006/main" xmlns:thm15="http://schemas.microsoft.com/office/thememl/2012/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8E70C14BC18F3C499C44147811395932" ma:contentTypeVersion="13" ma:contentTypeDescription="Creu dogfen newydd." ma:contentTypeScope="" ma:versionID="494927c04b370738cca828b5d4f07e20">
  <xsd:schema xmlns:xsd="http://www.w3.org/2001/XMLSchema" xmlns:xs="http://www.w3.org/2001/XMLSchema" xmlns:p="http://schemas.microsoft.com/office/2006/metadata/properties" xmlns:ns2="9f689548-8c55-4930-9da1-991333f12bbf" xmlns:ns3="1c7bd7ee-fd3b-42cd-8713-cf666b085d07" targetNamespace="http://schemas.microsoft.com/office/2006/metadata/properties" ma:root="true" ma:fieldsID="d7aaaaed84c297a267ff3351c433e6db" ns2:_="" ns3:_="">
    <xsd:import namespace="9f689548-8c55-4930-9da1-991333f12bbf"/>
    <xsd:import namespace="1c7bd7ee-fd3b-42cd-8713-cf666b085d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89548-8c55-4930-9da1-991333f12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bd7ee-fd3b-42cd-8713-cf666b085d07"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element name="TaxCatchAll" ma:index="16" nillable="true" ma:displayName="Taxonomy Catch All Column" ma:hidden="true" ma:list="{57a73070-f07e-4999-8040-fd4ffd6c915a}" ma:internalName="TaxCatchAll" ma:showField="CatchAllData" ma:web="1c7bd7ee-fd3b-42cd-8713-cf666b085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7bd7ee-fd3b-42cd-8713-cf666b085d07" xsi:nil="true"/>
    <lcf76f155ced4ddcb4097134ff3c332f xmlns="9f689548-8c55-4930-9da1-991333f12b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64EE1-D9F6-4CFA-9BED-B58C71566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89548-8c55-4930-9da1-991333f12bbf"/>
    <ds:schemaRef ds:uri="1c7bd7ee-fd3b-42cd-8713-cf666b08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1CC1A-AEC2-48DE-84BB-218EA1045E44}">
  <ds:schemaRefs>
    <ds:schemaRef ds:uri="http://schemas.microsoft.com/sharepoint/v3/contenttype/forms"/>
  </ds:schemaRefs>
</ds:datastoreItem>
</file>

<file path=customXml/itemProps3.xml><?xml version="1.0" encoding="utf-8"?>
<ds:datastoreItem xmlns:ds="http://schemas.openxmlformats.org/officeDocument/2006/customXml" ds:itemID="{15161AAD-556A-4BB1-9CE7-97A93FB0A357}">
  <ds:schemaRefs>
    <ds:schemaRef ds:uri="http://schemas.microsoft.com/office/2006/metadata/properties"/>
    <ds:schemaRef ds:uri="http://schemas.microsoft.com/office/infopath/2007/PartnerControls"/>
    <ds:schemaRef ds:uri="1c7bd7ee-fd3b-42cd-8713-cf666b085d07"/>
    <ds:schemaRef ds:uri="9f689548-8c55-4930-9da1-991333f12bb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Cyngor Gwynedd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Hefina Wynn Jones (TaE)</dc:creator>
  <cp:keywords/>
  <dc:description/>
  <cp:lastModifiedBy>Jennifer Johnson (TaE)</cp:lastModifiedBy>
  <cp:revision>3</cp:revision>
  <cp:lastPrinted>2026-06-24T08:10:00Z</cp:lastPrinted>
  <dcterms:created xsi:type="dcterms:W3CDTF">2026-06-25T07:08:00Z</dcterms:created>
  <dcterms:modified xsi:type="dcterms:W3CDTF">2026-06-30T14:09:48Z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0x0101008E70C14BC18F3C499C44147811395932</vt:lpwstr>
  </property>
  <property fmtid="{D5CDD505-2E9C-101B-9397-08002B2CF9AE}" pid="3" name="MediaServiceImageTags">
    <vt:lpwstr/>
  </property>
</Properties>
</file>