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49FE" w:rsidR="00436619" w:rsidP="7A8AF3D8" w:rsidRDefault="00436619" w14:paraId="1AE4B350" w14:textId="642AB184">
      <w:pPr>
        <w:autoSpaceDE w:val="0"/>
        <w:autoSpaceDN w:val="0"/>
        <w:adjustRightInd w:val="0"/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eastAsia="en-GB"/>
        </w:rPr>
      </w:pPr>
      <w:r w:rsidRPr="7A8AF3D8" w:rsidR="5256FE11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eastAsia="en-GB"/>
        </w:rPr>
        <w:t xml:space="preserve">North Wales Claw </w:t>
      </w:r>
      <w:r w:rsidRPr="7A8AF3D8" w:rsidR="5256FE11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eastAsia="en-GB"/>
        </w:rPr>
        <w:t>back</w:t>
      </w:r>
      <w:r w:rsidRPr="7A8AF3D8" w:rsidR="5256FE11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eastAsia="en-GB"/>
        </w:rPr>
        <w:t xml:space="preserve"> Statement </w:t>
      </w:r>
    </w:p>
    <w:p w:rsidRPr="006B49FE" w:rsidR="00436619" w:rsidP="1EF47861" w:rsidRDefault="00436619" w14:paraId="52BFC3FA" w14:textId="660DA81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i w:val="1"/>
          <w:iCs w:val="1"/>
          <w:sz w:val="22"/>
          <w:szCs w:val="22"/>
          <w:lang w:eastAsia="en-GB"/>
        </w:rPr>
      </w:pPr>
      <w:r w:rsidRPr="1EF47861" w:rsidR="2B2F852B">
        <w:rPr>
          <w:rFonts w:ascii="Calibri" w:hAnsi="Calibri" w:eastAsia="Calibri" w:cs="Calibri"/>
          <w:i w:val="1"/>
          <w:iCs w:val="1"/>
          <w:sz w:val="22"/>
          <w:szCs w:val="22"/>
          <w:lang w:eastAsia="en-GB"/>
        </w:rPr>
        <w:t xml:space="preserve">The </w:t>
      </w:r>
      <w:r w:rsidRPr="1EF47861" w:rsidR="4EFF1BD6">
        <w:rPr>
          <w:rFonts w:ascii="Calibri" w:hAnsi="Calibri" w:eastAsia="Calibri" w:cs="Calibri"/>
          <w:i w:val="1"/>
          <w:iCs w:val="1"/>
          <w:sz w:val="22"/>
          <w:szCs w:val="22"/>
          <w:lang w:eastAsia="en-GB"/>
        </w:rPr>
        <w:t xml:space="preserve">Commissioning </w:t>
      </w:r>
      <w:r w:rsidRPr="1EF47861" w:rsidR="2B2F852B">
        <w:rPr>
          <w:rFonts w:ascii="Calibri" w:hAnsi="Calibri" w:eastAsia="Calibri" w:cs="Calibri"/>
          <w:i w:val="1"/>
          <w:iCs w:val="1"/>
          <w:sz w:val="22"/>
          <w:szCs w:val="22"/>
          <w:lang w:eastAsia="en-GB"/>
        </w:rPr>
        <w:t xml:space="preserve">Teams across North Wales agree that a collaborative approach to monitoring service delivery is achievable and </w:t>
      </w:r>
      <w:r w:rsidRPr="1EF47861" w:rsidR="2B2F852B">
        <w:rPr>
          <w:rFonts w:ascii="Calibri" w:hAnsi="Calibri" w:eastAsia="Calibri" w:cs="Calibri"/>
          <w:i w:val="1"/>
          <w:iCs w:val="1"/>
          <w:sz w:val="22"/>
          <w:szCs w:val="22"/>
          <w:lang w:eastAsia="en-GB"/>
        </w:rPr>
        <w:t>appropriate</w:t>
      </w:r>
      <w:r w:rsidRPr="1EF47861" w:rsidR="2B2F852B">
        <w:rPr>
          <w:rFonts w:ascii="Calibri" w:hAnsi="Calibri" w:eastAsia="Calibri" w:cs="Calibri"/>
          <w:i w:val="1"/>
          <w:iCs w:val="1"/>
          <w:sz w:val="22"/>
          <w:szCs w:val="22"/>
          <w:lang w:eastAsia="en-GB"/>
        </w:rPr>
        <w:t xml:space="preserve">. Within the region we will agree to adopt the following clause and for each local authority to amend contracts as of April 2014 </w:t>
      </w:r>
    </w:p>
    <w:p w:rsidRPr="006B49FE" w:rsidR="00436619" w:rsidP="1EF47861" w:rsidRDefault="00436619" w14:paraId="21CE30D7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</w:p>
    <w:p w:rsidRPr="006B49FE" w:rsidR="00436619" w:rsidP="1EF47861" w:rsidRDefault="00436619" w14:paraId="7E34702F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Claw back Statement</w:t>
      </w:r>
    </w:p>
    <w:p w:rsidRPr="006B49FE" w:rsidR="00436619" w:rsidP="1EF47861" w:rsidRDefault="00436619" w14:paraId="3CC0B13D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All funding / grant under the terms of this contract will be monitored at regular performance reviews.</w:t>
      </w:r>
    </w:p>
    <w:p w:rsidRPr="006B49FE" w:rsidR="00436619" w:rsidP="1EF47861" w:rsidRDefault="00436619" w14:paraId="475C35DF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The local authority will seek to recover any overpaid funding / grant from providers for the following reasons, unless reasonable justification is given by the Provider and agreed by the Local Authority</w:t>
      </w:r>
    </w:p>
    <w:p w:rsidRPr="006B49FE" w:rsidR="00436619" w:rsidP="1EF47861" w:rsidRDefault="00436619" w14:paraId="378B7524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1. Voids over 10% - Number of units of support not delivered</w:t>
      </w:r>
    </w:p>
    <w:p w:rsidRPr="006B49FE" w:rsidR="00436619" w:rsidP="1EF47861" w:rsidRDefault="00436619" w14:paraId="7C19CAB4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2. Staff Hours not delivered</w:t>
      </w:r>
    </w:p>
    <w:p w:rsidRPr="006B49FE" w:rsidR="00436619" w:rsidP="1EF47861" w:rsidRDefault="00436619" w14:paraId="0482596D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</w:p>
    <w:p w:rsidRPr="006B49FE" w:rsidR="00436619" w:rsidP="1EF47861" w:rsidRDefault="00436619" w14:paraId="17AD4BCB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  <w:t>Notes</w:t>
      </w:r>
    </w:p>
    <w:p w:rsidRPr="006B49FE" w:rsidR="00436619" w:rsidP="1EF47861" w:rsidRDefault="00436619" w14:paraId="6E417021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– claw back will only apply to one of the above – whichever is the highest</w:t>
      </w:r>
    </w:p>
    <w:p w:rsidRPr="006B49FE" w:rsidR="00436619" w:rsidP="1EF47861" w:rsidRDefault="00436619" w14:paraId="5F778378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– see ‘Formula for claw back statement’ for how the calculations are done</w:t>
      </w:r>
    </w:p>
    <w:p w:rsidRPr="006B49FE" w:rsidR="00436619" w:rsidP="1EF47861" w:rsidRDefault="00436619" w14:paraId="06FB7893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Where a potential clawback has been identified this will be calculated at the end of each quarter following receipt of the performance monitoring returns; any clawback will not be applied until the end of Quarter 4 to allow for improved performance.</w:t>
      </w:r>
    </w:p>
    <w:p w:rsidRPr="006B49FE" w:rsidR="00436619" w:rsidP="1EF47861" w:rsidRDefault="00436619" w14:paraId="784D5B0B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Recovery will be from future payments or by invoice if the contract has expired and no future payments are due.</w:t>
      </w:r>
    </w:p>
    <w:p w:rsidRPr="006B49FE" w:rsidR="00436619" w:rsidP="1EF47861" w:rsidRDefault="00436619" w14:paraId="4AAAA550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</w:p>
    <w:p w:rsidRPr="006B49FE" w:rsidR="00436619" w:rsidP="1EF47861" w:rsidRDefault="00436619" w14:paraId="0F94D2B2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  <w:t>Formulae for claw back statement</w:t>
      </w:r>
    </w:p>
    <w:p w:rsidRPr="006B49FE" w:rsidR="00436619" w:rsidP="1EF47861" w:rsidRDefault="00436619" w14:paraId="5B63A7F7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</w:p>
    <w:p w:rsidRPr="006B49FE" w:rsidR="00436619" w:rsidP="1EF47861" w:rsidRDefault="00436619" w14:paraId="192F9C81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1. Compensation for undelivered service</w:t>
      </w:r>
    </w:p>
    <w:p w:rsidRPr="006B49FE" w:rsidR="00436619" w:rsidP="1EF47861" w:rsidRDefault="00436619" w14:paraId="5293B84F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  <w:t>Staff hours not delivered (Inadequate service delivery)</w:t>
      </w:r>
    </w:p>
    <w:p w:rsidRPr="006B49FE" w:rsidR="00436619" w:rsidP="1EF47861" w:rsidRDefault="00436619" w14:paraId="0812986D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 xml:space="preserve">Where there has been a gap in service delivery (i.e. the number of support staff hours specified in the contract has not been delivered in full). </w:t>
      </w:r>
    </w:p>
    <w:p w:rsidRPr="006B49FE" w:rsidR="00436619" w:rsidP="1EF47861" w:rsidRDefault="00436619" w14:paraId="4C6E4C63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Contract hours not delivered x 100 = percentage reduction of the full contract cost</w:t>
      </w:r>
    </w:p>
    <w:p w:rsidRPr="006B49FE" w:rsidR="00436619" w:rsidP="1EF47861" w:rsidRDefault="00436619" w14:paraId="3E75540C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Contracted hours</w:t>
      </w:r>
    </w:p>
    <w:p w:rsidRPr="006B49FE" w:rsidR="00436619" w:rsidP="1EF47861" w:rsidRDefault="00436619" w14:paraId="36262148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Note</w:t>
      </w:r>
    </w:p>
    <w:p w:rsidRPr="006B49FE" w:rsidR="00436619" w:rsidP="1EF47861" w:rsidRDefault="00436619" w14:paraId="6FD7A796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Staff hours not delivered – there is an expectation that all the hours will be delivered in accordance with the contract requirements. Staff hours can include the following - training, travelling time, administration, staff / team meetings, management and supervision meetings, support sessions</w:t>
      </w:r>
    </w:p>
    <w:p w:rsidRPr="006B49FE" w:rsidR="00436619" w:rsidP="1EF47861" w:rsidRDefault="00436619" w14:paraId="3F451CEE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lang w:eastAsia="en-GB"/>
        </w:rPr>
      </w:pPr>
    </w:p>
    <w:p w:rsidRPr="006B49FE" w:rsidR="00436619" w:rsidP="1EF47861" w:rsidRDefault="00436619" w14:paraId="59739E9E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</w:pPr>
      <w:r w:rsidRPr="1EF47861" w:rsidR="50FBBCE7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2. Voids (Inadequate client numbers)</w:t>
      </w:r>
    </w:p>
    <w:p w:rsidRPr="006B49FE" w:rsidR="00436619" w:rsidP="1EF47861" w:rsidRDefault="00436619" w14:paraId="4398EA2A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Number of client weeks / units not delivered x 100 = percentage reduction of the full contract cost</w:t>
      </w:r>
    </w:p>
    <w:p w:rsidRPr="006B49FE" w:rsidR="00436619" w:rsidP="1EF47861" w:rsidRDefault="00436619" w14:paraId="5C5C3422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Contracted client weeks / units</w:t>
      </w:r>
    </w:p>
    <w:p w:rsidRPr="006B49FE" w:rsidR="00436619" w:rsidP="1EF47861" w:rsidRDefault="00436619" w14:paraId="5848E540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90% capacity attracts no penalty</w:t>
      </w:r>
    </w:p>
    <w:p w:rsidRPr="006B49FE" w:rsidR="00436619" w:rsidP="1EF47861" w:rsidRDefault="00436619" w14:paraId="7F8FAD79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80% capacity would attract a deduction of 10% of the full contract cost</w:t>
      </w:r>
    </w:p>
    <w:p w:rsidRPr="006B49FE" w:rsidR="00436619" w:rsidP="1EF47861" w:rsidRDefault="00436619" w14:paraId="45FF0A5F" w14:textId="77777777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lang w:eastAsia="en-GB"/>
        </w:rPr>
      </w:pPr>
      <w:r w:rsidRPr="1EF47861" w:rsidR="50FBBCE7">
        <w:rPr>
          <w:rFonts w:ascii="Calibri" w:hAnsi="Calibri" w:eastAsia="Calibri" w:cs="Calibri"/>
          <w:sz w:val="22"/>
          <w:szCs w:val="22"/>
          <w:lang w:eastAsia="en-GB"/>
        </w:rPr>
        <w:t>70% capacity would attract a deduction of 20% of the full contract cost</w:t>
      </w:r>
    </w:p>
    <w:p w:rsidR="00E8273D" w:rsidP="1EF47861" w:rsidRDefault="00E8273D" w14:paraId="23C2818E" w14:textId="77777777">
      <w:pPr>
        <w:rPr>
          <w:rFonts w:ascii="Calibri" w:hAnsi="Calibri" w:eastAsia="Calibri" w:cs="Calibri"/>
        </w:rPr>
      </w:pPr>
    </w:p>
    <w:sectPr w:rsidR="00E8273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19"/>
    <w:rsid w:val="000833BB"/>
    <w:rsid w:val="001DABEE"/>
    <w:rsid w:val="00436619"/>
    <w:rsid w:val="00E221B7"/>
    <w:rsid w:val="00E8273D"/>
    <w:rsid w:val="0EE5B447"/>
    <w:rsid w:val="0FCCB27B"/>
    <w:rsid w:val="1EF47861"/>
    <w:rsid w:val="2B2F852B"/>
    <w:rsid w:val="2E1BDB63"/>
    <w:rsid w:val="339DE2B9"/>
    <w:rsid w:val="3DF5E328"/>
    <w:rsid w:val="41C8AF75"/>
    <w:rsid w:val="4EFF1BD6"/>
    <w:rsid w:val="50FBBCE7"/>
    <w:rsid w:val="5256FE11"/>
    <w:rsid w:val="59186A62"/>
    <w:rsid w:val="7A8AF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F813"/>
  <w15:chartTrackingRefBased/>
  <w15:docId w15:val="{F907B994-7C52-4B35-9109-BDD69880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6619"/>
    <w:pPr>
      <w:spacing w:after="0" w:line="240" w:lineRule="auto"/>
    </w:pPr>
    <w:rPr>
      <w:rFonts w:ascii="Arial" w:hAnsi="Arial" w:eastAsia="Times New Roman" w:cs="Arial"/>
      <w:lang w:val="en-GB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3D226-BCB8-4674-B177-349D3A1FFA8A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c7bd7ee-fd3b-42cd-8713-cf666b085d07"/>
    <ds:schemaRef ds:uri="http://schemas.openxmlformats.org/package/2006/metadata/core-properties"/>
    <ds:schemaRef ds:uri="http://www.w3.org/XML/1998/namespace"/>
    <ds:schemaRef ds:uri="http://purl.org/dc/terms/"/>
    <ds:schemaRef ds:uri="9f689548-8c55-4930-9da1-991333f12bb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AD046A-8149-43DD-99ED-9F976A754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E7033-7829-46BF-B47E-9756B7EC3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9548-8c55-4930-9da1-991333f12bbf"/>
    <ds:schemaRef ds:uri="1c7bd7ee-fd3b-42cd-8713-cf666b08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Gwyn Foulkes Roberts (TaE)</dc:creator>
  <keywords/>
  <dc:description/>
  <lastModifiedBy>Jennifer Johnson (TaE)</lastModifiedBy>
  <revision>6</revision>
  <dcterms:created xsi:type="dcterms:W3CDTF">2026-06-19T09:15:00.0000000Z</dcterms:created>
  <dcterms:modified xsi:type="dcterms:W3CDTF">2026-06-30T16:45:44.0451100Z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