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5602" w:rsidR="003D7D6E" w:rsidP="60FE37A8" w:rsidRDefault="003D7D6E" w14:paraId="5CD6CCAB" w14:textId="77777777">
      <w:pPr>
        <w:spacing w:before="100" w:beforeAutospacing="on" w:after="100" w:afterAutospacing="on" w:line="300" w:lineRule="atLeast"/>
        <w:outlineLvl w:val="1"/>
        <w:rPr>
          <w:rFonts w:ascii="Calibri" w:hAnsi="Calibri" w:eastAsia="Calibri" w:cs="Calibri"/>
          <w:b w:val="1"/>
          <w:bCs w:val="1"/>
          <w:kern w:val="0"/>
          <w:sz w:val="36"/>
          <w:szCs w:val="36"/>
          <w:u w:val="single"/>
          <w:lang w:val="cy-GB" w:eastAsia="cy-GB"/>
          <w14:ligatures w14:val="none"/>
        </w:rPr>
      </w:pPr>
      <w:r w:rsidRPr="60FE37A8" w:rsidR="1A5B5BDB">
        <w:rPr>
          <w:rFonts w:ascii="Calibri" w:hAnsi="Calibri" w:eastAsia="Calibri" w:cs="Calibri"/>
          <w:b w:val="1"/>
          <w:bCs w:val="1"/>
          <w:kern w:val="0"/>
          <w:sz w:val="36"/>
          <w:szCs w:val="36"/>
          <w:u w:val="single"/>
          <w:lang w:val="cy-GB" w:eastAsia="cy-GB"/>
          <w14:ligatures w14:val="none"/>
        </w:rPr>
        <w:t>Monitoring</w:t>
      </w:r>
      <w:r w:rsidRPr="60FE37A8" w:rsidR="1A5B5BDB">
        <w:rPr>
          <w:rFonts w:ascii="Calibri" w:hAnsi="Calibri" w:eastAsia="Calibri" w:cs="Calibri"/>
          <w:b w:val="1"/>
          <w:bCs w:val="1"/>
          <w:kern w:val="0"/>
          <w:sz w:val="36"/>
          <w:szCs w:val="36"/>
          <w:u w:val="single"/>
          <w:lang w:val="cy-GB" w:eastAsia="cy-GB"/>
          <w14:ligatures w14:val="none"/>
        </w:rPr>
        <w:t xml:space="preserve"> </w:t>
      </w:r>
      <w:r w:rsidRPr="60FE37A8" w:rsidR="1A5B5BDB">
        <w:rPr>
          <w:rFonts w:ascii="Calibri" w:hAnsi="Calibri" w:eastAsia="Calibri" w:cs="Calibri"/>
          <w:b w:val="1"/>
          <w:bCs w:val="1"/>
          <w:kern w:val="0"/>
          <w:sz w:val="36"/>
          <w:szCs w:val="36"/>
          <w:u w:val="single"/>
          <w:lang w:val="cy-GB" w:eastAsia="cy-GB"/>
          <w14:ligatures w14:val="none"/>
        </w:rPr>
        <w:t>and</w:t>
      </w:r>
      <w:r w:rsidRPr="60FE37A8" w:rsidR="1A5B5BDB">
        <w:rPr>
          <w:rFonts w:ascii="Calibri" w:hAnsi="Calibri" w:eastAsia="Calibri" w:cs="Calibri"/>
          <w:b w:val="1"/>
          <w:bCs w:val="1"/>
          <w:kern w:val="0"/>
          <w:sz w:val="36"/>
          <w:szCs w:val="36"/>
          <w:u w:val="single"/>
          <w:lang w:val="cy-GB" w:eastAsia="cy-GB"/>
          <w14:ligatures w14:val="none"/>
        </w:rPr>
        <w:t xml:space="preserve"> </w:t>
      </w:r>
      <w:r w:rsidRPr="60FE37A8" w:rsidR="1A5B5BDB">
        <w:rPr>
          <w:rFonts w:ascii="Calibri" w:hAnsi="Calibri" w:eastAsia="Calibri" w:cs="Calibri"/>
          <w:b w:val="1"/>
          <w:bCs w:val="1"/>
          <w:kern w:val="0"/>
          <w:sz w:val="36"/>
          <w:szCs w:val="36"/>
          <w:u w:val="single"/>
          <w:lang w:val="cy-GB" w:eastAsia="cy-GB"/>
          <w14:ligatures w14:val="none"/>
        </w:rPr>
        <w:t>Management</w:t>
      </w:r>
    </w:p>
    <w:p w:rsidRPr="00715602" w:rsidR="003D7D6E" w:rsidP="6037EB64" w:rsidRDefault="003D7D6E" w14:paraId="37769DFA" w14:textId="77777777">
      <w:p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Provider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will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be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responsible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for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ensuring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that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service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is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delivered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to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standards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set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out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in the Contract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and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the Service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Specification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.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Performance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will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be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monitored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and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assessed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by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Commissioner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through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following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arrangements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:</w:t>
      </w:r>
    </w:p>
    <w:p w:rsidRPr="00715602" w:rsidR="003D7D6E" w:rsidP="6037EB64" w:rsidRDefault="003D7D6E" w14:paraId="5C976233" w14:textId="77777777">
      <w:pPr>
        <w:spacing w:before="100" w:beforeAutospacing="on" w:after="100" w:afterAutospacing="on" w:line="300" w:lineRule="atLeast"/>
        <w:outlineLvl w:val="2"/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 xml:space="preserve">1.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Delivery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 xml:space="preserve"> of Service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Outcomes</w:t>
      </w:r>
    </w:p>
    <w:p w:rsidRPr="00715602" w:rsidR="003D7D6E" w:rsidP="6037EB64" w:rsidRDefault="003D7D6E" w14:paraId="369F2B53" w14:textId="77777777">
      <w:p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Provider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must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:</w:t>
      </w:r>
    </w:p>
    <w:p w:rsidRPr="00715602" w:rsidR="003D7D6E" w:rsidP="6037EB64" w:rsidRDefault="003D7D6E" w14:paraId="134DDF1B" w14:textId="77777777">
      <w:pPr>
        <w:numPr>
          <w:ilvl w:val="0"/>
          <w:numId w:val="1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Provide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evidence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of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achieving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expected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outcomes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as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outlined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in the Service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Specification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.</w:t>
      </w:r>
    </w:p>
    <w:p w:rsidRPr="00715602" w:rsidR="003D7D6E" w:rsidP="6037EB64" w:rsidRDefault="003D7D6E" w14:paraId="2D74BB05" w14:textId="77777777">
      <w:pPr>
        <w:numPr>
          <w:ilvl w:val="0"/>
          <w:numId w:val="1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Fully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comply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with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all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terms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of the Contract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and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operational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requirements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of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service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.</w:t>
      </w:r>
    </w:p>
    <w:p w:rsidRPr="00715602" w:rsidR="003D7D6E" w:rsidP="6037EB64" w:rsidRDefault="003D7D6E" w14:paraId="723768BC" w14:textId="77777777">
      <w:pPr>
        <w:numPr>
          <w:ilvl w:val="0"/>
          <w:numId w:val="1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Notify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Commissioner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immediately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of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any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risks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to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performance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and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implement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appropriate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recovery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plans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where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underperformance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occurs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.</w:t>
      </w:r>
    </w:p>
    <w:p w:rsidRPr="00715602" w:rsidR="003D7D6E" w:rsidP="6037EB64" w:rsidRDefault="003D7D6E" w14:paraId="52B9DDCC" w14:textId="77777777">
      <w:pPr>
        <w:spacing w:before="100" w:beforeAutospacing="on" w:after="100" w:afterAutospacing="on" w:line="300" w:lineRule="atLeast"/>
        <w:outlineLvl w:val="2"/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 xml:space="preserve">2.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Management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 xml:space="preserve"> of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Underperformance</w:t>
      </w:r>
    </w:p>
    <w:p w:rsidRPr="00715602" w:rsidR="003D7D6E" w:rsidP="6037EB64" w:rsidRDefault="003D7D6E" w14:paraId="3F7EAB5C" w14:textId="77777777">
      <w:pPr>
        <w:numPr>
          <w:ilvl w:val="0"/>
          <w:numId w:val="2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Where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a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performance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gap of more than 10%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against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agreed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targets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is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identified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,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Provider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will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be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required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to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submit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a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written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recovery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plan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within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an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agreed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timeframe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.</w:t>
      </w:r>
    </w:p>
    <w:p w:rsidRPr="00715602" w:rsidR="003D7D6E" w:rsidP="6037EB64" w:rsidRDefault="003D7D6E" w14:paraId="7980B080" w14:textId="77777777">
      <w:pPr>
        <w:numPr>
          <w:ilvl w:val="0"/>
          <w:numId w:val="2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Persistent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failure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to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deliver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,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including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failure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to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meet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agreed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staffing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hours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,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may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result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in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funding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clawback</w:t>
      </w:r>
    </w:p>
    <w:p w:rsidRPr="00715602" w:rsidR="003D7D6E" w:rsidP="6037EB64" w:rsidRDefault="003D7D6E" w14:paraId="590014A9" w14:textId="77777777">
      <w:pPr>
        <w:spacing w:before="100" w:beforeAutospacing="on" w:after="100" w:afterAutospacing="on" w:line="300" w:lineRule="atLeast"/>
        <w:outlineLvl w:val="2"/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 xml:space="preserve">3.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Monitoring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and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Reporting</w:t>
      </w:r>
    </w:p>
    <w:p w:rsidRPr="00715602" w:rsidR="003D7D6E" w:rsidP="6037EB64" w:rsidRDefault="003D7D6E" w14:paraId="73258277" w14:textId="77777777">
      <w:pPr>
        <w:numPr>
          <w:ilvl w:val="0"/>
          <w:numId w:val="3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Provider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must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complete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and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su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bmit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a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Quarterly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Monitoring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Form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in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accordance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with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Commissioner’s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requirements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and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prescribed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template</w:t>
      </w:r>
      <w:r w:rsidRPr="6037EB64" w:rsidR="3B0B591F">
        <w:rPr>
          <w:rFonts w:ascii="Calibri" w:hAnsi="Calibri" w:eastAsia="Calibri" w:cs="Calibri"/>
          <w:sz w:val="21"/>
          <w:szCs w:val="21"/>
          <w:lang w:val="cy-GB" w:eastAsia="cy-GB"/>
        </w:rPr>
        <w:t>.</w:t>
      </w:r>
    </w:p>
    <w:p w:rsidRPr="00715602" w:rsidR="003D7D6E" w:rsidP="6037EB64" w:rsidRDefault="003D7D6E" w14:paraId="010AFEBA" w14:textId="77777777">
      <w:pPr>
        <w:numPr>
          <w:ilvl w:val="0"/>
          <w:numId w:val="3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Provider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must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ensure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that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data is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accurate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,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timely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,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and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auditable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upon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request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.</w:t>
      </w:r>
    </w:p>
    <w:p w:rsidRPr="00715602" w:rsidR="003D7D6E" w:rsidP="6037EB64" w:rsidRDefault="003D7D6E" w14:paraId="1DDAE3D7" w14:textId="77777777">
      <w:pPr>
        <w:spacing w:before="100" w:beforeAutospacing="on" w:after="100" w:afterAutospacing="on" w:line="300" w:lineRule="atLeast"/>
        <w:outlineLvl w:val="2"/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 xml:space="preserve">4.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Key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Performance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Indicators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 xml:space="preserve"> (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KPIs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 xml:space="preserve">) –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Weekly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Reporting</w:t>
      </w:r>
    </w:p>
    <w:p w:rsidRPr="00715602" w:rsidR="003D7D6E" w:rsidP="6037EB64" w:rsidRDefault="003D7D6E" w14:paraId="71636068" w14:textId="77777777">
      <w:p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Provider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will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collect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, monitor,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and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report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on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following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indicators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:</w:t>
      </w:r>
    </w:p>
    <w:p w:rsidRPr="00715602" w:rsidR="003D7D6E" w:rsidP="6037EB64" w:rsidRDefault="003D7D6E" w14:paraId="0C766F0E" w14:textId="77777777">
      <w:pPr>
        <w:numPr>
          <w:ilvl w:val="0"/>
          <w:numId w:val="4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>Geographical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>Equity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 xml:space="preserve"> of Access:</w:t>
      </w:r>
      <w:r>
        <w:br/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percentage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of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young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people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accessing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service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from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rural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areas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, in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order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to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demonstrate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equitable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provision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across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rural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and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urban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areas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.</w:t>
      </w:r>
    </w:p>
    <w:p w:rsidRPr="00715602" w:rsidR="003D7D6E" w:rsidP="6037EB64" w:rsidRDefault="003D7D6E" w14:paraId="368F324B" w14:textId="77777777">
      <w:pPr>
        <w:numPr>
          <w:ilvl w:val="0"/>
          <w:numId w:val="4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 xml:space="preserve">Service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>Usage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>Patterns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>:</w:t>
      </w:r>
      <w:r>
        <w:br/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number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of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new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service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users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compared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to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returning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users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, to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assess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engagement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and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reach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.</w:t>
      </w:r>
    </w:p>
    <w:p w:rsidRPr="00715602" w:rsidR="003D7D6E" w:rsidP="6037EB64" w:rsidRDefault="003D7D6E" w14:paraId="2E8948A7" w14:textId="77777777">
      <w:pPr>
        <w:numPr>
          <w:ilvl w:val="0"/>
          <w:numId w:val="4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>Referrals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>and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 xml:space="preserve"> Service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>Integration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>:</w:t>
      </w:r>
      <w:r>
        <w:br/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number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of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young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people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referred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to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other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services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,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including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details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of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type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and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nature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of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those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services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.</w:t>
      </w:r>
    </w:p>
    <w:p w:rsidR="003D7D6E" w:rsidP="6037EB64" w:rsidRDefault="003D7D6E" w14:paraId="63B50D9A" w14:textId="77777777">
      <w:pPr>
        <w:numPr>
          <w:ilvl w:val="0"/>
          <w:numId w:val="4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>Homelessness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>Prevention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1"/>
          <w:szCs w:val="21"/>
          <w:lang w:val="cy-GB" w:eastAsia="cy-GB"/>
          <w14:ligatures w14:val="none"/>
        </w:rPr>
        <w:t>:</w:t>
      </w:r>
      <w:r>
        <w:br/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percentage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of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cases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where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intervention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by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service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has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successfully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prevented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homelessness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.</w:t>
      </w:r>
    </w:p>
    <w:p w:rsidRPr="00715602" w:rsidR="003D7D6E" w:rsidP="6037EB64" w:rsidRDefault="003D7D6E" w14:paraId="33D7AC1B" w14:textId="77777777">
      <w:p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Provider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will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submit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this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information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via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weekly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return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form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and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provide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it to the SPOA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Team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.</w:t>
      </w:r>
    </w:p>
    <w:p w:rsidRPr="00715602" w:rsidR="003D7D6E" w:rsidP="6037EB64" w:rsidRDefault="003D7D6E" w14:paraId="73F25582" w14:textId="77777777">
      <w:pPr>
        <w:spacing w:before="100" w:beforeAutospacing="on" w:after="100" w:afterAutospacing="on" w:line="300" w:lineRule="atLeast"/>
        <w:outlineLvl w:val="2"/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 xml:space="preserve">5. Contract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Review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and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b w:val="1"/>
          <w:bCs w:val="1"/>
          <w:kern w:val="0"/>
          <w:sz w:val="27"/>
          <w:szCs w:val="27"/>
          <w:lang w:val="cy-GB" w:eastAsia="cy-GB"/>
          <w14:ligatures w14:val="none"/>
        </w:rPr>
        <w:t>Gov</w:t>
      </w:r>
      <w:r w:rsidRPr="6037EB64" w:rsidR="3B0B591F">
        <w:rPr>
          <w:rFonts w:ascii="Calibri" w:hAnsi="Calibri" w:eastAsia="Calibri" w:cs="Calibri"/>
          <w:b w:val="1"/>
          <w:bCs w:val="1"/>
          <w:sz w:val="27"/>
          <w:szCs w:val="27"/>
          <w:lang w:val="cy-GB" w:eastAsia="cy-GB"/>
        </w:rPr>
        <w:t>ernance</w:t>
      </w:r>
    </w:p>
    <w:p w:rsidRPr="00715602" w:rsidR="003D7D6E" w:rsidP="6037EB64" w:rsidRDefault="003D7D6E" w14:paraId="32C743EE" w14:textId="77777777">
      <w:pPr>
        <w:numPr>
          <w:ilvl w:val="0"/>
          <w:numId w:val="5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Performance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monitoring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meetings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will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be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held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regularly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between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Provider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and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Commissioner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.</w:t>
      </w:r>
    </w:p>
    <w:p w:rsidRPr="00715602" w:rsidR="003D7D6E" w:rsidP="6037EB64" w:rsidRDefault="003D7D6E" w14:paraId="2185C3ED" w14:textId="77777777">
      <w:pPr>
        <w:numPr>
          <w:ilvl w:val="0"/>
          <w:numId w:val="5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Commissioner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reserves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right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to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request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additional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information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or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undertake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audits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where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required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.</w:t>
      </w:r>
    </w:p>
    <w:p w:rsidRPr="00715602" w:rsidR="003D7D6E" w:rsidP="6037EB64" w:rsidRDefault="003D7D6E" w14:paraId="23BA12FF" w14:textId="77777777">
      <w:pPr>
        <w:numPr>
          <w:ilvl w:val="0"/>
          <w:numId w:val="5"/>
        </w:numPr>
        <w:spacing w:before="100" w:beforeAutospacing="on" w:after="100" w:afterAutospacing="on" w:line="300" w:lineRule="atLeast"/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</w:pP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Performance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will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inform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decisions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regarding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the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continuation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,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extension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, or 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>termination</w:t>
      </w:r>
      <w:r w:rsidRPr="6037EB64" w:rsidR="3B0B591F">
        <w:rPr>
          <w:rFonts w:ascii="Calibri" w:hAnsi="Calibri" w:eastAsia="Calibri" w:cs="Calibri"/>
          <w:kern w:val="0"/>
          <w:sz w:val="21"/>
          <w:szCs w:val="21"/>
          <w:lang w:val="cy-GB" w:eastAsia="cy-GB"/>
          <w14:ligatures w14:val="none"/>
        </w:rPr>
        <w:t xml:space="preserve"> of the contract.</w:t>
      </w:r>
    </w:p>
    <w:p w:rsidR="003D7D6E" w:rsidP="6037EB64" w:rsidRDefault="003D7D6E" w14:paraId="34778772" w14:textId="77777777">
      <w:pPr>
        <w:rPr>
          <w:rFonts w:ascii="Calibri" w:hAnsi="Calibri" w:eastAsia="Calibri" w:cs="Calibri"/>
        </w:rPr>
      </w:pPr>
    </w:p>
    <w:p w:rsidR="00CF58BB" w:rsidRDefault="00CF58BB" w14:paraId="1634960D" w14:textId="77777777"/>
    <w:sectPr w:rsidR="00CF58BB" w:rsidSect="003D7D6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32C0"/>
    <w:multiLevelType w:val="multilevel"/>
    <w:tmpl w:val="3CA4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BAD6070"/>
    <w:multiLevelType w:val="multilevel"/>
    <w:tmpl w:val="F8E8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C8B7E1B"/>
    <w:multiLevelType w:val="multilevel"/>
    <w:tmpl w:val="6EA8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11D43B4"/>
    <w:multiLevelType w:val="multilevel"/>
    <w:tmpl w:val="0F0E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A9B32C3"/>
    <w:multiLevelType w:val="multilevel"/>
    <w:tmpl w:val="664A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99025250">
    <w:abstractNumId w:val="3"/>
  </w:num>
  <w:num w:numId="2" w16cid:durableId="1558323932">
    <w:abstractNumId w:val="2"/>
  </w:num>
  <w:num w:numId="3" w16cid:durableId="1824194958">
    <w:abstractNumId w:val="0"/>
  </w:num>
  <w:num w:numId="4" w16cid:durableId="1895579382">
    <w:abstractNumId w:val="4"/>
  </w:num>
  <w:num w:numId="5" w16cid:durableId="108726876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95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BB"/>
    <w:rsid w:val="00212541"/>
    <w:rsid w:val="003D7D6E"/>
    <w:rsid w:val="00A52A3F"/>
    <w:rsid w:val="00CF58BB"/>
    <w:rsid w:val="00E27665"/>
    <w:rsid w:val="00ED6202"/>
    <w:rsid w:val="00F505A7"/>
    <w:rsid w:val="1A5B5BDB"/>
    <w:rsid w:val="3B0B591F"/>
    <w:rsid w:val="6037EB64"/>
    <w:rsid w:val="60F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25EB"/>
  <w15:chartTrackingRefBased/>
  <w15:docId w15:val="{F88E8011-5A6C-4BA9-922F-5290DB4413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7D6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8B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8B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8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8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F58BB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F58BB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F58BB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F58BB"/>
    <w:rPr>
      <w:rFonts w:eastAsiaTheme="majorEastAsia" w:cstheme="majorBidi"/>
      <w:i/>
      <w:iCs/>
      <w:color w:val="2F5496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F58BB"/>
    <w:rPr>
      <w:rFonts w:eastAsiaTheme="majorEastAsia" w:cstheme="majorBidi"/>
      <w:color w:val="2F549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F58BB"/>
    <w:rPr>
      <w:rFonts w:eastAsiaTheme="majorEastAsia" w:cstheme="majorBidi"/>
      <w:i/>
      <w:iCs/>
      <w:color w:val="595959" w:themeColor="text1" w:themeTint="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F58BB"/>
    <w:rPr>
      <w:rFonts w:eastAsiaTheme="majorEastAsia" w:cstheme="majorBidi"/>
      <w:color w:val="595959" w:themeColor="text1" w:themeTint="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F58BB"/>
    <w:rPr>
      <w:rFonts w:eastAsiaTheme="majorEastAsia" w:cstheme="majorBidi"/>
      <w:i/>
      <w:iCs/>
      <w:color w:val="272727" w:themeColor="text1" w:themeTint="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F58B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F58B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58BB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F58B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F58B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F58B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F58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8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8B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58BB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F5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8E70C14BC18F3C499C44147811395932" ma:contentTypeVersion="13" ma:contentTypeDescription="Creu dogfen newydd." ma:contentTypeScope="" ma:versionID="494927c04b370738cca828b5d4f07e20">
  <xsd:schema xmlns:xsd="http://www.w3.org/2001/XMLSchema" xmlns:xs="http://www.w3.org/2001/XMLSchema" xmlns:p="http://schemas.microsoft.com/office/2006/metadata/properties" xmlns:ns2="9f689548-8c55-4930-9da1-991333f12bbf" xmlns:ns3="1c7bd7ee-fd3b-42cd-8713-cf666b085d07" targetNamespace="http://schemas.microsoft.com/office/2006/metadata/properties" ma:root="true" ma:fieldsID="d7aaaaed84c297a267ff3351c433e6db" ns2:_="" ns3:_="">
    <xsd:import namespace="9f689548-8c55-4930-9da1-991333f12bbf"/>
    <xsd:import namespace="1c7bd7ee-fd3b-42cd-8713-cf666b085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89548-8c55-4930-9da1-991333f12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au Delwedd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bd7ee-fd3b-42cd-8713-cf666b085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a73070-f07e-4999-8040-fd4ffd6c915a}" ma:internalName="TaxCatchAll" ma:showField="CatchAllData" ma:web="1c7bd7ee-fd3b-42cd-8713-cf666b085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7bd7ee-fd3b-42cd-8713-cf666b085d07" xsi:nil="true"/>
    <lcf76f155ced4ddcb4097134ff3c332f xmlns="9f689548-8c55-4930-9da1-991333f12b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3DCC9E-59DF-40F1-BB0E-F6D918A39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89548-8c55-4930-9da1-991333f12bbf"/>
    <ds:schemaRef ds:uri="1c7bd7ee-fd3b-42cd-8713-cf666b085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92CEB-EFEE-457F-8050-3677BE3B6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01ACD-0D27-4631-8C1F-C5DF390DD03B}">
  <ds:schemaRefs>
    <ds:schemaRef ds:uri="http://purl.org/dc/elements/1.1/"/>
    <ds:schemaRef ds:uri="9f689548-8c55-4930-9da1-991333f12bbf"/>
    <ds:schemaRef ds:uri="http://www.w3.org/XML/1998/namespace"/>
    <ds:schemaRef ds:uri="http://purl.org/dc/terms/"/>
    <ds:schemaRef ds:uri="1c7bd7ee-fd3b-42cd-8713-cf666b085d07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Cyngor Gwynedd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Hefina Wynn Jones (TaE)</dc:creator>
  <keywords/>
  <dc:description/>
  <lastModifiedBy>Jennifer Johnson (TaE)</lastModifiedBy>
  <revision>4</revision>
  <dcterms:created xsi:type="dcterms:W3CDTF">2026-06-19T13:09:00.0000000Z</dcterms:created>
  <dcterms:modified xsi:type="dcterms:W3CDTF">2026-06-30T16:46:04.3035072Z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0x0101008E70C14BC18F3C499C44147811395932</vt:lpwstr>
  </property>
  <property fmtid="{D5CDD505-2E9C-101B-9397-08002B2CF9AE}" pid="3" name="MediaServiceImageTags">
    <vt:lpwstr/>
  </property>
</Properties>
</file>