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88800" w14:textId="553606C7" w:rsidR="000B6129" w:rsidRDefault="000B6129" w:rsidP="0D27CBFD">
      <w:pPr>
        <w:jc w:val="center"/>
        <w:rPr>
          <w:rFonts w:ascii="Arial" w:hAnsi="Arial" w:cs="Arial"/>
          <w:b/>
          <w:bCs/>
          <w:sz w:val="24"/>
          <w:szCs w:val="24"/>
          <w:u w:val="single"/>
          <w:lang w:val="en-US"/>
        </w:rPr>
      </w:pPr>
    </w:p>
    <w:p w14:paraId="64424F83" w14:textId="468E3F0F" w:rsidR="00924055" w:rsidRPr="000B6129" w:rsidRDefault="00924055" w:rsidP="00924055">
      <w:pPr>
        <w:jc w:val="center"/>
        <w:rPr>
          <w:rFonts w:ascii="Calibri" w:hAnsi="Calibri" w:cs="Calibri"/>
          <w:b/>
          <w:bCs/>
          <w:sz w:val="24"/>
          <w:szCs w:val="24"/>
          <w:u w:val="single"/>
          <w:lang w:val="en-US"/>
        </w:rPr>
      </w:pPr>
      <w:r>
        <w:rPr>
          <w:rFonts w:ascii="Calibri" w:hAnsi="Calibri" w:cs="Calibri"/>
          <w:noProof/>
          <w:sz w:val="24"/>
          <w:szCs w:val="24"/>
        </w:rPr>
        <w:drawing>
          <wp:inline distT="0" distB="0" distL="0" distR="0" wp14:anchorId="51623A3C" wp14:editId="406102D0">
            <wp:extent cx="3886200" cy="127635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888161" cy="1276994"/>
                    </a:xfrm>
                    <a:prstGeom prst="rect">
                      <a:avLst/>
                    </a:prstGeom>
                    <a:ln/>
                  </pic:spPr>
                </pic:pic>
              </a:graphicData>
            </a:graphic>
          </wp:inline>
        </w:drawing>
      </w:r>
    </w:p>
    <w:p w14:paraId="404A1D4F" w14:textId="77777777" w:rsidR="00924055" w:rsidRPr="000B6129" w:rsidRDefault="00924055" w:rsidP="00924055">
      <w:pPr>
        <w:jc w:val="center"/>
        <w:rPr>
          <w:rFonts w:ascii="Calibri" w:hAnsi="Calibri" w:cs="Calibri"/>
          <w:b/>
          <w:bCs/>
          <w:sz w:val="24"/>
          <w:szCs w:val="24"/>
          <w:u w:val="single"/>
          <w:lang w:val="en-US"/>
        </w:rPr>
      </w:pPr>
    </w:p>
    <w:p w14:paraId="716E9954" w14:textId="77777777" w:rsidR="00924055" w:rsidRPr="000B6129" w:rsidRDefault="00924055" w:rsidP="00924055">
      <w:pPr>
        <w:jc w:val="right"/>
        <w:rPr>
          <w:rFonts w:ascii="Calibri" w:hAnsi="Calibri" w:cs="Calibri"/>
          <w:b/>
          <w:bCs/>
          <w:sz w:val="24"/>
          <w:szCs w:val="24"/>
          <w:u w:val="single"/>
          <w:lang w:val="en-US"/>
        </w:rPr>
      </w:pPr>
    </w:p>
    <w:p w14:paraId="683C9BF9" w14:textId="765336EA" w:rsidR="00924055" w:rsidRPr="000B6129" w:rsidRDefault="00924055" w:rsidP="00924055">
      <w:pPr>
        <w:jc w:val="right"/>
        <w:rPr>
          <w:rFonts w:ascii="Calibri" w:hAnsi="Calibri" w:cs="Calibri"/>
          <w:b/>
          <w:bCs/>
          <w:sz w:val="28"/>
          <w:szCs w:val="28"/>
          <w:lang w:val="en-US"/>
        </w:rPr>
      </w:pPr>
      <w:r>
        <w:rPr>
          <w:rFonts w:ascii="Calibri" w:hAnsi="Calibri" w:cs="Calibri"/>
          <w:b/>
          <w:bCs/>
          <w:sz w:val="28"/>
          <w:szCs w:val="28"/>
          <w:lang w:val="en-US"/>
        </w:rPr>
        <w:t>Invitation to Tender for the provision of:</w:t>
      </w:r>
    </w:p>
    <w:p w14:paraId="6B9DA38B" w14:textId="1A4F8C4C" w:rsidR="00924055" w:rsidRPr="000B6129" w:rsidRDefault="003931A5" w:rsidP="00924055">
      <w:pPr>
        <w:jc w:val="right"/>
        <w:rPr>
          <w:rFonts w:ascii="Calibri" w:hAnsi="Calibri" w:cs="Calibri"/>
          <w:b/>
          <w:bCs/>
          <w:sz w:val="28"/>
          <w:szCs w:val="28"/>
          <w:lang w:val="en-US"/>
        </w:rPr>
      </w:pPr>
      <w:r>
        <w:rPr>
          <w:rFonts w:eastAsiaTheme="minorEastAsia"/>
          <w:b/>
          <w:bCs/>
          <w:sz w:val="36"/>
          <w:szCs w:val="36"/>
          <w:lang w:val="en-US"/>
        </w:rPr>
        <w:t xml:space="preserve">Engineering Consumables Framework </w:t>
      </w:r>
    </w:p>
    <w:p w14:paraId="1C131426" w14:textId="22F8A636" w:rsidR="00924055" w:rsidRPr="000B6129" w:rsidRDefault="00924055" w:rsidP="00924055">
      <w:pPr>
        <w:jc w:val="right"/>
        <w:rPr>
          <w:rFonts w:ascii="Calibri" w:hAnsi="Calibri" w:cs="Calibri"/>
          <w:b/>
          <w:bCs/>
          <w:sz w:val="28"/>
          <w:szCs w:val="28"/>
          <w:lang w:val="en-US"/>
        </w:rPr>
      </w:pPr>
    </w:p>
    <w:p w14:paraId="0FB31FF4" w14:textId="77777777" w:rsidR="000B6129" w:rsidRPr="000B6129" w:rsidRDefault="000B6129" w:rsidP="00924055">
      <w:pPr>
        <w:jc w:val="right"/>
        <w:rPr>
          <w:rFonts w:ascii="Calibri" w:hAnsi="Calibri" w:cs="Calibri"/>
          <w:b/>
          <w:bCs/>
          <w:sz w:val="28"/>
          <w:szCs w:val="28"/>
          <w:lang w:val="en-US"/>
        </w:rPr>
      </w:pPr>
    </w:p>
    <w:p w14:paraId="7FF40BCA" w14:textId="77777777" w:rsidR="000B6129" w:rsidRPr="000B6129" w:rsidRDefault="000B6129" w:rsidP="00924055">
      <w:pPr>
        <w:jc w:val="right"/>
        <w:rPr>
          <w:rFonts w:ascii="Calibri" w:hAnsi="Calibri" w:cs="Calibri"/>
          <w:b/>
          <w:bCs/>
          <w:sz w:val="28"/>
          <w:szCs w:val="28"/>
          <w:lang w:val="en-US"/>
        </w:rPr>
      </w:pPr>
    </w:p>
    <w:p w14:paraId="6BEB906B" w14:textId="21C450E9" w:rsidR="00924055" w:rsidRPr="000D4504" w:rsidRDefault="00924055" w:rsidP="000D4504">
      <w:pPr>
        <w:spacing w:line="278" w:lineRule="auto"/>
        <w:jc w:val="right"/>
        <w:rPr>
          <w:rFonts w:ascii="Calibri" w:hAnsi="Calibri" w:cs="Calibri"/>
          <w:b/>
          <w:bCs/>
          <w:kern w:val="2"/>
          <w:sz w:val="28"/>
          <w:szCs w:val="28"/>
          <w14:ligatures w14:val="standardContextual"/>
        </w:rPr>
      </w:pPr>
      <w:r w:rsidRPr="000D4504">
        <w:rPr>
          <w:rFonts w:ascii="Calibri" w:hAnsi="Calibri" w:cs="Calibri"/>
          <w:b/>
          <w:bCs/>
          <w:kern w:val="2"/>
          <w:sz w:val="28"/>
          <w:szCs w:val="28"/>
          <w14:ligatures w14:val="standardContextual"/>
        </w:rPr>
        <w:t>Contract Reference: PC2526/008</w:t>
      </w:r>
    </w:p>
    <w:p w14:paraId="4710496A" w14:textId="77777777" w:rsidR="00924055" w:rsidRPr="000D4504" w:rsidRDefault="00924055" w:rsidP="000D4504">
      <w:pPr>
        <w:spacing w:line="278" w:lineRule="auto"/>
        <w:jc w:val="right"/>
        <w:rPr>
          <w:rFonts w:ascii="Calibri" w:hAnsi="Calibri" w:cs="Calibri"/>
          <w:b/>
          <w:bCs/>
          <w:kern w:val="2"/>
          <w:sz w:val="28"/>
          <w:szCs w:val="28"/>
          <w14:ligatures w14:val="standardContextual"/>
        </w:rPr>
      </w:pPr>
      <w:r w:rsidRPr="000D4504">
        <w:rPr>
          <w:rFonts w:ascii="Calibri" w:hAnsi="Calibri" w:cs="Calibri"/>
          <w:b/>
          <w:bCs/>
          <w:kern w:val="2"/>
          <w:sz w:val="28"/>
          <w:szCs w:val="28"/>
          <w14:ligatures w14:val="standardContextual"/>
        </w:rPr>
        <w:t>Document 2: Tender Specification</w:t>
      </w:r>
    </w:p>
    <w:p w14:paraId="56DD3AC1" w14:textId="40DF0B9A" w:rsidR="00924055" w:rsidRPr="000D4504" w:rsidRDefault="00924055" w:rsidP="000D4504">
      <w:pPr>
        <w:spacing w:line="278" w:lineRule="auto"/>
        <w:jc w:val="right"/>
        <w:rPr>
          <w:rFonts w:ascii="Calibri" w:hAnsi="Calibri" w:cs="Calibri"/>
          <w:b/>
          <w:bCs/>
          <w:kern w:val="2"/>
          <w:sz w:val="28"/>
          <w:szCs w:val="28"/>
          <w14:ligatures w14:val="standardContextual"/>
        </w:rPr>
      </w:pPr>
      <w:r w:rsidRPr="000D4504">
        <w:rPr>
          <w:rFonts w:ascii="Calibri" w:hAnsi="Calibri" w:cs="Calibri"/>
          <w:b/>
          <w:bCs/>
          <w:kern w:val="2"/>
          <w:sz w:val="28"/>
          <w:szCs w:val="28"/>
          <w14:ligatures w14:val="standardContextual"/>
        </w:rPr>
        <w:t xml:space="preserve">Issue Date: </w:t>
      </w:r>
      <w:r w:rsidR="006E2422" w:rsidRPr="000D4504">
        <w:rPr>
          <w:rFonts w:ascii="Calibri" w:hAnsi="Calibri" w:cs="Calibri"/>
          <w:b/>
          <w:bCs/>
          <w:kern w:val="2"/>
          <w:sz w:val="28"/>
          <w:szCs w:val="28"/>
          <w14:ligatures w14:val="standardContextual"/>
        </w:rPr>
        <w:t>0</w:t>
      </w:r>
      <w:r w:rsidR="000D4504" w:rsidRPr="000D4504">
        <w:rPr>
          <w:rFonts w:ascii="Calibri" w:hAnsi="Calibri" w:cs="Calibri"/>
          <w:b/>
          <w:bCs/>
          <w:kern w:val="2"/>
          <w:sz w:val="28"/>
          <w:szCs w:val="28"/>
          <w14:ligatures w14:val="standardContextual"/>
        </w:rPr>
        <w:t>3</w:t>
      </w:r>
      <w:r w:rsidR="006E2422" w:rsidRPr="000D4504">
        <w:rPr>
          <w:rFonts w:ascii="Calibri" w:hAnsi="Calibri" w:cs="Calibri"/>
          <w:b/>
          <w:bCs/>
          <w:kern w:val="2"/>
          <w:sz w:val="28"/>
          <w:szCs w:val="28"/>
          <w14:ligatures w14:val="standardContextual"/>
        </w:rPr>
        <w:t>/07/</w:t>
      </w:r>
      <w:r w:rsidRPr="000D4504">
        <w:rPr>
          <w:rFonts w:ascii="Calibri" w:hAnsi="Calibri" w:cs="Calibri"/>
          <w:b/>
          <w:bCs/>
          <w:kern w:val="2"/>
          <w:sz w:val="28"/>
          <w:szCs w:val="28"/>
          <w14:ligatures w14:val="standardContextual"/>
        </w:rPr>
        <w:t>2026</w:t>
      </w:r>
    </w:p>
    <w:p w14:paraId="69056658" w14:textId="123D8145" w:rsidR="0D27CBFD" w:rsidRDefault="0D27CBFD" w:rsidP="0D27CBFD">
      <w:pPr>
        <w:jc w:val="right"/>
        <w:rPr>
          <w:rFonts w:ascii="Calibri" w:hAnsi="Calibri" w:cs="Calibri"/>
          <w:b/>
          <w:bCs/>
          <w:sz w:val="28"/>
          <w:szCs w:val="28"/>
        </w:rPr>
      </w:pPr>
    </w:p>
    <w:p w14:paraId="0B2FC965" w14:textId="7AFA313F" w:rsidR="0D27CBFD" w:rsidRDefault="0D27CBFD" w:rsidP="0D27CBFD">
      <w:pPr>
        <w:jc w:val="right"/>
        <w:rPr>
          <w:rFonts w:ascii="Calibri" w:hAnsi="Calibri" w:cs="Calibri"/>
          <w:b/>
          <w:bCs/>
          <w:sz w:val="28"/>
          <w:szCs w:val="28"/>
        </w:rPr>
      </w:pPr>
    </w:p>
    <w:p w14:paraId="600C6AA7" w14:textId="4BDC4A3E" w:rsidR="0D27CBFD" w:rsidRDefault="0D27CBFD" w:rsidP="0D27CBFD">
      <w:pPr>
        <w:jc w:val="right"/>
        <w:rPr>
          <w:rFonts w:ascii="Calibri" w:hAnsi="Calibri" w:cs="Calibri"/>
          <w:b/>
          <w:bCs/>
          <w:sz w:val="28"/>
          <w:szCs w:val="28"/>
        </w:rPr>
      </w:pPr>
    </w:p>
    <w:p w14:paraId="380D2622" w14:textId="1873B55F" w:rsidR="00924055" w:rsidRPr="000B6129" w:rsidRDefault="00924055" w:rsidP="00924055">
      <w:pPr>
        <w:jc w:val="right"/>
        <w:rPr>
          <w:rFonts w:ascii="Calibri" w:hAnsi="Calibri" w:cs="Calibri"/>
          <w:b/>
          <w:bCs/>
          <w:sz w:val="24"/>
          <w:szCs w:val="24"/>
          <w:lang w:val="en-US"/>
        </w:rPr>
      </w:pPr>
    </w:p>
    <w:p w14:paraId="11818542" w14:textId="30E20081" w:rsidR="00924055" w:rsidRPr="000B6129" w:rsidRDefault="00924055" w:rsidP="00924055">
      <w:pPr>
        <w:jc w:val="center"/>
        <w:rPr>
          <w:rFonts w:ascii="Calibri" w:hAnsi="Calibri" w:cs="Calibri"/>
          <w:b/>
          <w:bCs/>
          <w:sz w:val="24"/>
          <w:szCs w:val="24"/>
          <w:u w:val="single"/>
          <w:lang w:val="en-US"/>
        </w:rPr>
      </w:pPr>
    </w:p>
    <w:p w14:paraId="693A324C" w14:textId="78A87ADA" w:rsidR="00924055" w:rsidRPr="000B6129" w:rsidRDefault="00924055" w:rsidP="00924055">
      <w:pPr>
        <w:jc w:val="center"/>
        <w:rPr>
          <w:rFonts w:ascii="Calibri" w:hAnsi="Calibri" w:cs="Calibri"/>
          <w:b/>
          <w:bCs/>
          <w:sz w:val="24"/>
          <w:szCs w:val="24"/>
          <w:u w:val="single"/>
          <w:lang w:val="en-US"/>
        </w:rPr>
      </w:pPr>
    </w:p>
    <w:p w14:paraId="727DF6F3" w14:textId="77777777" w:rsidR="00924055" w:rsidRPr="000B6129" w:rsidRDefault="00924055" w:rsidP="00924055">
      <w:pPr>
        <w:jc w:val="center"/>
        <w:rPr>
          <w:rFonts w:ascii="Calibri" w:hAnsi="Calibri" w:cs="Calibri"/>
          <w:b/>
          <w:bCs/>
          <w:sz w:val="24"/>
          <w:szCs w:val="24"/>
          <w:u w:val="single"/>
          <w:lang w:val="en-US"/>
        </w:rPr>
      </w:pPr>
    </w:p>
    <w:p w14:paraId="68446A10" w14:textId="77777777" w:rsidR="00924055" w:rsidRPr="000B6129" w:rsidRDefault="00924055" w:rsidP="00695BBD">
      <w:pPr>
        <w:spacing w:line="360" w:lineRule="auto"/>
        <w:jc w:val="center"/>
        <w:rPr>
          <w:rFonts w:ascii="Calibri" w:hAnsi="Calibri" w:cs="Calibri"/>
          <w:b/>
          <w:bCs/>
          <w:sz w:val="24"/>
          <w:szCs w:val="24"/>
          <w:u w:val="single"/>
          <w:lang w:val="en-US"/>
        </w:rPr>
      </w:pPr>
    </w:p>
    <w:p w14:paraId="2B8C981D" w14:textId="77777777" w:rsidR="00924055" w:rsidRPr="000B6129" w:rsidRDefault="00924055" w:rsidP="00695BBD">
      <w:pPr>
        <w:spacing w:line="360" w:lineRule="auto"/>
        <w:jc w:val="center"/>
        <w:rPr>
          <w:rFonts w:ascii="Calibri" w:hAnsi="Calibri" w:cs="Calibri"/>
          <w:b/>
          <w:bCs/>
          <w:sz w:val="24"/>
          <w:szCs w:val="24"/>
          <w:u w:val="single"/>
          <w:lang w:val="en-US"/>
        </w:rPr>
      </w:pPr>
    </w:p>
    <w:p w14:paraId="61B849AF" w14:textId="77777777" w:rsidR="00924055" w:rsidRPr="000B6129" w:rsidRDefault="00924055" w:rsidP="00695BBD">
      <w:pPr>
        <w:spacing w:line="360" w:lineRule="auto"/>
        <w:jc w:val="center"/>
        <w:rPr>
          <w:rFonts w:ascii="Calibri" w:hAnsi="Calibri" w:cs="Calibri"/>
          <w:b/>
          <w:bCs/>
          <w:sz w:val="24"/>
          <w:szCs w:val="24"/>
          <w:u w:val="single"/>
          <w:lang w:val="en-US"/>
        </w:rPr>
      </w:pPr>
    </w:p>
    <w:p w14:paraId="08CFF178" w14:textId="77777777" w:rsidR="00924055" w:rsidRPr="000B6129" w:rsidRDefault="00924055" w:rsidP="00695BBD">
      <w:pPr>
        <w:spacing w:line="360" w:lineRule="auto"/>
        <w:jc w:val="center"/>
        <w:rPr>
          <w:rFonts w:ascii="Calibri" w:hAnsi="Calibri" w:cs="Calibri"/>
          <w:b/>
          <w:bCs/>
          <w:sz w:val="24"/>
          <w:szCs w:val="24"/>
          <w:u w:val="single"/>
          <w:lang w:val="en-US"/>
        </w:rPr>
      </w:pPr>
    </w:p>
    <w:sdt>
      <w:sdtPr>
        <w:rPr>
          <w:rFonts w:ascii="Calibri" w:eastAsiaTheme="minorEastAsia" w:hAnsi="Calibri" w:cs="Calibri"/>
          <w:b w:val="0"/>
          <w:bCs w:val="0"/>
          <w:sz w:val="22"/>
          <w:szCs w:val="22"/>
          <w:lang w:eastAsia="en-US"/>
        </w:rPr>
        <w:id w:val="-1658990870"/>
        <w:docPartObj>
          <w:docPartGallery w:val="Table of Contents"/>
          <w:docPartUnique/>
        </w:docPartObj>
      </w:sdtPr>
      <w:sdtContent>
        <w:p w14:paraId="39D39C31" w14:textId="7F8FE69E" w:rsidR="008401CA" w:rsidRPr="00E42AC7" w:rsidRDefault="008401CA" w:rsidP="008401CA">
          <w:pPr>
            <w:pStyle w:val="TOCHeading"/>
            <w:numPr>
              <w:ilvl w:val="0"/>
              <w:numId w:val="0"/>
            </w:numPr>
            <w:ind w:left="432" w:hanging="432"/>
            <w:rPr>
              <w:rFonts w:ascii="Calibri" w:hAnsi="Calibri" w:cs="Calibri"/>
              <w:sz w:val="20"/>
              <w:szCs w:val="20"/>
            </w:rPr>
          </w:pPr>
          <w:r w:rsidRPr="00E42AC7">
            <w:rPr>
              <w:rFonts w:ascii="Calibri" w:hAnsi="Calibri" w:cs="Calibri"/>
              <w:sz w:val="20"/>
              <w:szCs w:val="20"/>
            </w:rPr>
            <w:t>Contents</w:t>
          </w:r>
        </w:p>
        <w:p w14:paraId="5F6AE292" w14:textId="31F18C4A" w:rsidR="00E42AC7" w:rsidRPr="00E42AC7" w:rsidRDefault="008401CA">
          <w:pPr>
            <w:pStyle w:val="TOC1"/>
            <w:tabs>
              <w:tab w:val="left" w:pos="440"/>
              <w:tab w:val="right" w:leader="dot" w:pos="9016"/>
            </w:tabs>
            <w:rPr>
              <w:rFonts w:eastAsiaTheme="minorEastAsia"/>
              <w:noProof/>
              <w:kern w:val="2"/>
              <w:sz w:val="20"/>
              <w:szCs w:val="20"/>
              <w:lang w:eastAsia="en-GB"/>
              <w14:ligatures w14:val="standardContextual"/>
            </w:rPr>
          </w:pPr>
          <w:r w:rsidRPr="00E42AC7">
            <w:rPr>
              <w:rFonts w:ascii="Calibri" w:hAnsi="Calibri" w:cs="Calibri"/>
              <w:sz w:val="20"/>
              <w:szCs w:val="20"/>
            </w:rPr>
            <w:fldChar w:fldCharType="begin"/>
          </w:r>
          <w:r w:rsidRPr="00E42AC7">
            <w:rPr>
              <w:rFonts w:ascii="Calibri" w:hAnsi="Calibri" w:cs="Calibri"/>
              <w:sz w:val="20"/>
              <w:szCs w:val="20"/>
            </w:rPr>
            <w:instrText xml:space="preserve"> TOC \o "1-3" \h \z \u </w:instrText>
          </w:r>
          <w:r w:rsidRPr="00E42AC7">
            <w:rPr>
              <w:rFonts w:ascii="Calibri" w:hAnsi="Calibri" w:cs="Calibri"/>
              <w:sz w:val="20"/>
              <w:szCs w:val="20"/>
            </w:rPr>
            <w:fldChar w:fldCharType="separate"/>
          </w:r>
          <w:hyperlink w:anchor="_Toc233962839" w:history="1">
            <w:r w:rsidR="00E42AC7" w:rsidRPr="00E42AC7">
              <w:rPr>
                <w:rStyle w:val="Hyperlink"/>
                <w:noProof/>
                <w:sz w:val="20"/>
                <w:szCs w:val="20"/>
              </w:rPr>
              <w:t>1.</w:t>
            </w:r>
            <w:r w:rsidR="00E42AC7" w:rsidRPr="00E42AC7">
              <w:rPr>
                <w:rFonts w:eastAsiaTheme="minorEastAsia"/>
                <w:noProof/>
                <w:kern w:val="2"/>
                <w:sz w:val="20"/>
                <w:szCs w:val="20"/>
                <w:lang w:eastAsia="en-GB"/>
                <w14:ligatures w14:val="standardContextual"/>
              </w:rPr>
              <w:tab/>
            </w:r>
            <w:r w:rsidR="00E42AC7" w:rsidRPr="00E42AC7">
              <w:rPr>
                <w:rStyle w:val="Hyperlink"/>
                <w:rFonts w:ascii="Calibri" w:hAnsi="Calibri" w:cs="Calibri"/>
                <w:noProof/>
                <w:sz w:val="20"/>
                <w:szCs w:val="20"/>
              </w:rPr>
              <w:t>Proposed Procurement Timetable.</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_Toc233962839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3</w:t>
            </w:r>
            <w:r w:rsidR="00E42AC7" w:rsidRPr="00E42AC7">
              <w:rPr>
                <w:noProof/>
                <w:webHidden/>
                <w:sz w:val="20"/>
                <w:szCs w:val="20"/>
              </w:rPr>
              <w:fldChar w:fldCharType="end"/>
            </w:r>
          </w:hyperlink>
        </w:p>
        <w:p w14:paraId="2282DCE6" w14:textId="33E50A2D" w:rsidR="00E42AC7" w:rsidRPr="00E42AC7" w:rsidRDefault="00000000">
          <w:pPr>
            <w:pStyle w:val="TOC1"/>
            <w:tabs>
              <w:tab w:val="left" w:pos="440"/>
              <w:tab w:val="right" w:leader="dot" w:pos="9016"/>
            </w:tabs>
            <w:rPr>
              <w:rFonts w:eastAsiaTheme="minorEastAsia"/>
              <w:noProof/>
              <w:kern w:val="2"/>
              <w:sz w:val="20"/>
              <w:szCs w:val="20"/>
              <w:lang w:eastAsia="en-GB"/>
              <w14:ligatures w14:val="standardContextual"/>
            </w:rPr>
          </w:pPr>
          <w:hyperlink w:anchor="_Toc233962840" w:history="1">
            <w:r w:rsidR="00E42AC7" w:rsidRPr="00E42AC7">
              <w:rPr>
                <w:rStyle w:val="Hyperlink"/>
                <w:noProof/>
                <w:sz w:val="20"/>
                <w:szCs w:val="20"/>
              </w:rPr>
              <w:t>2.</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Background Information – Pembrokeshire College</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_Toc233962840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4</w:t>
            </w:r>
            <w:r w:rsidR="00E42AC7" w:rsidRPr="00E42AC7">
              <w:rPr>
                <w:noProof/>
                <w:webHidden/>
                <w:sz w:val="20"/>
                <w:szCs w:val="20"/>
              </w:rPr>
              <w:fldChar w:fldCharType="end"/>
            </w:r>
          </w:hyperlink>
        </w:p>
        <w:p w14:paraId="11611F93" w14:textId="1F2B66E6" w:rsidR="00E42AC7" w:rsidRPr="00E42AC7" w:rsidRDefault="00000000">
          <w:pPr>
            <w:pStyle w:val="TOC1"/>
            <w:tabs>
              <w:tab w:val="left" w:pos="440"/>
              <w:tab w:val="right" w:leader="dot" w:pos="9016"/>
            </w:tabs>
            <w:rPr>
              <w:rFonts w:eastAsiaTheme="minorEastAsia"/>
              <w:noProof/>
              <w:kern w:val="2"/>
              <w:sz w:val="20"/>
              <w:szCs w:val="20"/>
              <w:lang w:eastAsia="en-GB"/>
              <w14:ligatures w14:val="standardContextual"/>
            </w:rPr>
          </w:pPr>
          <w:hyperlink w:anchor="_Toc233962841" w:history="1">
            <w:r w:rsidR="00E42AC7" w:rsidRPr="00E42AC7">
              <w:rPr>
                <w:rStyle w:val="Hyperlink"/>
                <w:noProof/>
                <w:sz w:val="20"/>
                <w:szCs w:val="20"/>
              </w:rPr>
              <w:t>3.</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Introduction to Requirement</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_Toc233962841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5</w:t>
            </w:r>
            <w:r w:rsidR="00E42AC7" w:rsidRPr="00E42AC7">
              <w:rPr>
                <w:noProof/>
                <w:webHidden/>
                <w:sz w:val="20"/>
                <w:szCs w:val="20"/>
              </w:rPr>
              <w:fldChar w:fldCharType="end"/>
            </w:r>
          </w:hyperlink>
        </w:p>
        <w:p w14:paraId="560510D5" w14:textId="2CFC79B8" w:rsidR="00E42AC7" w:rsidRPr="00E42AC7" w:rsidRDefault="00000000">
          <w:pPr>
            <w:pStyle w:val="TOC1"/>
            <w:tabs>
              <w:tab w:val="left" w:pos="440"/>
              <w:tab w:val="right" w:leader="dot" w:pos="9016"/>
            </w:tabs>
            <w:rPr>
              <w:rFonts w:eastAsiaTheme="minorEastAsia"/>
              <w:noProof/>
              <w:kern w:val="2"/>
              <w:sz w:val="20"/>
              <w:szCs w:val="20"/>
              <w:lang w:eastAsia="en-GB"/>
              <w14:ligatures w14:val="standardContextual"/>
            </w:rPr>
          </w:pPr>
          <w:hyperlink w:anchor="_Toc233962842" w:history="1">
            <w:r w:rsidR="00E42AC7" w:rsidRPr="00E42AC7">
              <w:rPr>
                <w:rStyle w:val="Hyperlink"/>
                <w:noProof/>
                <w:sz w:val="20"/>
                <w:szCs w:val="20"/>
              </w:rPr>
              <w:t>4.</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Framework  Duration</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_Toc233962842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5</w:t>
            </w:r>
            <w:r w:rsidR="00E42AC7" w:rsidRPr="00E42AC7">
              <w:rPr>
                <w:noProof/>
                <w:webHidden/>
                <w:sz w:val="20"/>
                <w:szCs w:val="20"/>
              </w:rPr>
              <w:fldChar w:fldCharType="end"/>
            </w:r>
          </w:hyperlink>
        </w:p>
        <w:p w14:paraId="1B63B1B1" w14:textId="0823691E"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43" w:history="1">
            <w:r w:rsidR="00E42AC7" w:rsidRPr="00E42AC7">
              <w:rPr>
                <w:rStyle w:val="Hyperlink"/>
                <w:noProof/>
                <w:sz w:val="20"/>
                <w:szCs w:val="20"/>
              </w:rPr>
              <w:t>4.1</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Lot Application and Submission Rules.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_Toc233962843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5</w:t>
            </w:r>
            <w:r w:rsidR="00E42AC7" w:rsidRPr="00E42AC7">
              <w:rPr>
                <w:noProof/>
                <w:webHidden/>
                <w:sz w:val="20"/>
                <w:szCs w:val="20"/>
              </w:rPr>
              <w:fldChar w:fldCharType="end"/>
            </w:r>
          </w:hyperlink>
        </w:p>
        <w:p w14:paraId="5AA4A5DF" w14:textId="3D2D1531"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44" w:history="1">
            <w:r w:rsidR="00E42AC7" w:rsidRPr="00E42AC7">
              <w:rPr>
                <w:rStyle w:val="Hyperlink"/>
                <w:noProof/>
                <w:sz w:val="20"/>
                <w:szCs w:val="20"/>
              </w:rPr>
              <w:t>4.2</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Call-off Arrangements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_Toc233962844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5</w:t>
            </w:r>
            <w:r w:rsidR="00E42AC7" w:rsidRPr="00E42AC7">
              <w:rPr>
                <w:noProof/>
                <w:webHidden/>
                <w:sz w:val="20"/>
                <w:szCs w:val="20"/>
              </w:rPr>
              <w:fldChar w:fldCharType="end"/>
            </w:r>
          </w:hyperlink>
        </w:p>
        <w:p w14:paraId="797C3C4B" w14:textId="4D0B6446" w:rsidR="00E42AC7" w:rsidRPr="00E42AC7" w:rsidRDefault="00000000">
          <w:pPr>
            <w:pStyle w:val="TOC1"/>
            <w:tabs>
              <w:tab w:val="left" w:pos="440"/>
              <w:tab w:val="right" w:leader="dot" w:pos="9016"/>
            </w:tabs>
            <w:rPr>
              <w:rFonts w:eastAsiaTheme="minorEastAsia"/>
              <w:noProof/>
              <w:kern w:val="2"/>
              <w:sz w:val="20"/>
              <w:szCs w:val="20"/>
              <w:lang w:eastAsia="en-GB"/>
              <w14:ligatures w14:val="standardContextual"/>
            </w:rPr>
          </w:pPr>
          <w:hyperlink w:anchor="_Toc233962845" w:history="1">
            <w:r w:rsidR="00E42AC7" w:rsidRPr="00E42AC7">
              <w:rPr>
                <w:rStyle w:val="Hyperlink"/>
                <w:rFonts w:eastAsia="Times New Roman"/>
                <w:noProof/>
                <w:sz w:val="20"/>
                <w:szCs w:val="20"/>
                <w:lang w:eastAsia="en-GB"/>
              </w:rPr>
              <w:t>5.</w:t>
            </w:r>
            <w:r w:rsidR="00E42AC7" w:rsidRPr="00E42AC7">
              <w:rPr>
                <w:rFonts w:eastAsiaTheme="minorEastAsia"/>
                <w:noProof/>
                <w:kern w:val="2"/>
                <w:sz w:val="20"/>
                <w:szCs w:val="20"/>
                <w:lang w:eastAsia="en-GB"/>
                <w14:ligatures w14:val="standardContextual"/>
              </w:rPr>
              <w:tab/>
            </w:r>
            <w:r w:rsidR="00E42AC7" w:rsidRPr="00E42AC7">
              <w:rPr>
                <w:rStyle w:val="Hyperlink"/>
                <w:rFonts w:eastAsia="Times New Roman"/>
                <w:noProof/>
                <w:sz w:val="20"/>
                <w:szCs w:val="20"/>
                <w:lang w:eastAsia="en-GB"/>
              </w:rPr>
              <w:t>Lot Structure</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_Toc233962845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6</w:t>
            </w:r>
            <w:r w:rsidR="00E42AC7" w:rsidRPr="00E42AC7">
              <w:rPr>
                <w:noProof/>
                <w:webHidden/>
                <w:sz w:val="20"/>
                <w:szCs w:val="20"/>
              </w:rPr>
              <w:fldChar w:fldCharType="end"/>
            </w:r>
          </w:hyperlink>
        </w:p>
        <w:p w14:paraId="2E21F2BF" w14:textId="1DC14D34"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46" w:history="1">
            <w:r w:rsidR="00E42AC7" w:rsidRPr="00E42AC7">
              <w:rPr>
                <w:rStyle w:val="Hyperlink"/>
                <w:noProof/>
                <w:sz w:val="20"/>
                <w:szCs w:val="20"/>
              </w:rPr>
              <w:t>5.1</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Lot 1. Welding and Engineering Consumables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_Toc233962846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6</w:t>
            </w:r>
            <w:r w:rsidR="00E42AC7" w:rsidRPr="00E42AC7">
              <w:rPr>
                <w:noProof/>
                <w:webHidden/>
                <w:sz w:val="20"/>
                <w:szCs w:val="20"/>
              </w:rPr>
              <w:fldChar w:fldCharType="end"/>
            </w:r>
          </w:hyperlink>
        </w:p>
        <w:p w14:paraId="676A59A2" w14:textId="3501CD6A" w:rsidR="00E42AC7" w:rsidRPr="00E42AC7" w:rsidRDefault="00000000">
          <w:pPr>
            <w:pStyle w:val="TOC3"/>
            <w:tabs>
              <w:tab w:val="left" w:pos="1200"/>
              <w:tab w:val="right" w:leader="dot" w:pos="9016"/>
            </w:tabs>
            <w:rPr>
              <w:rFonts w:eastAsiaTheme="minorEastAsia"/>
              <w:noProof/>
              <w:kern w:val="2"/>
              <w:sz w:val="20"/>
              <w:szCs w:val="20"/>
              <w:lang w:eastAsia="en-GB"/>
              <w14:ligatures w14:val="standardContextual"/>
            </w:rPr>
          </w:pPr>
          <w:hyperlink w:anchor="_Toc233962847" w:history="1">
            <w:r w:rsidR="00E42AC7" w:rsidRPr="00E42AC7">
              <w:rPr>
                <w:rStyle w:val="Hyperlink"/>
                <w:noProof/>
                <w:sz w:val="20"/>
                <w:szCs w:val="20"/>
              </w:rPr>
              <w:t>5.1.1</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Welding Consumables (Technical Requirement)</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_Toc233962847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6</w:t>
            </w:r>
            <w:r w:rsidR="00E42AC7" w:rsidRPr="00E42AC7">
              <w:rPr>
                <w:noProof/>
                <w:webHidden/>
                <w:sz w:val="20"/>
                <w:szCs w:val="20"/>
              </w:rPr>
              <w:fldChar w:fldCharType="end"/>
            </w:r>
          </w:hyperlink>
        </w:p>
        <w:p w14:paraId="75FD8A4B" w14:textId="407D28AD"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48" w:history="1">
            <w:r w:rsidR="00E42AC7" w:rsidRPr="00E42AC7">
              <w:rPr>
                <w:rStyle w:val="Hyperlink"/>
                <w:noProof/>
                <w:sz w:val="20"/>
                <w:szCs w:val="20"/>
              </w:rPr>
              <w:t>5.2</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Lot 2. Hand Tools and Power Tool Accessories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_Toc233962848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6</w:t>
            </w:r>
            <w:r w:rsidR="00E42AC7" w:rsidRPr="00E42AC7">
              <w:rPr>
                <w:noProof/>
                <w:webHidden/>
                <w:sz w:val="20"/>
                <w:szCs w:val="20"/>
              </w:rPr>
              <w:fldChar w:fldCharType="end"/>
            </w:r>
          </w:hyperlink>
        </w:p>
        <w:p w14:paraId="1AAF5569" w14:textId="165F6EF1" w:rsidR="00E42AC7" w:rsidRPr="00E42AC7" w:rsidRDefault="00000000">
          <w:pPr>
            <w:pStyle w:val="TOC3"/>
            <w:tabs>
              <w:tab w:val="left" w:pos="1200"/>
              <w:tab w:val="right" w:leader="dot" w:pos="9016"/>
            </w:tabs>
            <w:rPr>
              <w:rFonts w:eastAsiaTheme="minorEastAsia"/>
              <w:noProof/>
              <w:kern w:val="2"/>
              <w:sz w:val="20"/>
              <w:szCs w:val="20"/>
              <w:lang w:eastAsia="en-GB"/>
              <w14:ligatures w14:val="standardContextual"/>
            </w:rPr>
          </w:pPr>
          <w:hyperlink w:anchor="_Toc233962849" w:history="1">
            <w:r w:rsidR="00E42AC7" w:rsidRPr="00E42AC7">
              <w:rPr>
                <w:rStyle w:val="Hyperlink"/>
                <w:noProof/>
                <w:sz w:val="20"/>
                <w:szCs w:val="20"/>
              </w:rPr>
              <w:t>5.2.1</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Hand Tools and Power Tool Accessories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_Toc233962849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6</w:t>
            </w:r>
            <w:r w:rsidR="00E42AC7" w:rsidRPr="00E42AC7">
              <w:rPr>
                <w:noProof/>
                <w:webHidden/>
                <w:sz w:val="20"/>
                <w:szCs w:val="20"/>
              </w:rPr>
              <w:fldChar w:fldCharType="end"/>
            </w:r>
          </w:hyperlink>
        </w:p>
        <w:p w14:paraId="536C61DA" w14:textId="50E2B0B4"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50" w:history="1">
            <w:r w:rsidR="00E42AC7" w:rsidRPr="00E42AC7">
              <w:rPr>
                <w:rStyle w:val="Hyperlink"/>
                <w:noProof/>
                <w:sz w:val="20"/>
                <w:szCs w:val="20"/>
              </w:rPr>
              <w:t>5.3</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Lot 3. Air Plumbing and Gas Equipment</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_Toc233962850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6</w:t>
            </w:r>
            <w:r w:rsidR="00E42AC7" w:rsidRPr="00E42AC7">
              <w:rPr>
                <w:noProof/>
                <w:webHidden/>
                <w:sz w:val="20"/>
                <w:szCs w:val="20"/>
              </w:rPr>
              <w:fldChar w:fldCharType="end"/>
            </w:r>
          </w:hyperlink>
        </w:p>
        <w:p w14:paraId="7FF2D7AF" w14:textId="757105CA"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51" w:history="1">
            <w:r w:rsidR="00E42AC7" w:rsidRPr="00E42AC7">
              <w:rPr>
                <w:rStyle w:val="Hyperlink"/>
                <w:noProof/>
                <w:sz w:val="20"/>
                <w:szCs w:val="20"/>
              </w:rPr>
              <w:t>5.4</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Lot 4. Workshop Sundries, Fasteners and General Consumables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_Toc233962851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6</w:t>
            </w:r>
            <w:r w:rsidR="00E42AC7" w:rsidRPr="00E42AC7">
              <w:rPr>
                <w:noProof/>
                <w:webHidden/>
                <w:sz w:val="20"/>
                <w:szCs w:val="20"/>
              </w:rPr>
              <w:fldChar w:fldCharType="end"/>
            </w:r>
          </w:hyperlink>
        </w:p>
        <w:p w14:paraId="22495F91" w14:textId="71D5CC4B"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52" w:history="1">
            <w:r w:rsidR="00E42AC7" w:rsidRPr="00E42AC7">
              <w:rPr>
                <w:rStyle w:val="Hyperlink"/>
                <w:rFonts w:eastAsia="Times New Roman"/>
                <w:noProof/>
                <w:sz w:val="20"/>
                <w:szCs w:val="20"/>
              </w:rPr>
              <w:t>5.5</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Lot 5. PPE and Safety Equipment</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_Toc233962852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6</w:t>
            </w:r>
            <w:r w:rsidR="00E42AC7" w:rsidRPr="00E42AC7">
              <w:rPr>
                <w:noProof/>
                <w:webHidden/>
                <w:sz w:val="20"/>
                <w:szCs w:val="20"/>
              </w:rPr>
              <w:fldChar w:fldCharType="end"/>
            </w:r>
          </w:hyperlink>
        </w:p>
        <w:p w14:paraId="73E4156A" w14:textId="660A2FA1" w:rsidR="00E42AC7" w:rsidRPr="00E42AC7" w:rsidRDefault="00000000">
          <w:pPr>
            <w:pStyle w:val="TOC3"/>
            <w:tabs>
              <w:tab w:val="left" w:pos="1200"/>
              <w:tab w:val="right" w:leader="dot" w:pos="9016"/>
            </w:tabs>
            <w:rPr>
              <w:rFonts w:eastAsiaTheme="minorEastAsia"/>
              <w:noProof/>
              <w:kern w:val="2"/>
              <w:sz w:val="20"/>
              <w:szCs w:val="20"/>
              <w:lang w:eastAsia="en-GB"/>
              <w14:ligatures w14:val="standardContextual"/>
            </w:rPr>
          </w:pPr>
          <w:hyperlink w:anchor="_Toc233962853" w:history="1">
            <w:r w:rsidR="00E42AC7" w:rsidRPr="00E42AC7">
              <w:rPr>
                <w:rStyle w:val="Hyperlink"/>
                <w:rFonts w:eastAsia="Times New Roman"/>
                <w:noProof/>
                <w:sz w:val="20"/>
                <w:szCs w:val="20"/>
              </w:rPr>
              <w:t>5.5.1</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Lot 5, Technical and Regulatory Requirements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_Toc233962853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6</w:t>
            </w:r>
            <w:r w:rsidR="00E42AC7" w:rsidRPr="00E42AC7">
              <w:rPr>
                <w:noProof/>
                <w:webHidden/>
                <w:sz w:val="20"/>
                <w:szCs w:val="20"/>
              </w:rPr>
              <w:fldChar w:fldCharType="end"/>
            </w:r>
          </w:hyperlink>
        </w:p>
        <w:p w14:paraId="10167840" w14:textId="2C9215C5" w:rsidR="00E42AC7" w:rsidRPr="00E42AC7" w:rsidRDefault="00000000">
          <w:pPr>
            <w:pStyle w:val="TOC1"/>
            <w:tabs>
              <w:tab w:val="left" w:pos="440"/>
              <w:tab w:val="right" w:leader="dot" w:pos="9016"/>
            </w:tabs>
            <w:rPr>
              <w:rFonts w:eastAsiaTheme="minorEastAsia"/>
              <w:noProof/>
              <w:kern w:val="2"/>
              <w:sz w:val="20"/>
              <w:szCs w:val="20"/>
              <w:lang w:eastAsia="en-GB"/>
              <w14:ligatures w14:val="standardContextual"/>
            </w:rPr>
          </w:pPr>
          <w:hyperlink w:anchor="_Toc233962854" w:history="1">
            <w:r w:rsidR="00E42AC7" w:rsidRPr="00E42AC7">
              <w:rPr>
                <w:rStyle w:val="Hyperlink"/>
                <w:rFonts w:eastAsia="Arial"/>
                <w:noProof/>
                <w:sz w:val="20"/>
                <w:szCs w:val="20"/>
              </w:rPr>
              <w:t>6.</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Quality and Technical Standards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_Toc233962854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8</w:t>
            </w:r>
            <w:r w:rsidR="00E42AC7" w:rsidRPr="00E42AC7">
              <w:rPr>
                <w:noProof/>
                <w:webHidden/>
                <w:sz w:val="20"/>
                <w:szCs w:val="20"/>
              </w:rPr>
              <w:fldChar w:fldCharType="end"/>
            </w:r>
          </w:hyperlink>
        </w:p>
        <w:p w14:paraId="490FE2BA" w14:textId="4C74073D"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55" w:history="1">
            <w:r w:rsidR="00E42AC7" w:rsidRPr="00E42AC7">
              <w:rPr>
                <w:rStyle w:val="Hyperlink"/>
                <w:rFonts w:eastAsia="Arial"/>
                <w:noProof/>
                <w:sz w:val="20"/>
                <w:szCs w:val="20"/>
              </w:rPr>
              <w:t>6.1</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General</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_Toc233962855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8</w:t>
            </w:r>
            <w:r w:rsidR="00E42AC7" w:rsidRPr="00E42AC7">
              <w:rPr>
                <w:noProof/>
                <w:webHidden/>
                <w:sz w:val="20"/>
                <w:szCs w:val="20"/>
              </w:rPr>
              <w:fldChar w:fldCharType="end"/>
            </w:r>
          </w:hyperlink>
        </w:p>
        <w:p w14:paraId="0179CB3F" w14:textId="4F46EBDB"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56" w:history="1">
            <w:r w:rsidR="00E42AC7" w:rsidRPr="00E42AC7">
              <w:rPr>
                <w:rStyle w:val="Hyperlink"/>
                <w:rFonts w:eastAsia="Arial"/>
                <w:noProof/>
                <w:sz w:val="20"/>
                <w:szCs w:val="20"/>
              </w:rPr>
              <w:t>6.2</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Welding consumables and equipment</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_Toc233962856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8</w:t>
            </w:r>
            <w:r w:rsidR="00E42AC7" w:rsidRPr="00E42AC7">
              <w:rPr>
                <w:noProof/>
                <w:webHidden/>
                <w:sz w:val="20"/>
                <w:szCs w:val="20"/>
              </w:rPr>
              <w:fldChar w:fldCharType="end"/>
            </w:r>
          </w:hyperlink>
        </w:p>
        <w:p w14:paraId="3876E2EA" w14:textId="761BB5FB" w:rsidR="00E42AC7" w:rsidRPr="00E42AC7" w:rsidRDefault="00000000">
          <w:pPr>
            <w:pStyle w:val="TOC1"/>
            <w:tabs>
              <w:tab w:val="left" w:pos="440"/>
              <w:tab w:val="right" w:leader="dot" w:pos="9016"/>
            </w:tabs>
            <w:rPr>
              <w:rFonts w:eastAsiaTheme="minorEastAsia"/>
              <w:noProof/>
              <w:kern w:val="2"/>
              <w:sz w:val="20"/>
              <w:szCs w:val="20"/>
              <w:lang w:eastAsia="en-GB"/>
              <w14:ligatures w14:val="standardContextual"/>
            </w:rPr>
          </w:pPr>
          <w:hyperlink w:anchor="_Toc233962857" w:history="1">
            <w:r w:rsidR="00E42AC7" w:rsidRPr="00E42AC7">
              <w:rPr>
                <w:rStyle w:val="Hyperlink"/>
                <w:rFonts w:eastAsia="Arial"/>
                <w:noProof/>
                <w:sz w:val="20"/>
                <w:szCs w:val="20"/>
              </w:rPr>
              <w:t>7.</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Returns, Warranty and Defective Goods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_Toc233962857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8</w:t>
            </w:r>
            <w:r w:rsidR="00E42AC7" w:rsidRPr="00E42AC7">
              <w:rPr>
                <w:noProof/>
                <w:webHidden/>
                <w:sz w:val="20"/>
                <w:szCs w:val="20"/>
              </w:rPr>
              <w:fldChar w:fldCharType="end"/>
            </w:r>
          </w:hyperlink>
        </w:p>
        <w:p w14:paraId="43EBF93C" w14:textId="2D1FC655" w:rsidR="00E42AC7" w:rsidRPr="00E42AC7" w:rsidRDefault="00000000">
          <w:pPr>
            <w:pStyle w:val="TOC1"/>
            <w:tabs>
              <w:tab w:val="left" w:pos="440"/>
              <w:tab w:val="right" w:leader="dot" w:pos="9016"/>
            </w:tabs>
            <w:rPr>
              <w:rFonts w:eastAsiaTheme="minorEastAsia"/>
              <w:noProof/>
              <w:kern w:val="2"/>
              <w:sz w:val="20"/>
              <w:szCs w:val="20"/>
              <w:lang w:eastAsia="en-GB"/>
              <w14:ligatures w14:val="standardContextual"/>
            </w:rPr>
          </w:pPr>
          <w:hyperlink w:anchor="_Toc233962858" w:history="1">
            <w:r w:rsidR="00E42AC7" w:rsidRPr="00E42AC7">
              <w:rPr>
                <w:rStyle w:val="Hyperlink"/>
                <w:rFonts w:eastAsia="Arial"/>
                <w:noProof/>
                <w:sz w:val="20"/>
                <w:szCs w:val="20"/>
              </w:rPr>
              <w:t>8.</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Volumes and Locations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_Toc233962858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8</w:t>
            </w:r>
            <w:r w:rsidR="00E42AC7" w:rsidRPr="00E42AC7">
              <w:rPr>
                <w:noProof/>
                <w:webHidden/>
                <w:sz w:val="20"/>
                <w:szCs w:val="20"/>
              </w:rPr>
              <w:fldChar w:fldCharType="end"/>
            </w:r>
          </w:hyperlink>
        </w:p>
        <w:p w14:paraId="4EC54A03" w14:textId="69845F3C"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59" w:history="1">
            <w:r w:rsidR="00E42AC7" w:rsidRPr="00E42AC7">
              <w:rPr>
                <w:rStyle w:val="Hyperlink"/>
                <w:rFonts w:eastAsia="Arial"/>
                <w:noProof/>
                <w:sz w:val="20"/>
                <w:szCs w:val="20"/>
              </w:rPr>
              <w:t>8.1</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Indicative volumes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_Toc233962859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8</w:t>
            </w:r>
            <w:r w:rsidR="00E42AC7" w:rsidRPr="00E42AC7">
              <w:rPr>
                <w:noProof/>
                <w:webHidden/>
                <w:sz w:val="20"/>
                <w:szCs w:val="20"/>
              </w:rPr>
              <w:fldChar w:fldCharType="end"/>
            </w:r>
          </w:hyperlink>
        </w:p>
        <w:p w14:paraId="01B53F6B" w14:textId="52F0EE5A"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60" w:history="1">
            <w:r w:rsidR="00E42AC7" w:rsidRPr="00E42AC7">
              <w:rPr>
                <w:rStyle w:val="Hyperlink"/>
                <w:rFonts w:eastAsia="Arial"/>
                <w:noProof/>
                <w:sz w:val="20"/>
                <w:szCs w:val="20"/>
              </w:rPr>
              <w:t>8.2</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Delivery location</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_Toc233962860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9</w:t>
            </w:r>
            <w:r w:rsidR="00E42AC7" w:rsidRPr="00E42AC7">
              <w:rPr>
                <w:noProof/>
                <w:webHidden/>
                <w:sz w:val="20"/>
                <w:szCs w:val="20"/>
              </w:rPr>
              <w:fldChar w:fldCharType="end"/>
            </w:r>
          </w:hyperlink>
        </w:p>
        <w:p w14:paraId="214E95AF" w14:textId="25DB36F8" w:rsidR="00E42AC7" w:rsidRPr="00E42AC7" w:rsidRDefault="00000000">
          <w:pPr>
            <w:pStyle w:val="TOC1"/>
            <w:tabs>
              <w:tab w:val="left" w:pos="440"/>
              <w:tab w:val="right" w:leader="dot" w:pos="9016"/>
            </w:tabs>
            <w:rPr>
              <w:rFonts w:eastAsiaTheme="minorEastAsia"/>
              <w:noProof/>
              <w:kern w:val="2"/>
              <w:sz w:val="20"/>
              <w:szCs w:val="20"/>
              <w:lang w:eastAsia="en-GB"/>
              <w14:ligatures w14:val="standardContextual"/>
            </w:rPr>
          </w:pPr>
          <w:hyperlink w:anchor="_Toc233962861" w:history="1">
            <w:r w:rsidR="00E42AC7" w:rsidRPr="00E42AC7">
              <w:rPr>
                <w:rStyle w:val="Hyperlink"/>
                <w:rFonts w:eastAsia="Arial"/>
                <w:noProof/>
                <w:sz w:val="20"/>
                <w:szCs w:val="20"/>
              </w:rPr>
              <w:t>9.</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Ordering</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_Toc233962861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9</w:t>
            </w:r>
            <w:r w:rsidR="00E42AC7" w:rsidRPr="00E42AC7">
              <w:rPr>
                <w:noProof/>
                <w:webHidden/>
                <w:sz w:val="20"/>
                <w:szCs w:val="20"/>
              </w:rPr>
              <w:fldChar w:fldCharType="end"/>
            </w:r>
          </w:hyperlink>
        </w:p>
        <w:p w14:paraId="5ED11BB0" w14:textId="25C53BE4"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62" w:history="1">
            <w:r w:rsidR="00E42AC7" w:rsidRPr="00E42AC7">
              <w:rPr>
                <w:rStyle w:val="Hyperlink"/>
                <w:rFonts w:eastAsia="Arial"/>
                <w:noProof/>
                <w:sz w:val="20"/>
                <w:szCs w:val="20"/>
              </w:rPr>
              <w:t>9.1</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Individuals Authorised to Place Orders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_Toc233962862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9</w:t>
            </w:r>
            <w:r w:rsidR="00E42AC7" w:rsidRPr="00E42AC7">
              <w:rPr>
                <w:noProof/>
                <w:webHidden/>
                <w:sz w:val="20"/>
                <w:szCs w:val="20"/>
              </w:rPr>
              <w:fldChar w:fldCharType="end"/>
            </w:r>
          </w:hyperlink>
        </w:p>
        <w:p w14:paraId="172019DD" w14:textId="2D794CF3"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63" w:history="1">
            <w:r w:rsidR="00E42AC7" w:rsidRPr="00E42AC7">
              <w:rPr>
                <w:rStyle w:val="Hyperlink"/>
                <w:rFonts w:eastAsia="Arial"/>
                <w:noProof/>
                <w:sz w:val="20"/>
                <w:szCs w:val="20"/>
              </w:rPr>
              <w:t>9.2</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Order routes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_Toc233962863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9</w:t>
            </w:r>
            <w:r w:rsidR="00E42AC7" w:rsidRPr="00E42AC7">
              <w:rPr>
                <w:noProof/>
                <w:webHidden/>
                <w:sz w:val="20"/>
                <w:szCs w:val="20"/>
              </w:rPr>
              <w:fldChar w:fldCharType="end"/>
            </w:r>
          </w:hyperlink>
        </w:p>
        <w:p w14:paraId="458CEE7A" w14:textId="3E5E1C84"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64" w:history="1">
            <w:r w:rsidR="00E42AC7" w:rsidRPr="00E42AC7">
              <w:rPr>
                <w:rStyle w:val="Hyperlink"/>
                <w:rFonts w:eastAsia="Arial"/>
                <w:noProof/>
                <w:sz w:val="20"/>
                <w:szCs w:val="20"/>
              </w:rPr>
              <w:t>9.3</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Order acknowledgement and confirmation</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_Toc233962864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9</w:t>
            </w:r>
            <w:r w:rsidR="00E42AC7" w:rsidRPr="00E42AC7">
              <w:rPr>
                <w:noProof/>
                <w:webHidden/>
                <w:sz w:val="20"/>
                <w:szCs w:val="20"/>
              </w:rPr>
              <w:fldChar w:fldCharType="end"/>
            </w:r>
          </w:hyperlink>
        </w:p>
        <w:p w14:paraId="4AA5AB31" w14:textId="7C49ADAC"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65" w:history="1">
            <w:r w:rsidR="00E42AC7" w:rsidRPr="00E42AC7">
              <w:rPr>
                <w:rStyle w:val="Hyperlink"/>
                <w:rFonts w:eastAsia="Arial"/>
                <w:noProof/>
                <w:sz w:val="20"/>
                <w:szCs w:val="20"/>
              </w:rPr>
              <w:t>10.</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Delivery</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_Toc233962865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10</w:t>
            </w:r>
            <w:r w:rsidR="00E42AC7" w:rsidRPr="00E42AC7">
              <w:rPr>
                <w:noProof/>
                <w:webHidden/>
                <w:sz w:val="20"/>
                <w:szCs w:val="20"/>
              </w:rPr>
              <w:fldChar w:fldCharType="end"/>
            </w:r>
          </w:hyperlink>
        </w:p>
        <w:p w14:paraId="50A54DB8" w14:textId="2DFD9401"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66" w:history="1">
            <w:r w:rsidR="00E42AC7" w:rsidRPr="00E42AC7">
              <w:rPr>
                <w:rStyle w:val="Hyperlink"/>
                <w:rFonts w:eastAsia="Arial"/>
                <w:noProof/>
                <w:sz w:val="20"/>
                <w:szCs w:val="20"/>
              </w:rPr>
              <w:t>10.1</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Lead times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_Toc233962866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10</w:t>
            </w:r>
            <w:r w:rsidR="00E42AC7" w:rsidRPr="00E42AC7">
              <w:rPr>
                <w:noProof/>
                <w:webHidden/>
                <w:sz w:val="20"/>
                <w:szCs w:val="20"/>
              </w:rPr>
              <w:fldChar w:fldCharType="end"/>
            </w:r>
          </w:hyperlink>
        </w:p>
        <w:p w14:paraId="70A35A4B" w14:textId="7EB0BEF7"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67" w:history="1">
            <w:r w:rsidR="00E42AC7" w:rsidRPr="00E42AC7">
              <w:rPr>
                <w:rStyle w:val="Hyperlink"/>
                <w:rFonts w:eastAsia="Arial"/>
                <w:noProof/>
                <w:sz w:val="20"/>
                <w:szCs w:val="20"/>
              </w:rPr>
              <w:t>10.2</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Delivery hours and arrangements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_Toc233962867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10</w:t>
            </w:r>
            <w:r w:rsidR="00E42AC7" w:rsidRPr="00E42AC7">
              <w:rPr>
                <w:noProof/>
                <w:webHidden/>
                <w:sz w:val="20"/>
                <w:szCs w:val="20"/>
              </w:rPr>
              <w:fldChar w:fldCharType="end"/>
            </w:r>
          </w:hyperlink>
        </w:p>
        <w:p w14:paraId="45CBCFE7" w14:textId="208C559F"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68" w:history="1">
            <w:r w:rsidR="00E42AC7" w:rsidRPr="00E42AC7">
              <w:rPr>
                <w:rStyle w:val="Hyperlink"/>
                <w:rFonts w:eastAsia="Arial"/>
                <w:noProof/>
                <w:sz w:val="20"/>
                <w:szCs w:val="20"/>
              </w:rPr>
              <w:t>10.3</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Delivery charges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_Toc233962868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10</w:t>
            </w:r>
            <w:r w:rsidR="00E42AC7" w:rsidRPr="00E42AC7">
              <w:rPr>
                <w:noProof/>
                <w:webHidden/>
                <w:sz w:val="20"/>
                <w:szCs w:val="20"/>
              </w:rPr>
              <w:fldChar w:fldCharType="end"/>
            </w:r>
          </w:hyperlink>
        </w:p>
        <w:p w14:paraId="36F3B70C" w14:textId="4F2F1790"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69" w:history="1">
            <w:r w:rsidR="00E42AC7" w:rsidRPr="00E42AC7">
              <w:rPr>
                <w:rStyle w:val="Hyperlink"/>
                <w:rFonts w:eastAsia="Arial"/>
                <w:noProof/>
                <w:sz w:val="20"/>
                <w:szCs w:val="20"/>
              </w:rPr>
              <w:t>10.4</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Goods inwards inspection</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_Toc233962869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10</w:t>
            </w:r>
            <w:r w:rsidR="00E42AC7" w:rsidRPr="00E42AC7">
              <w:rPr>
                <w:noProof/>
                <w:webHidden/>
                <w:sz w:val="20"/>
                <w:szCs w:val="20"/>
              </w:rPr>
              <w:fldChar w:fldCharType="end"/>
            </w:r>
          </w:hyperlink>
        </w:p>
        <w:p w14:paraId="3EC210F0" w14:textId="2E2F8D41"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70" w:history="1">
            <w:r w:rsidR="00E42AC7" w:rsidRPr="00E42AC7">
              <w:rPr>
                <w:rStyle w:val="Hyperlink"/>
                <w:rFonts w:eastAsia="Arial"/>
                <w:noProof/>
                <w:sz w:val="20"/>
                <w:szCs w:val="20"/>
              </w:rPr>
              <w:t>11.</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 xml:space="preserve">Pricing </w:t>
            </w:r>
            <w:r w:rsidR="00E42AC7" w:rsidRPr="00E42AC7">
              <w:rPr>
                <w:rStyle w:val="Hyperlink"/>
                <w:noProof/>
                <w:sz w:val="20"/>
                <w:szCs w:val="20"/>
              </w:rPr>
              <w:t>and</w:t>
            </w:r>
            <w:r w:rsidR="00E42AC7" w:rsidRPr="00E42AC7">
              <w:rPr>
                <w:rStyle w:val="Hyperlink"/>
                <w:rFonts w:eastAsia="Arial"/>
                <w:noProof/>
                <w:sz w:val="20"/>
                <w:szCs w:val="20"/>
              </w:rPr>
              <w:t xml:space="preserve"> Price Reviews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_Toc233962870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11</w:t>
            </w:r>
            <w:r w:rsidR="00E42AC7" w:rsidRPr="00E42AC7">
              <w:rPr>
                <w:noProof/>
                <w:webHidden/>
                <w:sz w:val="20"/>
                <w:szCs w:val="20"/>
              </w:rPr>
              <w:fldChar w:fldCharType="end"/>
            </w:r>
          </w:hyperlink>
        </w:p>
        <w:p w14:paraId="3610AF44" w14:textId="5BCA8BBB"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71" w:history="1">
            <w:r w:rsidR="00E42AC7" w:rsidRPr="00E42AC7">
              <w:rPr>
                <w:rStyle w:val="Hyperlink"/>
                <w:rFonts w:eastAsia="Arial"/>
                <w:noProof/>
                <w:sz w:val="20"/>
                <w:szCs w:val="20"/>
              </w:rPr>
              <w:t>11.1</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Schedule pricing</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_Toc233962871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11</w:t>
            </w:r>
            <w:r w:rsidR="00E42AC7" w:rsidRPr="00E42AC7">
              <w:rPr>
                <w:noProof/>
                <w:webHidden/>
                <w:sz w:val="20"/>
                <w:szCs w:val="20"/>
              </w:rPr>
              <w:fldChar w:fldCharType="end"/>
            </w:r>
          </w:hyperlink>
        </w:p>
        <w:p w14:paraId="392082A5" w14:textId="473BEDA2"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72" w:history="1">
            <w:r w:rsidR="00E42AC7" w:rsidRPr="00E42AC7">
              <w:rPr>
                <w:rStyle w:val="Hyperlink"/>
                <w:rFonts w:eastAsia="Arial"/>
                <w:noProof/>
                <w:sz w:val="20"/>
                <w:szCs w:val="20"/>
              </w:rPr>
              <w:t>11.2</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Off-schedule items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_Toc233962872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11</w:t>
            </w:r>
            <w:r w:rsidR="00E42AC7" w:rsidRPr="00E42AC7">
              <w:rPr>
                <w:noProof/>
                <w:webHidden/>
                <w:sz w:val="20"/>
                <w:szCs w:val="20"/>
              </w:rPr>
              <w:fldChar w:fldCharType="end"/>
            </w:r>
          </w:hyperlink>
        </w:p>
        <w:p w14:paraId="2F40BD99" w14:textId="4D015749"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73" w:history="1">
            <w:r w:rsidR="00E42AC7" w:rsidRPr="00E42AC7">
              <w:rPr>
                <w:rStyle w:val="Hyperlink"/>
                <w:rFonts w:eastAsia="Arial"/>
                <w:noProof/>
                <w:sz w:val="20"/>
                <w:szCs w:val="20"/>
              </w:rPr>
              <w:t>11.3</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Price reviews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_Toc233962873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11</w:t>
            </w:r>
            <w:r w:rsidR="00E42AC7" w:rsidRPr="00E42AC7">
              <w:rPr>
                <w:noProof/>
                <w:webHidden/>
                <w:sz w:val="20"/>
                <w:szCs w:val="20"/>
              </w:rPr>
              <w:fldChar w:fldCharType="end"/>
            </w:r>
          </w:hyperlink>
        </w:p>
        <w:p w14:paraId="61B65F43" w14:textId="18B37226"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74" w:history="1">
            <w:r w:rsidR="00E42AC7" w:rsidRPr="00E42AC7">
              <w:rPr>
                <w:rStyle w:val="Hyperlink"/>
                <w:rFonts w:eastAsia="Arial"/>
                <w:noProof/>
                <w:sz w:val="20"/>
                <w:szCs w:val="20"/>
              </w:rPr>
              <w:t>11.4</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Volume rebates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_Toc233962874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11</w:t>
            </w:r>
            <w:r w:rsidR="00E42AC7" w:rsidRPr="00E42AC7">
              <w:rPr>
                <w:noProof/>
                <w:webHidden/>
                <w:sz w:val="20"/>
                <w:szCs w:val="20"/>
              </w:rPr>
              <w:fldChar w:fldCharType="end"/>
            </w:r>
          </w:hyperlink>
        </w:p>
        <w:p w14:paraId="2C716E86" w14:textId="6AA98384"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75" w:history="1">
            <w:r w:rsidR="00E42AC7" w:rsidRPr="00E42AC7">
              <w:rPr>
                <w:rStyle w:val="Hyperlink"/>
                <w:rFonts w:eastAsia="Arial"/>
                <w:noProof/>
                <w:sz w:val="20"/>
                <w:szCs w:val="20"/>
              </w:rPr>
              <w:t>12.</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Account Management</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_Toc233962875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12</w:t>
            </w:r>
            <w:r w:rsidR="00E42AC7" w:rsidRPr="00E42AC7">
              <w:rPr>
                <w:noProof/>
                <w:webHidden/>
                <w:sz w:val="20"/>
                <w:szCs w:val="20"/>
              </w:rPr>
              <w:fldChar w:fldCharType="end"/>
            </w:r>
          </w:hyperlink>
        </w:p>
        <w:p w14:paraId="16A9D4B6" w14:textId="500531C4"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76" w:history="1">
            <w:r w:rsidR="00E42AC7" w:rsidRPr="00E42AC7">
              <w:rPr>
                <w:rStyle w:val="Hyperlink"/>
                <w:rFonts w:eastAsia="Arial"/>
                <w:noProof/>
                <w:sz w:val="20"/>
                <w:szCs w:val="20"/>
              </w:rPr>
              <w:t>13.</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Contract Management and KPIs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_Toc233962876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12</w:t>
            </w:r>
            <w:r w:rsidR="00E42AC7" w:rsidRPr="00E42AC7">
              <w:rPr>
                <w:noProof/>
                <w:webHidden/>
                <w:sz w:val="20"/>
                <w:szCs w:val="20"/>
              </w:rPr>
              <w:fldChar w:fldCharType="end"/>
            </w:r>
          </w:hyperlink>
        </w:p>
        <w:p w14:paraId="0C520F48" w14:textId="568AD7DC"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77" w:history="1">
            <w:r w:rsidR="00E42AC7" w:rsidRPr="00E42AC7">
              <w:rPr>
                <w:rStyle w:val="Hyperlink"/>
                <w:rFonts w:eastAsia="Arial"/>
                <w:noProof/>
                <w:sz w:val="20"/>
                <w:szCs w:val="20"/>
              </w:rPr>
              <w:t>14.</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Management</w:t>
            </w:r>
            <w:r w:rsidR="00E42AC7" w:rsidRPr="00E42AC7">
              <w:rPr>
                <w:rStyle w:val="Hyperlink"/>
                <w:rFonts w:eastAsia="Arial"/>
                <w:noProof/>
                <w:sz w:val="20"/>
                <w:szCs w:val="20"/>
              </w:rPr>
              <w:t xml:space="preserve"> Information</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_Toc233962877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13</w:t>
            </w:r>
            <w:r w:rsidR="00E42AC7" w:rsidRPr="00E42AC7">
              <w:rPr>
                <w:noProof/>
                <w:webHidden/>
                <w:sz w:val="20"/>
                <w:szCs w:val="20"/>
              </w:rPr>
              <w:fldChar w:fldCharType="end"/>
            </w:r>
          </w:hyperlink>
        </w:p>
        <w:p w14:paraId="4320E35F" w14:textId="66F0108A"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78" w:history="1">
            <w:r w:rsidR="00E42AC7" w:rsidRPr="00E42AC7">
              <w:rPr>
                <w:rStyle w:val="Hyperlink"/>
                <w:rFonts w:eastAsia="Arial"/>
                <w:noProof/>
                <w:sz w:val="20"/>
                <w:szCs w:val="20"/>
              </w:rPr>
              <w:t>15.</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Health and Safety Considerations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_Toc233962878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13</w:t>
            </w:r>
            <w:r w:rsidR="00E42AC7" w:rsidRPr="00E42AC7">
              <w:rPr>
                <w:noProof/>
                <w:webHidden/>
                <w:sz w:val="20"/>
                <w:szCs w:val="20"/>
              </w:rPr>
              <w:fldChar w:fldCharType="end"/>
            </w:r>
          </w:hyperlink>
        </w:p>
        <w:p w14:paraId="5FBF7F6A" w14:textId="59346528"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79" w:history="1">
            <w:r w:rsidR="00E42AC7" w:rsidRPr="00E42AC7">
              <w:rPr>
                <w:rStyle w:val="Hyperlink"/>
                <w:noProof/>
                <w:sz w:val="20"/>
                <w:szCs w:val="20"/>
              </w:rPr>
              <w:t>16.</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Guidance for Calling-off from the Framework Agreement</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_Toc233962879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14</w:t>
            </w:r>
            <w:r w:rsidR="00E42AC7" w:rsidRPr="00E42AC7">
              <w:rPr>
                <w:noProof/>
                <w:webHidden/>
                <w:sz w:val="20"/>
                <w:szCs w:val="20"/>
              </w:rPr>
              <w:fldChar w:fldCharType="end"/>
            </w:r>
          </w:hyperlink>
        </w:p>
        <w:p w14:paraId="5087DF6C" w14:textId="25169E09"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80" w:history="1">
            <w:r w:rsidR="00E42AC7" w:rsidRPr="00E42AC7">
              <w:rPr>
                <w:rStyle w:val="Hyperlink"/>
                <w:noProof/>
                <w:sz w:val="20"/>
                <w:szCs w:val="20"/>
              </w:rPr>
              <w:t>16.1</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Call-Off Process 1 - Mini-Competition</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_Toc233962880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14</w:t>
            </w:r>
            <w:r w:rsidR="00E42AC7" w:rsidRPr="00E42AC7">
              <w:rPr>
                <w:noProof/>
                <w:webHidden/>
                <w:sz w:val="20"/>
                <w:szCs w:val="20"/>
              </w:rPr>
              <w:fldChar w:fldCharType="end"/>
            </w:r>
          </w:hyperlink>
        </w:p>
        <w:p w14:paraId="07930AE1" w14:textId="23BF1FB1"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81" w:history="1">
            <w:r w:rsidR="00E42AC7" w:rsidRPr="00E42AC7">
              <w:rPr>
                <w:rStyle w:val="Hyperlink"/>
                <w:rFonts w:eastAsia="Times New Roman"/>
                <w:noProof/>
                <w:sz w:val="20"/>
                <w:szCs w:val="20"/>
              </w:rPr>
              <w:t>16.2</w:t>
            </w:r>
            <w:r w:rsidR="00E42AC7" w:rsidRPr="00E42AC7">
              <w:rPr>
                <w:rFonts w:eastAsiaTheme="minorEastAsia"/>
                <w:noProof/>
                <w:kern w:val="2"/>
                <w:sz w:val="20"/>
                <w:szCs w:val="20"/>
                <w:lang w:eastAsia="en-GB"/>
                <w14:ligatures w14:val="standardContextual"/>
              </w:rPr>
              <w:tab/>
            </w:r>
            <w:r w:rsidR="00E42AC7" w:rsidRPr="00E42AC7">
              <w:rPr>
                <w:rStyle w:val="Hyperlink"/>
                <w:rFonts w:eastAsia="Times New Roman"/>
                <w:noProof/>
                <w:sz w:val="20"/>
                <w:szCs w:val="20"/>
              </w:rPr>
              <w:t>Call-Off Process 2 – Direct Award for Consumables up the value of £30,000 incl Vat</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_Toc233962881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14</w:t>
            </w:r>
            <w:r w:rsidR="00E42AC7" w:rsidRPr="00E42AC7">
              <w:rPr>
                <w:noProof/>
                <w:webHidden/>
                <w:sz w:val="20"/>
                <w:szCs w:val="20"/>
              </w:rPr>
              <w:fldChar w:fldCharType="end"/>
            </w:r>
          </w:hyperlink>
        </w:p>
        <w:p w14:paraId="2F1508A5" w14:textId="017591D4" w:rsidR="00E42AC7" w:rsidRPr="00E42AC7" w:rsidRDefault="00000000">
          <w:pPr>
            <w:pStyle w:val="TOC2"/>
            <w:tabs>
              <w:tab w:val="left" w:pos="960"/>
              <w:tab w:val="right" w:leader="dot" w:pos="9016"/>
            </w:tabs>
            <w:rPr>
              <w:rFonts w:eastAsiaTheme="minorEastAsia"/>
              <w:noProof/>
              <w:kern w:val="2"/>
              <w:sz w:val="20"/>
              <w:szCs w:val="20"/>
              <w:lang w:eastAsia="en-GB"/>
              <w14:ligatures w14:val="standardContextual"/>
            </w:rPr>
          </w:pPr>
          <w:hyperlink w:anchor="_Toc233962882" w:history="1">
            <w:r w:rsidR="00E42AC7" w:rsidRPr="00E42AC7">
              <w:rPr>
                <w:rStyle w:val="Hyperlink"/>
                <w:noProof/>
                <w:sz w:val="20"/>
                <w:szCs w:val="20"/>
              </w:rPr>
              <w:t>16.3</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Call-Off Process 3 – Desktop Exercise for  Consumables up the value of £30,000 incl Vat</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_Toc233962882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15</w:t>
            </w:r>
            <w:r w:rsidR="00E42AC7" w:rsidRPr="00E42AC7">
              <w:rPr>
                <w:noProof/>
                <w:webHidden/>
                <w:sz w:val="20"/>
                <w:szCs w:val="20"/>
              </w:rPr>
              <w:fldChar w:fldCharType="end"/>
            </w:r>
          </w:hyperlink>
        </w:p>
        <w:p w14:paraId="54F9708A" w14:textId="77DA291F"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83" w:history="1">
            <w:r w:rsidR="00E42AC7" w:rsidRPr="00E42AC7">
              <w:rPr>
                <w:rStyle w:val="Hyperlink"/>
                <w:noProof/>
                <w:sz w:val="20"/>
                <w:szCs w:val="20"/>
              </w:rPr>
              <w:t>17.</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Combined Liability Insurance</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_Toc233962883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15</w:t>
            </w:r>
            <w:r w:rsidR="00E42AC7" w:rsidRPr="00E42AC7">
              <w:rPr>
                <w:noProof/>
                <w:webHidden/>
                <w:sz w:val="20"/>
                <w:szCs w:val="20"/>
              </w:rPr>
              <w:fldChar w:fldCharType="end"/>
            </w:r>
          </w:hyperlink>
        </w:p>
        <w:p w14:paraId="005F4CBB" w14:textId="188C45D3"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84" w:history="1">
            <w:r w:rsidR="00E42AC7" w:rsidRPr="00E42AC7">
              <w:rPr>
                <w:rStyle w:val="Hyperlink"/>
                <w:rFonts w:eastAsia="Arial"/>
                <w:noProof/>
                <w:sz w:val="20"/>
                <w:szCs w:val="20"/>
              </w:rPr>
              <w:t>18.</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Sub-contracting</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_Toc233962884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15</w:t>
            </w:r>
            <w:r w:rsidR="00E42AC7" w:rsidRPr="00E42AC7">
              <w:rPr>
                <w:noProof/>
                <w:webHidden/>
                <w:sz w:val="20"/>
                <w:szCs w:val="20"/>
              </w:rPr>
              <w:fldChar w:fldCharType="end"/>
            </w:r>
          </w:hyperlink>
        </w:p>
        <w:p w14:paraId="630F594E" w14:textId="6C7D5F52"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85" w:history="1">
            <w:r w:rsidR="00E42AC7" w:rsidRPr="00E42AC7">
              <w:rPr>
                <w:rStyle w:val="Hyperlink"/>
                <w:rFonts w:eastAsia="Arial"/>
                <w:noProof/>
                <w:sz w:val="20"/>
                <w:szCs w:val="20"/>
              </w:rPr>
              <w:t>19.</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Mobilisation</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_Toc233962885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15</w:t>
            </w:r>
            <w:r w:rsidR="00E42AC7" w:rsidRPr="00E42AC7">
              <w:rPr>
                <w:noProof/>
                <w:webHidden/>
                <w:sz w:val="20"/>
                <w:szCs w:val="20"/>
              </w:rPr>
              <w:fldChar w:fldCharType="end"/>
            </w:r>
          </w:hyperlink>
        </w:p>
        <w:p w14:paraId="5EE1E817" w14:textId="53053BA4"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86" w:history="1">
            <w:r w:rsidR="00E42AC7" w:rsidRPr="00E42AC7">
              <w:rPr>
                <w:rStyle w:val="Hyperlink"/>
                <w:noProof/>
                <w:sz w:val="20"/>
                <w:szCs w:val="20"/>
                <w:lang w:val="en-US"/>
              </w:rPr>
              <w:t>20.</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lang w:val="en-US"/>
              </w:rPr>
              <w:t>Complaints Procedure</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_Toc233962886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16</w:t>
            </w:r>
            <w:r w:rsidR="00E42AC7" w:rsidRPr="00E42AC7">
              <w:rPr>
                <w:noProof/>
                <w:webHidden/>
                <w:sz w:val="20"/>
                <w:szCs w:val="20"/>
              </w:rPr>
              <w:fldChar w:fldCharType="end"/>
            </w:r>
          </w:hyperlink>
        </w:p>
        <w:p w14:paraId="1B91B205" w14:textId="70FE6AED"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87" w:history="1">
            <w:r w:rsidR="00E42AC7" w:rsidRPr="00E42AC7">
              <w:rPr>
                <w:rStyle w:val="Hyperlink"/>
                <w:rFonts w:eastAsia="Arial"/>
                <w:noProof/>
                <w:sz w:val="20"/>
                <w:szCs w:val="20"/>
              </w:rPr>
              <w:t>21.</w:t>
            </w:r>
            <w:r w:rsidR="00E42AC7" w:rsidRPr="00E42AC7">
              <w:rPr>
                <w:rFonts w:eastAsiaTheme="minorEastAsia"/>
                <w:noProof/>
                <w:kern w:val="2"/>
                <w:sz w:val="20"/>
                <w:szCs w:val="20"/>
                <w:lang w:eastAsia="en-GB"/>
                <w14:ligatures w14:val="standardContextual"/>
              </w:rPr>
              <w:tab/>
            </w:r>
            <w:r w:rsidR="00E42AC7" w:rsidRPr="00E42AC7">
              <w:rPr>
                <w:rStyle w:val="Hyperlink"/>
                <w:rFonts w:eastAsia="Arial"/>
                <w:noProof/>
                <w:sz w:val="20"/>
                <w:szCs w:val="20"/>
              </w:rPr>
              <w:t>Sustainability and Social Value</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_Toc233962887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16</w:t>
            </w:r>
            <w:r w:rsidR="00E42AC7" w:rsidRPr="00E42AC7">
              <w:rPr>
                <w:noProof/>
                <w:webHidden/>
                <w:sz w:val="20"/>
                <w:szCs w:val="20"/>
              </w:rPr>
              <w:fldChar w:fldCharType="end"/>
            </w:r>
          </w:hyperlink>
        </w:p>
        <w:p w14:paraId="3F67205D" w14:textId="1E93AE42"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88" w:history="1">
            <w:r w:rsidR="00E42AC7" w:rsidRPr="00E42AC7">
              <w:rPr>
                <w:rStyle w:val="Hyperlink"/>
                <w:noProof/>
                <w:sz w:val="20"/>
                <w:szCs w:val="20"/>
              </w:rPr>
              <w:t>22.</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Disclaimer</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_Toc233962888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16</w:t>
            </w:r>
            <w:r w:rsidR="00E42AC7" w:rsidRPr="00E42AC7">
              <w:rPr>
                <w:noProof/>
                <w:webHidden/>
                <w:sz w:val="20"/>
                <w:szCs w:val="20"/>
              </w:rPr>
              <w:fldChar w:fldCharType="end"/>
            </w:r>
          </w:hyperlink>
        </w:p>
        <w:p w14:paraId="7251729D" w14:textId="3CE51253"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89" w:history="1">
            <w:r w:rsidR="00E42AC7" w:rsidRPr="00E42AC7">
              <w:rPr>
                <w:rStyle w:val="Hyperlink"/>
                <w:noProof/>
                <w:sz w:val="20"/>
                <w:szCs w:val="20"/>
              </w:rPr>
              <w:t>23.</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Supplier Sustainability Action Plan</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_Toc233962889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17</w:t>
            </w:r>
            <w:r w:rsidR="00E42AC7" w:rsidRPr="00E42AC7">
              <w:rPr>
                <w:noProof/>
                <w:webHidden/>
                <w:sz w:val="20"/>
                <w:szCs w:val="20"/>
              </w:rPr>
              <w:fldChar w:fldCharType="end"/>
            </w:r>
          </w:hyperlink>
        </w:p>
        <w:p w14:paraId="39A6E147" w14:textId="0AF4E70E"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90" w:history="1">
            <w:r w:rsidR="00E42AC7" w:rsidRPr="00E42AC7">
              <w:rPr>
                <w:rStyle w:val="Hyperlink"/>
                <w:rFonts w:eastAsia="Calibri"/>
                <w:noProof/>
                <w:sz w:val="20"/>
                <w:szCs w:val="20"/>
              </w:rPr>
              <w:t>24.</w:t>
            </w:r>
            <w:r w:rsidR="00E42AC7" w:rsidRPr="00E42AC7">
              <w:rPr>
                <w:rFonts w:eastAsiaTheme="minorEastAsia"/>
                <w:noProof/>
                <w:kern w:val="2"/>
                <w:sz w:val="20"/>
                <w:szCs w:val="20"/>
                <w:lang w:eastAsia="en-GB"/>
                <w14:ligatures w14:val="standardContextual"/>
              </w:rPr>
              <w:tab/>
            </w:r>
            <w:r w:rsidR="00E42AC7" w:rsidRPr="00E42AC7">
              <w:rPr>
                <w:rStyle w:val="Hyperlink"/>
                <w:rFonts w:ascii="Calibri" w:eastAsia="Calibri" w:hAnsi="Calibri" w:cs="Calibri"/>
                <w:noProof/>
                <w:sz w:val="20"/>
                <w:szCs w:val="20"/>
              </w:rPr>
              <w:t>Tender Evaluation</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_Toc233962890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18</w:t>
            </w:r>
            <w:r w:rsidR="00E42AC7" w:rsidRPr="00E42AC7">
              <w:rPr>
                <w:noProof/>
                <w:webHidden/>
                <w:sz w:val="20"/>
                <w:szCs w:val="20"/>
              </w:rPr>
              <w:fldChar w:fldCharType="end"/>
            </w:r>
          </w:hyperlink>
        </w:p>
        <w:p w14:paraId="521D3E87" w14:textId="335A90BA"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91" w:history="1">
            <w:r w:rsidR="00E42AC7" w:rsidRPr="00E42AC7">
              <w:rPr>
                <w:rStyle w:val="Hyperlink"/>
                <w:rFonts w:eastAsia="Calibri"/>
                <w:noProof/>
                <w:sz w:val="20"/>
                <w:szCs w:val="20"/>
              </w:rPr>
              <w:t>25.</w:t>
            </w:r>
            <w:r w:rsidR="00E42AC7" w:rsidRPr="00E42AC7">
              <w:rPr>
                <w:rFonts w:eastAsiaTheme="minorEastAsia"/>
                <w:noProof/>
                <w:kern w:val="2"/>
                <w:sz w:val="20"/>
                <w:szCs w:val="20"/>
                <w:lang w:eastAsia="en-GB"/>
                <w14:ligatures w14:val="standardContextual"/>
              </w:rPr>
              <w:tab/>
            </w:r>
            <w:r w:rsidR="00E42AC7" w:rsidRPr="00E42AC7">
              <w:rPr>
                <w:rStyle w:val="Hyperlink"/>
                <w:rFonts w:eastAsia="Calibri"/>
                <w:noProof/>
                <w:sz w:val="20"/>
                <w:szCs w:val="20"/>
              </w:rPr>
              <w:t>Appendix A - Quality Submission Questions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_Toc233962891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19</w:t>
            </w:r>
            <w:r w:rsidR="00E42AC7" w:rsidRPr="00E42AC7">
              <w:rPr>
                <w:noProof/>
                <w:webHidden/>
                <w:sz w:val="20"/>
                <w:szCs w:val="20"/>
              </w:rPr>
              <w:fldChar w:fldCharType="end"/>
            </w:r>
          </w:hyperlink>
        </w:p>
        <w:p w14:paraId="46F4A3CC" w14:textId="4CB65A9B" w:rsidR="00E42AC7" w:rsidRPr="00E42AC7" w:rsidRDefault="00000000">
          <w:pPr>
            <w:pStyle w:val="TOC3"/>
            <w:tabs>
              <w:tab w:val="right" w:leader="dot" w:pos="9016"/>
            </w:tabs>
            <w:rPr>
              <w:rFonts w:eastAsiaTheme="minorEastAsia"/>
              <w:noProof/>
              <w:kern w:val="2"/>
              <w:sz w:val="20"/>
              <w:szCs w:val="20"/>
              <w:lang w:eastAsia="en-GB"/>
              <w14:ligatures w14:val="standardContextual"/>
            </w:rPr>
          </w:pPr>
          <w:hyperlink w:anchor="_Toc233962892" w:history="1">
            <w:r w:rsidR="00E42AC7" w:rsidRPr="00E42AC7">
              <w:rPr>
                <w:rStyle w:val="Hyperlink"/>
                <w:rFonts w:eastAsia="Times New Roman" w:cstheme="minorHAnsi"/>
                <w:b/>
                <w:bCs/>
                <w:noProof/>
                <w:sz w:val="20"/>
                <w:szCs w:val="20"/>
                <w:lang w:eastAsia="en-GB"/>
              </w:rPr>
              <w:t>Ordering, Delivery, Returns and Warranty Arrangements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_Toc233962892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20</w:t>
            </w:r>
            <w:r w:rsidR="00E42AC7" w:rsidRPr="00E42AC7">
              <w:rPr>
                <w:noProof/>
                <w:webHidden/>
                <w:sz w:val="20"/>
                <w:szCs w:val="20"/>
              </w:rPr>
              <w:fldChar w:fldCharType="end"/>
            </w:r>
          </w:hyperlink>
        </w:p>
        <w:p w14:paraId="323CB263" w14:textId="44591C24"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93" w:history="1">
            <w:r w:rsidR="00E42AC7" w:rsidRPr="00E42AC7">
              <w:rPr>
                <w:rStyle w:val="Hyperlink"/>
                <w:noProof/>
                <w:sz w:val="20"/>
                <w:szCs w:val="20"/>
              </w:rPr>
              <w:t>26.</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Appendix B - Pricing Schedule</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_Toc233962893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22</w:t>
            </w:r>
            <w:r w:rsidR="00E42AC7" w:rsidRPr="00E42AC7">
              <w:rPr>
                <w:noProof/>
                <w:webHidden/>
                <w:sz w:val="20"/>
                <w:szCs w:val="20"/>
              </w:rPr>
              <w:fldChar w:fldCharType="end"/>
            </w:r>
          </w:hyperlink>
        </w:p>
        <w:p w14:paraId="5D943B4E" w14:textId="4F061485"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94" w:history="1">
            <w:r w:rsidR="00E42AC7" w:rsidRPr="00E42AC7">
              <w:rPr>
                <w:rStyle w:val="Hyperlink"/>
                <w:noProof/>
                <w:sz w:val="20"/>
                <w:szCs w:val="20"/>
              </w:rPr>
              <w:t>27.</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Abnormal Low Bids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_Toc233962894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22</w:t>
            </w:r>
            <w:r w:rsidR="00E42AC7" w:rsidRPr="00E42AC7">
              <w:rPr>
                <w:noProof/>
                <w:webHidden/>
                <w:sz w:val="20"/>
                <w:szCs w:val="20"/>
              </w:rPr>
              <w:fldChar w:fldCharType="end"/>
            </w:r>
          </w:hyperlink>
        </w:p>
        <w:p w14:paraId="1AB41A25" w14:textId="59D855BA" w:rsidR="00E42AC7" w:rsidRPr="00E42AC7" w:rsidRDefault="00000000">
          <w:pPr>
            <w:pStyle w:val="TOC1"/>
            <w:tabs>
              <w:tab w:val="left" w:pos="720"/>
              <w:tab w:val="right" w:leader="dot" w:pos="9016"/>
            </w:tabs>
            <w:rPr>
              <w:rFonts w:eastAsiaTheme="minorEastAsia"/>
              <w:noProof/>
              <w:kern w:val="2"/>
              <w:sz w:val="20"/>
              <w:szCs w:val="20"/>
              <w:lang w:eastAsia="en-GB"/>
              <w14:ligatures w14:val="standardContextual"/>
            </w:rPr>
          </w:pPr>
          <w:hyperlink w:anchor="_Toc233962895" w:history="1">
            <w:r w:rsidR="00E42AC7" w:rsidRPr="00E42AC7">
              <w:rPr>
                <w:rStyle w:val="Hyperlink"/>
                <w:noProof/>
                <w:sz w:val="20"/>
                <w:szCs w:val="20"/>
              </w:rPr>
              <w:t>28.</w:t>
            </w:r>
            <w:r w:rsidR="00E42AC7" w:rsidRPr="00E42AC7">
              <w:rPr>
                <w:rFonts w:eastAsiaTheme="minorEastAsia"/>
                <w:noProof/>
                <w:kern w:val="2"/>
                <w:sz w:val="20"/>
                <w:szCs w:val="20"/>
                <w:lang w:eastAsia="en-GB"/>
                <w14:ligatures w14:val="standardContextual"/>
              </w:rPr>
              <w:tab/>
            </w:r>
            <w:r w:rsidR="00E42AC7" w:rsidRPr="00E42AC7">
              <w:rPr>
                <w:rStyle w:val="Hyperlink"/>
                <w:noProof/>
                <w:sz w:val="20"/>
                <w:szCs w:val="20"/>
              </w:rPr>
              <w:t>Appendices</w:t>
            </w:r>
            <w:r w:rsidR="00E42AC7" w:rsidRPr="00E42AC7">
              <w:rPr>
                <w:noProof/>
                <w:webHidden/>
                <w:sz w:val="20"/>
                <w:szCs w:val="20"/>
              </w:rPr>
              <w:tab/>
            </w:r>
            <w:r w:rsidR="00E42AC7" w:rsidRPr="00E42AC7">
              <w:rPr>
                <w:noProof/>
                <w:webHidden/>
                <w:sz w:val="20"/>
                <w:szCs w:val="20"/>
              </w:rPr>
              <w:fldChar w:fldCharType="begin"/>
            </w:r>
            <w:r w:rsidR="00E42AC7" w:rsidRPr="00E42AC7">
              <w:rPr>
                <w:noProof/>
                <w:webHidden/>
                <w:sz w:val="20"/>
                <w:szCs w:val="20"/>
              </w:rPr>
              <w:instrText xml:space="preserve"> PAGEREF _Toc233962895 \h </w:instrText>
            </w:r>
            <w:r w:rsidR="00E42AC7" w:rsidRPr="00E42AC7">
              <w:rPr>
                <w:noProof/>
                <w:webHidden/>
                <w:sz w:val="20"/>
                <w:szCs w:val="20"/>
              </w:rPr>
            </w:r>
            <w:r w:rsidR="00E42AC7" w:rsidRPr="00E42AC7">
              <w:rPr>
                <w:noProof/>
                <w:webHidden/>
                <w:sz w:val="20"/>
                <w:szCs w:val="20"/>
              </w:rPr>
              <w:fldChar w:fldCharType="separate"/>
            </w:r>
            <w:r w:rsidR="00E42AC7" w:rsidRPr="00E42AC7">
              <w:rPr>
                <w:noProof/>
                <w:webHidden/>
                <w:sz w:val="20"/>
                <w:szCs w:val="20"/>
              </w:rPr>
              <w:t>23</w:t>
            </w:r>
            <w:r w:rsidR="00E42AC7" w:rsidRPr="00E42AC7">
              <w:rPr>
                <w:noProof/>
                <w:webHidden/>
                <w:sz w:val="20"/>
                <w:szCs w:val="20"/>
              </w:rPr>
              <w:fldChar w:fldCharType="end"/>
            </w:r>
          </w:hyperlink>
        </w:p>
        <w:p w14:paraId="061BDA6C" w14:textId="0A5BCC1F" w:rsidR="008401CA" w:rsidRPr="000B6129" w:rsidRDefault="008401CA">
          <w:pPr>
            <w:rPr>
              <w:rFonts w:ascii="Calibri" w:hAnsi="Calibri" w:cs="Calibri"/>
            </w:rPr>
          </w:pPr>
          <w:r w:rsidRPr="00E42AC7">
            <w:rPr>
              <w:rFonts w:ascii="Calibri" w:hAnsi="Calibri" w:cs="Calibri"/>
              <w:b/>
              <w:bCs/>
              <w:sz w:val="20"/>
              <w:szCs w:val="20"/>
            </w:rPr>
            <w:fldChar w:fldCharType="end"/>
          </w:r>
        </w:p>
      </w:sdtContent>
    </w:sdt>
    <w:p w14:paraId="2F9F0279" w14:textId="77777777" w:rsidR="00366D01" w:rsidRDefault="00366D01" w:rsidP="00366D01">
      <w:pPr>
        <w:pStyle w:val="Heading1"/>
        <w:numPr>
          <w:ilvl w:val="0"/>
          <w:numId w:val="0"/>
        </w:numPr>
        <w:ind w:left="432" w:hanging="432"/>
        <w:rPr>
          <w:rFonts w:ascii="Calibri" w:hAnsi="Calibri" w:cs="Calibri"/>
        </w:rPr>
      </w:pPr>
      <w:bookmarkStart w:id="0" w:name="_Toc190267784"/>
    </w:p>
    <w:p w14:paraId="52972096" w14:textId="77777777" w:rsidR="00366D01" w:rsidRDefault="00366D01">
      <w:pPr>
        <w:jc w:val="left"/>
        <w:rPr>
          <w:rFonts w:ascii="Calibri" w:eastAsiaTheme="majorEastAsia" w:hAnsi="Calibri" w:cs="Calibri"/>
          <w:b/>
          <w:bCs/>
          <w:sz w:val="24"/>
          <w:szCs w:val="24"/>
        </w:rPr>
      </w:pPr>
      <w:r>
        <w:rPr>
          <w:rFonts w:ascii="Calibri" w:hAnsi="Calibri" w:cs="Calibri"/>
        </w:rPr>
        <w:br w:type="page"/>
      </w:r>
    </w:p>
    <w:p w14:paraId="3010AF9E" w14:textId="65796635" w:rsidR="00631637" w:rsidRPr="000B6129" w:rsidRDefault="00631637" w:rsidP="008401CA">
      <w:pPr>
        <w:pStyle w:val="Heading1"/>
        <w:rPr>
          <w:rFonts w:ascii="Calibri" w:hAnsi="Calibri" w:cs="Calibri"/>
        </w:rPr>
      </w:pPr>
      <w:bookmarkStart w:id="1" w:name="_Toc233962839"/>
      <w:r>
        <w:rPr>
          <w:rFonts w:ascii="Calibri" w:hAnsi="Calibri" w:cs="Calibri"/>
        </w:rPr>
        <w:lastRenderedPageBreak/>
        <w:t>Proposed Procurement Timetable.</w:t>
      </w:r>
      <w:bookmarkEnd w:id="0"/>
      <w:bookmarkEnd w:id="1"/>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5386"/>
      </w:tblGrid>
      <w:tr w:rsidR="00631637" w:rsidRPr="000B6129" w14:paraId="76B85F2F" w14:textId="77777777" w:rsidTr="00454289">
        <w:trPr>
          <w:trHeight w:val="553"/>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BB1B216" w14:textId="77777777" w:rsidR="00631637" w:rsidRPr="003C04CC" w:rsidRDefault="00631637" w:rsidP="000F491E">
            <w:pPr>
              <w:rPr>
                <w:rFonts w:ascii="Calibri" w:eastAsia="Calibri" w:hAnsi="Calibri" w:cs="Calibri"/>
                <w:b/>
                <w:color w:val="000000"/>
              </w:rPr>
            </w:pPr>
            <w:r>
              <w:rPr>
                <w:rFonts w:ascii="Calibri" w:eastAsia="Calibri" w:hAnsi="Calibri" w:cs="Calibri"/>
                <w:b/>
              </w:rPr>
              <w:t>Tender Notice placed on Sell2Wales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9EC3A" w14:textId="273F31E9" w:rsidR="00631637" w:rsidRPr="003C04CC" w:rsidRDefault="00E42AC7" w:rsidP="000F491E">
            <w:pPr>
              <w:rPr>
                <w:rFonts w:ascii="Calibri" w:eastAsia="Calibri" w:hAnsi="Calibri" w:cs="Calibri"/>
                <w:color w:val="000000"/>
              </w:rPr>
            </w:pPr>
            <w:r>
              <w:rPr>
                <w:rFonts w:ascii="Calibri" w:eastAsia="Calibri" w:hAnsi="Calibri" w:cs="Calibri"/>
                <w:color w:val="000000" w:themeColor="text1"/>
              </w:rPr>
              <w:t>3</w:t>
            </w:r>
            <w:r w:rsidRPr="00E42AC7">
              <w:rPr>
                <w:rFonts w:ascii="Calibri" w:eastAsia="Calibri" w:hAnsi="Calibri" w:cs="Calibri"/>
                <w:color w:val="000000" w:themeColor="text1"/>
                <w:vertAlign w:val="superscript"/>
              </w:rPr>
              <w:t>rd</w:t>
            </w:r>
            <w:r>
              <w:rPr>
                <w:rFonts w:ascii="Calibri" w:eastAsia="Calibri" w:hAnsi="Calibri" w:cs="Calibri"/>
                <w:color w:val="000000" w:themeColor="text1"/>
              </w:rPr>
              <w:t xml:space="preserve"> July</w:t>
            </w:r>
            <w:r w:rsidR="00C45824">
              <w:rPr>
                <w:rFonts w:ascii="Calibri" w:eastAsia="Calibri" w:hAnsi="Calibri" w:cs="Calibri"/>
                <w:color w:val="000000" w:themeColor="text1"/>
              </w:rPr>
              <w:t xml:space="preserve"> 2026</w:t>
            </w:r>
          </w:p>
        </w:tc>
      </w:tr>
      <w:tr w:rsidR="00631637" w:rsidRPr="000B6129" w14:paraId="1816719D" w14:textId="77777777" w:rsidTr="00454289">
        <w:trPr>
          <w:trHeight w:val="549"/>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A28807E" w14:textId="77777777" w:rsidR="00631637" w:rsidRPr="003C04CC" w:rsidRDefault="00631637" w:rsidP="000F491E">
            <w:pPr>
              <w:rPr>
                <w:rFonts w:ascii="Calibri" w:eastAsia="Calibri" w:hAnsi="Calibri" w:cs="Calibri"/>
                <w:b/>
              </w:rPr>
            </w:pPr>
            <w:r>
              <w:rPr>
                <w:rFonts w:ascii="Calibri" w:eastAsia="Calibri" w:hAnsi="Calibri" w:cs="Calibri"/>
                <w:b/>
              </w:rPr>
              <w:t>Deadline for queries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D62357" w14:textId="2D2A9B79" w:rsidR="00631637" w:rsidRPr="003C04CC" w:rsidRDefault="004B1CDA" w:rsidP="000F491E">
            <w:pPr>
              <w:rPr>
                <w:rFonts w:ascii="Calibri" w:eastAsia="Calibri" w:hAnsi="Calibri" w:cs="Calibri"/>
                <w:color w:val="000000"/>
              </w:rPr>
            </w:pPr>
            <w:r>
              <w:rPr>
                <w:rFonts w:ascii="Calibri" w:eastAsia="Calibri" w:hAnsi="Calibri" w:cs="Calibri"/>
                <w:color w:val="000000" w:themeColor="text1"/>
              </w:rPr>
              <w:t>2</w:t>
            </w:r>
            <w:r w:rsidR="008F2E21">
              <w:rPr>
                <w:rFonts w:ascii="Calibri" w:eastAsia="Calibri" w:hAnsi="Calibri" w:cs="Calibri"/>
                <w:color w:val="000000" w:themeColor="text1"/>
              </w:rPr>
              <w:t>7</w:t>
            </w:r>
            <w:r w:rsidR="008F2E21">
              <w:rPr>
                <w:rFonts w:ascii="Calibri" w:eastAsia="Calibri" w:hAnsi="Calibri" w:cs="Calibri"/>
                <w:color w:val="000000" w:themeColor="text1"/>
                <w:vertAlign w:val="superscript"/>
              </w:rPr>
              <w:t>th</w:t>
            </w:r>
            <w:r w:rsidR="008F2E21">
              <w:rPr>
                <w:rFonts w:ascii="Calibri" w:eastAsia="Calibri" w:hAnsi="Calibri" w:cs="Calibri"/>
                <w:color w:val="000000" w:themeColor="text1"/>
              </w:rPr>
              <w:t xml:space="preserve"> July 2026</w:t>
            </w:r>
          </w:p>
        </w:tc>
      </w:tr>
      <w:tr w:rsidR="00631637" w:rsidRPr="000B6129" w14:paraId="15C69152" w14:textId="77777777" w:rsidTr="00454289">
        <w:trPr>
          <w:trHeight w:val="549"/>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0113F92" w14:textId="77777777" w:rsidR="00631637" w:rsidRPr="003C04CC" w:rsidRDefault="00631637" w:rsidP="000F491E">
            <w:pPr>
              <w:rPr>
                <w:rFonts w:ascii="Calibri" w:eastAsia="Calibri" w:hAnsi="Calibri" w:cs="Calibri"/>
                <w:b/>
              </w:rPr>
            </w:pPr>
            <w:r>
              <w:rPr>
                <w:rFonts w:ascii="Calibri" w:eastAsia="Calibri" w:hAnsi="Calibri" w:cs="Calibri"/>
                <w:b/>
              </w:rPr>
              <w:t xml:space="preserve">Tender Return Date  </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0C08BF9" w14:textId="08F91B5D" w:rsidR="00631637" w:rsidRPr="003C04CC" w:rsidRDefault="003C04CC" w:rsidP="000F491E">
            <w:pPr>
              <w:rPr>
                <w:rFonts w:ascii="Calibri" w:eastAsia="Calibri" w:hAnsi="Calibri" w:cs="Calibri"/>
              </w:rPr>
            </w:pPr>
            <w:r>
              <w:rPr>
                <w:rFonts w:ascii="Calibri" w:eastAsia="Calibri" w:hAnsi="Calibri" w:cs="Calibri"/>
              </w:rPr>
              <w:t xml:space="preserve">Noon, </w:t>
            </w:r>
            <w:r w:rsidR="000D339C">
              <w:rPr>
                <w:rFonts w:ascii="Calibri" w:eastAsia="Calibri" w:hAnsi="Calibri" w:cs="Calibri"/>
              </w:rPr>
              <w:t>3</w:t>
            </w:r>
            <w:r w:rsidR="000D339C">
              <w:rPr>
                <w:rFonts w:ascii="Calibri" w:eastAsia="Calibri" w:hAnsi="Calibri" w:cs="Calibri"/>
                <w:vertAlign w:val="superscript"/>
              </w:rPr>
              <w:t>rd</w:t>
            </w:r>
            <w:r w:rsidR="000D339C">
              <w:rPr>
                <w:rFonts w:ascii="Calibri" w:eastAsia="Calibri" w:hAnsi="Calibri" w:cs="Calibri"/>
              </w:rPr>
              <w:t xml:space="preserve"> August 2026</w:t>
            </w:r>
          </w:p>
        </w:tc>
      </w:tr>
      <w:tr w:rsidR="00267A27" w:rsidRPr="000B6129" w14:paraId="0A05C94E" w14:textId="77777777" w:rsidTr="00454289">
        <w:trPr>
          <w:trHeight w:val="549"/>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7F04F1D" w14:textId="0A775386" w:rsidR="00267A27" w:rsidRPr="003C04CC" w:rsidRDefault="00267A27" w:rsidP="000F491E">
            <w:pPr>
              <w:rPr>
                <w:rFonts w:ascii="Calibri" w:eastAsia="Calibri" w:hAnsi="Calibri" w:cs="Calibri"/>
                <w:b/>
              </w:rPr>
            </w:pPr>
            <w:r>
              <w:rPr>
                <w:rFonts w:ascii="Calibri" w:eastAsia="Calibri" w:hAnsi="Calibri" w:cs="Calibri"/>
                <w:b/>
              </w:rPr>
              <w:t xml:space="preserve">Tender Evaluation </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8085D" w14:textId="76B7E5BA" w:rsidR="00267A27" w:rsidRDefault="000D339C" w:rsidP="000F491E">
            <w:pPr>
              <w:rPr>
                <w:rFonts w:ascii="Calibri" w:eastAsia="Calibri" w:hAnsi="Calibri" w:cs="Calibri"/>
              </w:rPr>
            </w:pPr>
            <w:r>
              <w:rPr>
                <w:rFonts w:ascii="Calibri" w:eastAsia="Calibri" w:hAnsi="Calibri" w:cs="Calibri"/>
              </w:rPr>
              <w:t>4</w:t>
            </w:r>
            <w:r w:rsidRPr="000D339C">
              <w:rPr>
                <w:rFonts w:ascii="Calibri" w:eastAsia="Calibri" w:hAnsi="Calibri" w:cs="Calibri"/>
                <w:vertAlign w:val="superscript"/>
              </w:rPr>
              <w:t>th</w:t>
            </w:r>
            <w:r>
              <w:rPr>
                <w:rFonts w:ascii="Calibri" w:eastAsia="Calibri" w:hAnsi="Calibri" w:cs="Calibri"/>
              </w:rPr>
              <w:t xml:space="preserve"> – 7</w:t>
            </w:r>
            <w:r w:rsidRPr="000D339C">
              <w:rPr>
                <w:rFonts w:ascii="Calibri" w:eastAsia="Calibri" w:hAnsi="Calibri" w:cs="Calibri"/>
                <w:vertAlign w:val="superscript"/>
              </w:rPr>
              <w:t>th</w:t>
            </w:r>
            <w:r>
              <w:rPr>
                <w:rFonts w:ascii="Calibri" w:eastAsia="Calibri" w:hAnsi="Calibri" w:cs="Calibri"/>
              </w:rPr>
              <w:t xml:space="preserve"> August 2026</w:t>
            </w:r>
            <w:r w:rsidR="003C6695">
              <w:rPr>
                <w:rFonts w:ascii="Calibri" w:eastAsia="Calibri" w:hAnsi="Calibri" w:cs="Calibri"/>
              </w:rPr>
              <w:t xml:space="preserve"> </w:t>
            </w:r>
          </w:p>
        </w:tc>
      </w:tr>
      <w:tr w:rsidR="00631637" w:rsidRPr="000B6129" w14:paraId="639F6F84" w14:textId="77777777" w:rsidTr="00454289">
        <w:trPr>
          <w:trHeight w:val="549"/>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C17C389" w14:textId="77777777" w:rsidR="00631637" w:rsidRPr="003C04CC" w:rsidRDefault="00631637" w:rsidP="000F491E">
            <w:pPr>
              <w:rPr>
                <w:rFonts w:ascii="Calibri" w:eastAsia="Calibri" w:hAnsi="Calibri" w:cs="Calibri"/>
                <w:b/>
              </w:rPr>
            </w:pPr>
            <w:r>
              <w:rPr>
                <w:rFonts w:ascii="Calibri" w:eastAsia="Calibri" w:hAnsi="Calibri" w:cs="Calibri"/>
                <w:b/>
              </w:rPr>
              <w:t>Tender Award</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54832" w14:textId="021C463D" w:rsidR="00631637" w:rsidRPr="003C04CC" w:rsidRDefault="000D339C" w:rsidP="000F491E">
            <w:pPr>
              <w:rPr>
                <w:rFonts w:ascii="Calibri" w:eastAsia="Calibri" w:hAnsi="Calibri" w:cs="Calibri"/>
              </w:rPr>
            </w:pPr>
            <w:r>
              <w:rPr>
                <w:rFonts w:ascii="Calibri" w:eastAsia="Calibri" w:hAnsi="Calibri" w:cs="Calibri"/>
              </w:rPr>
              <w:t>TBC</w:t>
            </w:r>
          </w:p>
        </w:tc>
      </w:tr>
      <w:tr w:rsidR="00631637" w:rsidRPr="000B6129" w14:paraId="1B899717" w14:textId="77777777" w:rsidTr="00454289">
        <w:trPr>
          <w:trHeight w:val="549"/>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686147C" w14:textId="77777777" w:rsidR="00631637" w:rsidRPr="003C04CC" w:rsidRDefault="00631637" w:rsidP="000F491E">
            <w:pPr>
              <w:rPr>
                <w:rFonts w:ascii="Calibri" w:eastAsia="Calibri" w:hAnsi="Calibri" w:cs="Calibri"/>
                <w:b/>
              </w:rPr>
            </w:pPr>
            <w:r>
              <w:rPr>
                <w:rFonts w:ascii="Calibri" w:eastAsia="Calibri" w:hAnsi="Calibri" w:cs="Calibri"/>
                <w:b/>
              </w:rPr>
              <w:t>Contract Start</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CCAB7" w14:textId="098A7E80" w:rsidR="005040D8" w:rsidRPr="003C04CC" w:rsidRDefault="003C1A07" w:rsidP="000F491E">
            <w:pPr>
              <w:rPr>
                <w:rFonts w:ascii="Calibri" w:hAnsi="Calibri" w:cs="Calibri"/>
              </w:rPr>
            </w:pPr>
            <w:r>
              <w:t>TBC</w:t>
            </w:r>
          </w:p>
        </w:tc>
      </w:tr>
    </w:tbl>
    <w:p w14:paraId="5FD83F2F" w14:textId="77777777" w:rsidR="00631637" w:rsidRPr="000B6129" w:rsidRDefault="00631637" w:rsidP="00631637">
      <w:pPr>
        <w:spacing w:after="0"/>
        <w:rPr>
          <w:rFonts w:ascii="Calibri" w:hAnsi="Calibri" w:cs="Calibri"/>
          <w:b/>
          <w:bCs/>
          <w:sz w:val="24"/>
          <w:szCs w:val="24"/>
          <w:u w:val="single"/>
          <w:lang w:val="en-US"/>
        </w:rPr>
      </w:pPr>
    </w:p>
    <w:p w14:paraId="6AFC74BA" w14:textId="74AE5AA4" w:rsidR="00631637" w:rsidRPr="003C04CC" w:rsidRDefault="00631637" w:rsidP="003C04CC">
      <w:pPr>
        <w:spacing w:after="0"/>
        <w:rPr>
          <w:rFonts w:ascii="Calibri" w:hAnsi="Calibri" w:cs="Calibri"/>
          <w:b/>
        </w:rPr>
      </w:pPr>
      <w:r>
        <w:rPr>
          <w:rFonts w:ascii="Calibri" w:hAnsi="Calibri" w:cs="Calibri"/>
          <w:b/>
        </w:rPr>
        <w:t xml:space="preserve">The College aims, but does not commit, to adhere to the above timetable. </w:t>
      </w:r>
    </w:p>
    <w:p w14:paraId="522E7866" w14:textId="77777777" w:rsidR="00631637" w:rsidRPr="003C04CC" w:rsidRDefault="00631637" w:rsidP="003C04CC">
      <w:pPr>
        <w:spacing w:line="360" w:lineRule="auto"/>
        <w:rPr>
          <w:rFonts w:ascii="Calibri" w:hAnsi="Calibri" w:cs="Calibri"/>
          <w:b/>
        </w:rPr>
      </w:pPr>
      <w:r>
        <w:rPr>
          <w:rFonts w:ascii="Calibri" w:hAnsi="Calibri" w:cs="Calibri"/>
          <w:b/>
        </w:rPr>
        <w:t xml:space="preserve">Please do not contact the College for updates on the progression of the tender process. </w:t>
      </w:r>
    </w:p>
    <w:p w14:paraId="14755046" w14:textId="05FCE6CA" w:rsidR="00924055" w:rsidRPr="003C04CC" w:rsidRDefault="00631637" w:rsidP="003C04CC">
      <w:pPr>
        <w:spacing w:line="360" w:lineRule="auto"/>
        <w:rPr>
          <w:rFonts w:ascii="Calibri" w:hAnsi="Calibri" w:cs="Calibri"/>
          <w:b/>
          <w:u w:val="single"/>
          <w:lang w:val="en-US"/>
        </w:rPr>
      </w:pPr>
      <w:r>
        <w:rPr>
          <w:rFonts w:ascii="Calibri" w:hAnsi="Calibri" w:cs="Calibri"/>
          <w:b/>
        </w:rPr>
        <w:t xml:space="preserve">All suppliers will be notified by email at each stage.  </w:t>
      </w:r>
    </w:p>
    <w:p w14:paraId="4088CEB6" w14:textId="6117913D" w:rsidR="00366D01" w:rsidRDefault="00366D01" w:rsidP="00695BBD">
      <w:pPr>
        <w:spacing w:line="360" w:lineRule="auto"/>
        <w:jc w:val="center"/>
        <w:rPr>
          <w:rFonts w:ascii="Arial" w:hAnsi="Arial" w:cs="Arial"/>
          <w:b/>
          <w:bCs/>
          <w:sz w:val="24"/>
          <w:szCs w:val="24"/>
          <w:u w:val="single"/>
          <w:lang w:val="en-US"/>
        </w:rPr>
      </w:pPr>
    </w:p>
    <w:p w14:paraId="602BC034" w14:textId="77777777" w:rsidR="00366D01" w:rsidRDefault="00366D01">
      <w:pPr>
        <w:jc w:val="left"/>
        <w:rPr>
          <w:rFonts w:ascii="Arial" w:hAnsi="Arial" w:cs="Arial"/>
          <w:b/>
          <w:bCs/>
          <w:sz w:val="24"/>
          <w:szCs w:val="24"/>
          <w:u w:val="single"/>
          <w:lang w:val="en-US"/>
        </w:rPr>
      </w:pPr>
      <w:r>
        <w:rPr>
          <w:rFonts w:ascii="Arial" w:hAnsi="Arial" w:cs="Arial"/>
          <w:b/>
          <w:bCs/>
          <w:sz w:val="24"/>
          <w:szCs w:val="24"/>
          <w:u w:val="single"/>
          <w:lang w:val="en-US"/>
        </w:rPr>
        <w:br w:type="page"/>
      </w:r>
    </w:p>
    <w:p w14:paraId="6E33FA7E" w14:textId="3E7B424D" w:rsidR="00631637" w:rsidRPr="009529C5" w:rsidRDefault="00631637" w:rsidP="003C04CC">
      <w:pPr>
        <w:pStyle w:val="Heading1"/>
      </w:pPr>
      <w:bookmarkStart w:id="2" w:name="_Toc233962840"/>
      <w:r>
        <w:lastRenderedPageBreak/>
        <w:t>Background Information – Pembrokeshire College</w:t>
      </w:r>
      <w:bookmarkEnd w:id="2"/>
    </w:p>
    <w:p w14:paraId="11214C93" w14:textId="77777777" w:rsidR="00D37983" w:rsidRPr="009529C5" w:rsidRDefault="00D37983" w:rsidP="003C1A07">
      <w:r>
        <w:t>Pembrokeshire College is the county’s largest provider of a wide range of post-16 education and training. Situated in a modern, purpose-built campus in Haverfordwest, we offer young people and adults excellent training opportunities.</w:t>
      </w:r>
    </w:p>
    <w:p w14:paraId="5B44006D" w14:textId="77777777" w:rsidR="00D37983" w:rsidRPr="009529C5" w:rsidRDefault="00D37983" w:rsidP="003C1A07">
      <w:pPr>
        <w:rPr>
          <w:bCs/>
        </w:rPr>
      </w:pPr>
      <w:r>
        <w:rPr>
          <w:bCs/>
        </w:rPr>
        <w:t>From A-levels and apprenticeships to degrees and part-time evening classes, our courses will help you achieve your goals.</w:t>
      </w:r>
    </w:p>
    <w:p w14:paraId="2729A0F2" w14:textId="77777777" w:rsidR="00D37983" w:rsidRPr="009529C5" w:rsidRDefault="00D37983" w:rsidP="003C1A07">
      <w:pPr>
        <w:rPr>
          <w:bCs/>
        </w:rPr>
      </w:pPr>
      <w:r>
        <w:rPr>
          <w:bCs/>
        </w:rPr>
        <w:t>With approximately 2,000 full-time and 12,500 part-time learners, College tutors provide a disciplined and supportive framework which focuses on learner success. For school leavers, the College provides a lively, stimulating environment that acts as a stepping stone towards university and the world of work.</w:t>
      </w:r>
    </w:p>
    <w:p w14:paraId="1966BF6C" w14:textId="450338C2" w:rsidR="00050F57" w:rsidRDefault="00D37983" w:rsidP="003C1A07">
      <w:pPr>
        <w:rPr>
          <w:bCs/>
        </w:rPr>
      </w:pPr>
      <w:r>
        <w:rPr>
          <w:bCs/>
        </w:rPr>
        <w:t>The College is proud of its excellent array of facilities and equipment, notably our study spaces, computing and IT suites, construction centre, engineering wing, design workshops and, most recently, our £6.6m Advanced Learning Centre, CAMPUS6.</w:t>
      </w:r>
    </w:p>
    <w:p w14:paraId="27A537E1" w14:textId="77777777" w:rsidR="00050F57" w:rsidRDefault="00050F57">
      <w:pPr>
        <w:jc w:val="left"/>
        <w:rPr>
          <w:bCs/>
        </w:rPr>
      </w:pPr>
      <w:r>
        <w:rPr>
          <w:bCs/>
        </w:rPr>
        <w:br w:type="page"/>
      </w:r>
    </w:p>
    <w:p w14:paraId="7E3301DC" w14:textId="0F6CBCF6" w:rsidR="007C2EA3" w:rsidRDefault="003C6695" w:rsidP="003C04CC">
      <w:pPr>
        <w:pStyle w:val="Heading1"/>
      </w:pPr>
      <w:bookmarkStart w:id="3" w:name="_Toc233962841"/>
      <w:r>
        <w:lastRenderedPageBreak/>
        <w:t>Introduction to Requirement</w:t>
      </w:r>
      <w:bookmarkEnd w:id="3"/>
      <w:r>
        <w:t xml:space="preserve"> </w:t>
      </w:r>
    </w:p>
    <w:p w14:paraId="570015B4" w14:textId="77777777" w:rsidR="00050F57" w:rsidRDefault="00050F57" w:rsidP="00050F57">
      <w:r>
        <w:t>The Engineering Curriculum Area delivers provision across Mechanical and Marine Engineering, Welding and Fabrication, Motor Vehicle, and Electronics, supporting apprenticeship and full-time learners through workshop-based training.</w:t>
      </w:r>
    </w:p>
    <w:p w14:paraId="405D880A" w14:textId="6B0951C2" w:rsidR="00050F57" w:rsidRDefault="00050F57" w:rsidP="00050F57">
      <w:r>
        <w:t>To support delivery, the College requires a reliable supply of engineering workshop consumables, hand tools, power tool accessories and PPE under a framework agreement with agreed pricing and service levels.</w:t>
      </w:r>
    </w:p>
    <w:p w14:paraId="71DBC1B1" w14:textId="27460150" w:rsidR="00050F57" w:rsidRDefault="00050F57" w:rsidP="003C1A07">
      <w:r>
        <w:t>This Specification defines the goods, services and performance standards required under the Framework Agreement.</w:t>
      </w:r>
    </w:p>
    <w:p w14:paraId="6811749A" w14:textId="02A3FC91" w:rsidR="003931A5" w:rsidRDefault="003931A5" w:rsidP="003931A5">
      <w:pPr>
        <w:pStyle w:val="Heading1"/>
      </w:pPr>
      <w:bookmarkStart w:id="4" w:name="_Toc233962842"/>
      <w:r>
        <w:t>Framework Duration</w:t>
      </w:r>
      <w:bookmarkEnd w:id="4"/>
    </w:p>
    <w:p w14:paraId="1FA2174B" w14:textId="77932072" w:rsidR="00050F57" w:rsidRPr="0088474F" w:rsidRDefault="00050F57" w:rsidP="00050F57">
      <w:pPr>
        <w:spacing w:line="240" w:lineRule="auto"/>
      </w:pPr>
      <w:r w:rsidRPr="0088474F">
        <w:t>This Framework Agreement will commence in August 2026 for an initial period of 24 months, expiring in August</w:t>
      </w:r>
      <w:r w:rsidR="0088474F" w:rsidRPr="0088474F">
        <w:t xml:space="preserve"> </w:t>
      </w:r>
      <w:r w:rsidRPr="0088474F">
        <w:t>2028, with the option to extend by</w:t>
      </w:r>
      <w:r w:rsidR="0088474F" w:rsidRPr="0088474F">
        <w:t xml:space="preserve"> up to 2x further 12-month periods, subject to satisfactory performance and mutual agreement.</w:t>
      </w:r>
    </w:p>
    <w:p w14:paraId="3497183B" w14:textId="2670334C" w:rsidR="003C1A07" w:rsidRDefault="00050F57" w:rsidP="00050F57">
      <w:pPr>
        <w:pStyle w:val="Heading2"/>
      </w:pPr>
      <w:bookmarkStart w:id="5" w:name="_Toc233962843"/>
      <w:r>
        <w:t>Lot Application and Submission Rules.</w:t>
      </w:r>
      <w:bookmarkEnd w:id="5"/>
    </w:p>
    <w:p w14:paraId="2A038516" w14:textId="77777777" w:rsidR="00050F57" w:rsidRDefault="00050F57" w:rsidP="00050F57">
      <w:pPr>
        <w:rPr>
          <w:lang w:eastAsia="en-GB"/>
        </w:rPr>
      </w:pPr>
      <w:r>
        <w:rPr>
          <w:lang w:eastAsia="en-GB"/>
        </w:rPr>
        <w:t>Suppliers may bid for one, multiple or all Lots.</w:t>
      </w:r>
    </w:p>
    <w:p w14:paraId="2294480F" w14:textId="77777777" w:rsidR="00050F57" w:rsidRDefault="00050F57" w:rsidP="00050F57">
      <w:pPr>
        <w:rPr>
          <w:lang w:eastAsia="en-GB"/>
        </w:rPr>
      </w:pPr>
      <w:r>
        <w:rPr>
          <w:lang w:eastAsia="en-GB"/>
        </w:rPr>
        <w:t>A single submission is required for the Mandatory Questionnaire and Award Questionnaire regardless of the number of Lots applied for.</w:t>
      </w:r>
    </w:p>
    <w:p w14:paraId="0140EF34" w14:textId="77777777" w:rsidR="00050F57" w:rsidRDefault="00050F57" w:rsidP="00050F57">
      <w:pPr>
        <w:rPr>
          <w:lang w:eastAsia="en-GB"/>
        </w:rPr>
      </w:pPr>
      <w:r>
        <w:rPr>
          <w:lang w:eastAsia="en-GB"/>
        </w:rPr>
        <w:t>Suppliers must indicate Lot selection in the Mandatory Questionnaire.</w:t>
      </w:r>
    </w:p>
    <w:p w14:paraId="20B6FADE" w14:textId="374270C2" w:rsidR="00050F57" w:rsidRDefault="00050F57" w:rsidP="00050F57">
      <w:pPr>
        <w:rPr>
          <w:lang w:eastAsia="en-GB"/>
        </w:rPr>
      </w:pPr>
      <w:r>
        <w:rPr>
          <w:lang w:eastAsia="en-GB"/>
        </w:rPr>
        <w:t>Each Lot will be evaluated independently and awarded separately.</w:t>
      </w:r>
    </w:p>
    <w:p w14:paraId="29EF2C52" w14:textId="77777777" w:rsidR="00050F57" w:rsidRDefault="00050F57" w:rsidP="00050F57">
      <w:pPr>
        <w:rPr>
          <w:lang w:eastAsia="en-GB"/>
        </w:rPr>
      </w:pPr>
      <w:r>
        <w:rPr>
          <w:lang w:eastAsia="en-GB"/>
        </w:rPr>
        <w:t xml:space="preserve">A maximum of three suppliers may be appointed per Lot based on highest scoring submissions. </w:t>
      </w:r>
    </w:p>
    <w:p w14:paraId="78B394D9" w14:textId="46C5B64B" w:rsidR="00050F57" w:rsidRPr="00050F57" w:rsidRDefault="00050F57" w:rsidP="00050F57">
      <w:pPr>
        <w:rPr>
          <w:lang w:eastAsia="en-GB"/>
        </w:rPr>
      </w:pPr>
      <w:r>
        <w:rPr>
          <w:lang w:eastAsia="en-GB"/>
        </w:rPr>
        <w:t>In the event of tied scores, all suppliers in the tied position will be appointed.</w:t>
      </w:r>
    </w:p>
    <w:p w14:paraId="0DF64CC1" w14:textId="4613DC0A" w:rsidR="00050F57" w:rsidRDefault="00050F57" w:rsidP="00050F57">
      <w:pPr>
        <w:pStyle w:val="Heading2"/>
      </w:pPr>
      <w:bookmarkStart w:id="6" w:name="_Toc233962844"/>
      <w:r>
        <w:t>Call-off Arrangements</w:t>
      </w:r>
      <w:bookmarkEnd w:id="6"/>
    </w:p>
    <w:p w14:paraId="541F25ED" w14:textId="01E6DBA3" w:rsidR="00050F57" w:rsidRDefault="00050F57" w:rsidP="003C1A07">
      <w:pPr>
        <w:spacing w:line="240" w:lineRule="auto"/>
      </w:pPr>
      <w:r>
        <w:t>Call-off arrangements may be awarded via</w:t>
      </w:r>
    </w:p>
    <w:p w14:paraId="57E7FAC4" w14:textId="1D8FC6B1" w:rsidR="00050F57" w:rsidRDefault="00050F57" w:rsidP="000C6D2B">
      <w:pPr>
        <w:pStyle w:val="ListParagraph"/>
        <w:numPr>
          <w:ilvl w:val="0"/>
          <w:numId w:val="7"/>
        </w:numPr>
        <w:spacing w:line="240" w:lineRule="auto"/>
      </w:pPr>
      <w:r>
        <w:t>Direct Award.</w:t>
      </w:r>
    </w:p>
    <w:p w14:paraId="30CDE436" w14:textId="5F9364F9" w:rsidR="00050F57" w:rsidRDefault="00050F57" w:rsidP="000C6D2B">
      <w:pPr>
        <w:pStyle w:val="ListParagraph"/>
        <w:numPr>
          <w:ilvl w:val="0"/>
          <w:numId w:val="7"/>
        </w:numPr>
        <w:spacing w:line="240" w:lineRule="auto"/>
      </w:pPr>
      <w:r>
        <w:t>Further Competition.</w:t>
      </w:r>
    </w:p>
    <w:p w14:paraId="3703D9D9" w14:textId="28A09025" w:rsidR="00050F57" w:rsidRDefault="00050F57" w:rsidP="000C6D2B">
      <w:pPr>
        <w:pStyle w:val="ListParagraph"/>
        <w:numPr>
          <w:ilvl w:val="0"/>
          <w:numId w:val="7"/>
        </w:numPr>
        <w:spacing w:line="240" w:lineRule="auto"/>
      </w:pPr>
      <w:r>
        <w:t>Desktop Evaluation.</w:t>
      </w:r>
    </w:p>
    <w:p w14:paraId="43E6EB66" w14:textId="77777777" w:rsidR="00050F57" w:rsidRDefault="00050F57" w:rsidP="003C1A07">
      <w:pPr>
        <w:spacing w:line="240" w:lineRule="auto"/>
      </w:pPr>
    </w:p>
    <w:p w14:paraId="16D8EDF9" w14:textId="77777777" w:rsidR="00050F57" w:rsidRPr="003C1A07" w:rsidRDefault="00050F57" w:rsidP="003C1A07">
      <w:pPr>
        <w:spacing w:line="240" w:lineRule="auto"/>
      </w:pPr>
    </w:p>
    <w:p w14:paraId="3EB8575A" w14:textId="77777777" w:rsidR="00A81EF1" w:rsidRDefault="00A81EF1" w:rsidP="00233CBA"/>
    <w:p w14:paraId="3B802B4A" w14:textId="77777777" w:rsidR="00050F57" w:rsidRPr="00050F57" w:rsidRDefault="00050F57" w:rsidP="0088474F"/>
    <w:p w14:paraId="178A3502" w14:textId="7ED8FE2C" w:rsidR="00050F57" w:rsidRDefault="00050F57" w:rsidP="00B72995">
      <w:pPr>
        <w:pStyle w:val="Level1"/>
        <w:ind w:firstLine="0"/>
        <w:rPr>
          <w:highlight w:val="yellow"/>
        </w:rPr>
      </w:pPr>
      <w:bookmarkStart w:id="7" w:name="_Toc367387507"/>
      <w:bookmarkStart w:id="8" w:name="_Toc367387688"/>
      <w:bookmarkEnd w:id="7"/>
      <w:bookmarkEnd w:id="8"/>
    </w:p>
    <w:p w14:paraId="659BDD6F" w14:textId="77777777" w:rsidR="00050F57" w:rsidRDefault="00050F57">
      <w:pPr>
        <w:jc w:val="left"/>
        <w:rPr>
          <w:rFonts w:ascii="Calibri" w:eastAsia="Times New Roman" w:hAnsi="Calibri" w:cs="Calibri"/>
          <w:bCs/>
          <w:highlight w:val="yellow"/>
        </w:rPr>
      </w:pPr>
      <w:r>
        <w:rPr>
          <w:highlight w:val="yellow"/>
        </w:rPr>
        <w:br w:type="page"/>
      </w:r>
    </w:p>
    <w:p w14:paraId="04E0BE8B" w14:textId="654A17F2" w:rsidR="003931A5" w:rsidRPr="003931A5" w:rsidRDefault="003931A5" w:rsidP="003931A5">
      <w:pPr>
        <w:pStyle w:val="Heading1"/>
        <w:rPr>
          <w:rFonts w:eastAsia="Times New Roman"/>
          <w:lang w:eastAsia="en-GB"/>
        </w:rPr>
      </w:pPr>
      <w:bookmarkStart w:id="9" w:name="_Toc233962845"/>
      <w:r>
        <w:rPr>
          <w:rFonts w:eastAsia="Times New Roman"/>
          <w:lang w:eastAsia="en-GB"/>
        </w:rPr>
        <w:lastRenderedPageBreak/>
        <w:t>Lot Structure</w:t>
      </w:r>
      <w:bookmarkEnd w:id="9"/>
      <w:r>
        <w:rPr>
          <w:rFonts w:eastAsia="Times New Roman"/>
          <w:lang w:eastAsia="en-GB"/>
        </w:rPr>
        <w:t xml:space="preserve">  </w:t>
      </w:r>
    </w:p>
    <w:p w14:paraId="085C88F3" w14:textId="77777777" w:rsidR="00050F57" w:rsidRDefault="00050F57">
      <w:pPr>
        <w:jc w:val="left"/>
        <w:rPr>
          <w:rFonts w:cstheme="minorHAnsi"/>
        </w:rPr>
      </w:pPr>
      <w:r>
        <w:rPr>
          <w:rFonts w:cstheme="minorHAnsi"/>
        </w:rPr>
        <w:t>This opportunity has been divided into the following Lots:</w:t>
      </w:r>
    </w:p>
    <w:p w14:paraId="5E57727F" w14:textId="77777777" w:rsidR="00050F57" w:rsidRDefault="00050F57" w:rsidP="00B72995">
      <w:pPr>
        <w:pStyle w:val="Heading2"/>
      </w:pPr>
      <w:bookmarkStart w:id="10" w:name="_Toc233962846"/>
      <w:r>
        <w:t>Lot 1. Welding and Engineering Consumables</w:t>
      </w:r>
      <w:bookmarkEnd w:id="10"/>
    </w:p>
    <w:p w14:paraId="7C6F6B68" w14:textId="49328DEF" w:rsidR="00050F57" w:rsidRDefault="00050F57" w:rsidP="00B72995">
      <w:pPr>
        <w:rPr>
          <w:lang w:eastAsia="en-GB"/>
        </w:rPr>
      </w:pPr>
      <w:r>
        <w:rPr>
          <w:lang w:eastAsia="en-GB"/>
        </w:rPr>
        <w:t>This Lot covers the supply of welding tools, welding consumables, torches, regulators, hoses, electrodes, filler wires, welding accessories, plasma consumables, welding cables, and associated engineering consumables.</w:t>
      </w:r>
    </w:p>
    <w:p w14:paraId="034309CF" w14:textId="7D28DD20" w:rsidR="00484FCF" w:rsidRDefault="00484FCF" w:rsidP="00C45824">
      <w:pPr>
        <w:pStyle w:val="Heading3"/>
      </w:pPr>
      <w:bookmarkStart w:id="11" w:name="_Toc233962847"/>
      <w:r>
        <w:t>Welding Consumables (Technical Requirement)</w:t>
      </w:r>
      <w:bookmarkEnd w:id="11"/>
    </w:p>
    <w:p w14:paraId="3A9173AE" w14:textId="77777777" w:rsidR="00484FCF" w:rsidRDefault="00484FCF" w:rsidP="00484FCF">
      <w:pPr>
        <w:rPr>
          <w:lang w:eastAsia="en-GB"/>
        </w:rPr>
      </w:pPr>
      <w:r>
        <w:rPr>
          <w:lang w:eastAsia="en-GB"/>
        </w:rPr>
        <w:t>All welding consumables supplied under this Lot shall:</w:t>
      </w:r>
    </w:p>
    <w:p w14:paraId="68AC5D37" w14:textId="77777777" w:rsidR="00484FCF" w:rsidRDefault="00484FCF" w:rsidP="000C6D2B">
      <w:pPr>
        <w:pStyle w:val="ListParagraph"/>
        <w:numPr>
          <w:ilvl w:val="0"/>
          <w:numId w:val="8"/>
        </w:numPr>
        <w:rPr>
          <w:lang w:eastAsia="en-GB"/>
        </w:rPr>
      </w:pPr>
      <w:r>
        <w:rPr>
          <w:lang w:eastAsia="en-GB"/>
        </w:rPr>
        <w:t>Be supplied in original manufacturer packaging.</w:t>
      </w:r>
    </w:p>
    <w:p w14:paraId="3780EBC3" w14:textId="77777777" w:rsidR="00484FCF" w:rsidRDefault="00484FCF" w:rsidP="000C6D2B">
      <w:pPr>
        <w:pStyle w:val="ListParagraph"/>
        <w:numPr>
          <w:ilvl w:val="0"/>
          <w:numId w:val="8"/>
        </w:numPr>
        <w:rPr>
          <w:lang w:eastAsia="en-GB"/>
        </w:rPr>
      </w:pPr>
      <w:r>
        <w:rPr>
          <w:lang w:eastAsia="en-GB"/>
        </w:rPr>
        <w:t>Include batch traceability identification.</w:t>
      </w:r>
    </w:p>
    <w:p w14:paraId="6A902ED4" w14:textId="67E15714" w:rsidR="00050F57" w:rsidRPr="00C45824" w:rsidRDefault="00484FCF" w:rsidP="000C6D2B">
      <w:pPr>
        <w:pStyle w:val="ListParagraph"/>
        <w:numPr>
          <w:ilvl w:val="0"/>
          <w:numId w:val="8"/>
        </w:numPr>
      </w:pPr>
      <w:r>
        <w:rPr>
          <w:lang w:eastAsia="en-GB"/>
        </w:rPr>
        <w:t>Be supported by certificates of conformity upon request.</w:t>
      </w:r>
    </w:p>
    <w:p w14:paraId="3FE2CB55" w14:textId="77777777" w:rsidR="00050F57" w:rsidRDefault="00050F57" w:rsidP="00B72995">
      <w:pPr>
        <w:pStyle w:val="Heading2"/>
      </w:pPr>
      <w:bookmarkStart w:id="12" w:name="_Toc233962848"/>
      <w:r>
        <w:t>Lot 2. Hand Tools and Power Tool Accessories</w:t>
      </w:r>
      <w:bookmarkEnd w:id="12"/>
    </w:p>
    <w:p w14:paraId="55091002" w14:textId="08D43663" w:rsidR="00484FCF" w:rsidRDefault="00484FCF" w:rsidP="00B72995">
      <w:pPr>
        <w:rPr>
          <w:lang w:eastAsia="en-GB"/>
        </w:rPr>
      </w:pPr>
      <w:r>
        <w:rPr>
          <w:lang w:eastAsia="en-GB"/>
        </w:rPr>
        <w:t>This Lot covers the supply of hand tools, measuring and marking equipment, cutting tools, drill bits, taps and dies, saw blades, broach cutters, grinding wheels, and general power tool accessories used within engineering workshop environments.</w:t>
      </w:r>
    </w:p>
    <w:p w14:paraId="6EDD1373" w14:textId="58CBB7AF" w:rsidR="00484FCF" w:rsidRPr="00484FCF" w:rsidRDefault="00484FCF" w:rsidP="00C45824">
      <w:pPr>
        <w:pStyle w:val="Heading3"/>
      </w:pPr>
      <w:bookmarkStart w:id="13" w:name="_Toc233962849"/>
      <w:r>
        <w:t>Hand Tools and Power Tool Accessories</w:t>
      </w:r>
      <w:bookmarkEnd w:id="13"/>
    </w:p>
    <w:p w14:paraId="32401951" w14:textId="77777777" w:rsidR="00484FCF" w:rsidRPr="00484FCF" w:rsidRDefault="00484FCF" w:rsidP="00484FCF">
      <w:pPr>
        <w:rPr>
          <w:lang w:eastAsia="en-GB"/>
        </w:rPr>
      </w:pPr>
      <w:r>
        <w:rPr>
          <w:lang w:eastAsia="en-GB"/>
        </w:rPr>
        <w:t>All hand tools and power tool accessories supplied under this Lot shall be covered by the applicable manufacturer’s warranty.</w:t>
      </w:r>
    </w:p>
    <w:p w14:paraId="6017F9B0" w14:textId="77777777" w:rsidR="00484FCF" w:rsidRPr="00484FCF" w:rsidRDefault="00484FCF" w:rsidP="00484FCF">
      <w:pPr>
        <w:rPr>
          <w:lang w:eastAsia="en-GB"/>
        </w:rPr>
      </w:pPr>
      <w:r>
        <w:rPr>
          <w:lang w:eastAsia="en-GB"/>
        </w:rPr>
        <w:t>Where branded products are specified in Appendix A (for example, particular makes of file, square, or measuring tool), such items shall be supplied as specified or as an approved equivalent, subject to prior written agreement.</w:t>
      </w:r>
    </w:p>
    <w:p w14:paraId="7D9C33AA" w14:textId="77777777" w:rsidR="00050F57" w:rsidRDefault="00050F57" w:rsidP="00B72995">
      <w:pPr>
        <w:pStyle w:val="Heading2"/>
      </w:pPr>
      <w:bookmarkStart w:id="14" w:name="_Toc233962850"/>
      <w:r>
        <w:t>Lot 3. Air Plumbing and Gas Equipment</w:t>
      </w:r>
      <w:bookmarkEnd w:id="14"/>
    </w:p>
    <w:p w14:paraId="7CBA6139" w14:textId="75693A71" w:rsidR="00484FCF" w:rsidRPr="00C45824" w:rsidRDefault="00484FCF" w:rsidP="00C45824">
      <w:r>
        <w:rPr>
          <w:lang w:eastAsia="en-GB"/>
        </w:rPr>
        <w:t>This Lot covers the supply of plumbing fittings and accessories, BSP and NPT fittings, air compressors, filter regulators, airline tools, oxy-acetylene and propane regulators, and associated workshop equipment.</w:t>
      </w:r>
    </w:p>
    <w:p w14:paraId="6B807F18" w14:textId="77777777" w:rsidR="00050F57" w:rsidRDefault="00050F57" w:rsidP="00B72995">
      <w:pPr>
        <w:pStyle w:val="Heading2"/>
      </w:pPr>
      <w:bookmarkStart w:id="15" w:name="_Toc233962851"/>
      <w:r>
        <w:t>Lot 4. Workshop Sundries, Fasteners and General Consumables</w:t>
      </w:r>
      <w:bookmarkEnd w:id="15"/>
    </w:p>
    <w:p w14:paraId="29FF89E4" w14:textId="5CDB5531" w:rsidR="00484FCF" w:rsidRPr="00C45824" w:rsidRDefault="00484FCF" w:rsidP="00C45824">
      <w:r>
        <w:rPr>
          <w:lang w:eastAsia="en-GB"/>
        </w:rPr>
        <w:t>This Lot covers the supply of abrasives, grinding products, fasteners (including nuts, bolts, washers, and set screws), markers, brushes, tapes, engineering sundries, and other general workshop consumables.</w:t>
      </w:r>
    </w:p>
    <w:p w14:paraId="612D4DCC" w14:textId="723CA36C" w:rsidR="00484FCF" w:rsidRPr="00C45824" w:rsidRDefault="00050F57" w:rsidP="00B72995">
      <w:pPr>
        <w:pStyle w:val="Heading2"/>
        <w:rPr>
          <w:rFonts w:eastAsia="Times New Roman"/>
        </w:rPr>
      </w:pPr>
      <w:bookmarkStart w:id="16" w:name="_Toc233962852"/>
      <w:r>
        <w:t xml:space="preserve">Lot </w:t>
      </w:r>
      <w:r w:rsidR="00114DBF">
        <w:t>5.</w:t>
      </w:r>
      <w:r>
        <w:t xml:space="preserve"> PPE and Safety Equipment</w:t>
      </w:r>
      <w:bookmarkEnd w:id="16"/>
    </w:p>
    <w:p w14:paraId="3D882DAA" w14:textId="77777777" w:rsidR="00B72995" w:rsidRDefault="00484FCF" w:rsidP="00B72995">
      <w:pPr>
        <w:rPr>
          <w:lang w:eastAsia="en-GB"/>
        </w:rPr>
      </w:pPr>
      <w:r>
        <w:rPr>
          <w:lang w:eastAsia="en-GB"/>
        </w:rPr>
        <w:t>This Lot covers the supply of personal protective equipment (PPE) and safety equipment, including welding gloves, safety glasses, goggles, respirators, ear defenders, coveralls, safety footwear, helmets, and grinding visors.</w:t>
      </w:r>
    </w:p>
    <w:p w14:paraId="5BE4CC31" w14:textId="77777777" w:rsidR="00B72995" w:rsidRPr="00C45824" w:rsidRDefault="00B72995" w:rsidP="00B72995">
      <w:pPr>
        <w:pStyle w:val="Heading3"/>
        <w:rPr>
          <w:rFonts w:eastAsia="Times New Roman"/>
        </w:rPr>
      </w:pPr>
      <w:bookmarkStart w:id="17" w:name="_Toc233962853"/>
      <w:r>
        <w:t>Lot 5, Technical and Regulatory Requirements</w:t>
      </w:r>
      <w:bookmarkEnd w:id="17"/>
    </w:p>
    <w:p w14:paraId="37395D95" w14:textId="5AA3A15F" w:rsidR="00B72995" w:rsidRDefault="00B72995" w:rsidP="00C45824">
      <w:r>
        <w:t>All PPE supplied shall comply with Regulation (EU) 2016/425 on Personal Protective Equipment, as retained in UK law, and shall carry UKCA and/or CE marking as appropriate.</w:t>
      </w:r>
    </w:p>
    <w:p w14:paraId="2EC7F326" w14:textId="3E2C07AC" w:rsidR="00B72995" w:rsidRDefault="00B72995" w:rsidP="00C45824">
      <w:r>
        <w:t>Welding helmets and face shields shall comply with BS EN 175 (eye and face protection during welding and allied processes) and BS EN 379 (auto-darkening filters), where applicable.</w:t>
      </w:r>
    </w:p>
    <w:p w14:paraId="14424F5A" w14:textId="77777777" w:rsidR="00B72995" w:rsidRDefault="00B72995" w:rsidP="00C45824"/>
    <w:p w14:paraId="47C7C05C" w14:textId="78BD6115" w:rsidR="00B72995" w:rsidRDefault="00B72995" w:rsidP="00C45824">
      <w:r>
        <w:lastRenderedPageBreak/>
        <w:t>Welding gloves shall comply with BS EN 12477.</w:t>
      </w:r>
    </w:p>
    <w:p w14:paraId="552B752B" w14:textId="542AB24F" w:rsidR="00B72995" w:rsidRDefault="00B72995" w:rsidP="00C45824">
      <w:r>
        <w:t>Safety eyewear shall comply with BS EN 166.</w:t>
      </w:r>
    </w:p>
    <w:p w14:paraId="7F3AD419" w14:textId="2BACF08F" w:rsidR="00B72995" w:rsidRDefault="00B72995" w:rsidP="00C45824">
      <w:r>
        <w:t>Hearing protection shall comply with BS EN 352.</w:t>
      </w:r>
    </w:p>
    <w:p w14:paraId="0EE7CF5A" w14:textId="0750122C" w:rsidR="00B72995" w:rsidRDefault="00B72995" w:rsidP="00C45824">
      <w:r>
        <w:t>Respiratory protective equipment shall comply with BS EN 149 (filtering half masks) or BS EN 405, as applicable to the product type.</w:t>
      </w:r>
    </w:p>
    <w:p w14:paraId="6E0A645E" w14:textId="137FA73D" w:rsidR="00B72995" w:rsidRDefault="00B72995" w:rsidP="00C45824">
      <w:r>
        <w:t>Safety footwear shall comply with BS EN ISO 20345.</w:t>
      </w:r>
    </w:p>
    <w:p w14:paraId="1FB95E97" w14:textId="7BFFC842" w:rsidR="00B72995" w:rsidRDefault="00B72995" w:rsidP="00C45824">
      <w:r>
        <w:t>Flame-retardant coveralls supplied for welding applications shall comply with BS EN ISO 11611 and/or BS EN ISO 11612, as applicable.</w:t>
      </w:r>
    </w:p>
    <w:p w14:paraId="2CFFF05C" w14:textId="6947DB6C" w:rsidR="00050F57" w:rsidRDefault="00B72995" w:rsidP="00C45824">
      <w:pPr>
        <w:rPr>
          <w:rFonts w:eastAsia="Times New Roman"/>
        </w:rPr>
      </w:pPr>
      <w:r>
        <w:t>The Supplier shall provide manufacturer’s declarations of conformity and instructions for use for any PPE upon request.</w:t>
      </w:r>
      <w:r>
        <w:br w:type="page"/>
      </w:r>
    </w:p>
    <w:p w14:paraId="5A05D0C0" w14:textId="313D3091" w:rsidR="00A166AA" w:rsidRDefault="00A166AA" w:rsidP="00A166AA">
      <w:pPr>
        <w:pStyle w:val="Heading1"/>
        <w:rPr>
          <w:rFonts w:eastAsia="Arial"/>
        </w:rPr>
      </w:pPr>
      <w:bookmarkStart w:id="18" w:name="_Toc233962854"/>
      <w:r>
        <w:rPr>
          <w:rFonts w:eastAsia="Arial"/>
        </w:rPr>
        <w:lastRenderedPageBreak/>
        <w:t>Quality and Technical Standards</w:t>
      </w:r>
      <w:bookmarkEnd w:id="18"/>
    </w:p>
    <w:p w14:paraId="2C26391B" w14:textId="0ED80A10" w:rsidR="00A166AA" w:rsidRDefault="00A166AA" w:rsidP="00A166AA">
      <w:pPr>
        <w:pStyle w:val="Heading2"/>
        <w:rPr>
          <w:rFonts w:eastAsia="Arial"/>
        </w:rPr>
      </w:pPr>
      <w:r>
        <w:rPr>
          <w:rFonts w:eastAsia="Arial"/>
        </w:rPr>
        <w:t xml:space="preserve"> </w:t>
      </w:r>
      <w:bookmarkStart w:id="19" w:name="_Toc233962855"/>
      <w:r>
        <w:rPr>
          <w:rFonts w:eastAsia="Arial"/>
        </w:rPr>
        <w:t>General</w:t>
      </w:r>
      <w:bookmarkEnd w:id="19"/>
    </w:p>
    <w:p w14:paraId="5169951A" w14:textId="77777777" w:rsidR="00A166AA" w:rsidRDefault="00A166AA" w:rsidP="00095640">
      <w:pPr>
        <w:rPr>
          <w:rFonts w:eastAsia="Arial"/>
        </w:rPr>
      </w:pPr>
      <w:r>
        <w:t>All goods supplied under the contract shall be new, of merchantable quality, fit for the purpose for which they are commonly used in engineering training and industrial applications, and shall comply with all applicable British, European and international standards in force at the date of supply.</w:t>
      </w:r>
    </w:p>
    <w:p w14:paraId="5A89ED8C" w14:textId="0DA7511F" w:rsidR="00A166AA" w:rsidRDefault="00A166AA" w:rsidP="00A166AA">
      <w:pPr>
        <w:pStyle w:val="Heading2"/>
        <w:rPr>
          <w:rFonts w:eastAsia="Arial"/>
        </w:rPr>
      </w:pPr>
      <w:bookmarkStart w:id="20" w:name="_Toc233962856"/>
      <w:r>
        <w:rPr>
          <w:rFonts w:eastAsia="Arial"/>
        </w:rPr>
        <w:t>Welding consumables and equipment</w:t>
      </w:r>
      <w:bookmarkEnd w:id="20"/>
    </w:p>
    <w:p w14:paraId="786AEB4C" w14:textId="77777777" w:rsidR="00A166AA" w:rsidRDefault="00A166AA" w:rsidP="00095640">
      <w:pPr>
        <w:rPr>
          <w:rFonts w:eastAsia="Arial"/>
        </w:rPr>
      </w:pPr>
      <w:r>
        <w:t>Welding consumables (filler wires, rods, electrodes, fluxes) shall be supplied in their original manufacturer's packaging, with batch identification clearly marked. The supplier shall be able to provide manufacturer's certificates of conformity or equivalent traceability documentation on reasonable request.</w:t>
      </w:r>
    </w:p>
    <w:p w14:paraId="3B579C0C" w14:textId="18A2260A" w:rsidR="007C1734" w:rsidRDefault="007C1734" w:rsidP="007C1734">
      <w:pPr>
        <w:pStyle w:val="Heading1"/>
        <w:rPr>
          <w:rFonts w:eastAsia="Arial"/>
        </w:rPr>
      </w:pPr>
      <w:bookmarkStart w:id="21" w:name="_Toc233962857"/>
      <w:r>
        <w:rPr>
          <w:rFonts w:eastAsia="Arial"/>
        </w:rPr>
        <w:t>Returns, Warranty and Defective Goods</w:t>
      </w:r>
      <w:bookmarkEnd w:id="21"/>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4"/>
        <w:gridCol w:w="8322"/>
      </w:tblGrid>
      <w:tr w:rsidR="007C1734" w14:paraId="17151795" w14:textId="77777777" w:rsidTr="0088474F">
        <w:trPr>
          <w:tblHeader/>
        </w:trPr>
        <w:tc>
          <w:tcPr>
            <w:tcW w:w="704"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hideMark/>
          </w:tcPr>
          <w:p w14:paraId="2B0A3F3E" w14:textId="77777777" w:rsidR="007C1734" w:rsidRDefault="007C1734">
            <w:pPr>
              <w:rPr>
                <w:rFonts w:eastAsia="Arial"/>
              </w:rPr>
            </w:pPr>
            <w:r>
              <w:rPr>
                <w:b/>
                <w:bCs/>
                <w:color w:val="FFFFFF"/>
                <w:sz w:val="20"/>
                <w:szCs w:val="20"/>
              </w:rPr>
              <w:t>Ref</w:t>
            </w:r>
          </w:p>
        </w:tc>
        <w:tc>
          <w:tcPr>
            <w:tcW w:w="8322"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hideMark/>
          </w:tcPr>
          <w:p w14:paraId="432900EB" w14:textId="77777777" w:rsidR="007C1734" w:rsidRDefault="007C1734">
            <w:r>
              <w:rPr>
                <w:b/>
                <w:bCs/>
                <w:color w:val="FFFFFF"/>
                <w:sz w:val="20"/>
                <w:szCs w:val="20"/>
              </w:rPr>
              <w:t>Requirement</w:t>
            </w:r>
          </w:p>
        </w:tc>
      </w:tr>
      <w:tr w:rsidR="007C1734" w14:paraId="0EE162E5" w14:textId="77777777" w:rsidTr="0088474F">
        <w:tc>
          <w:tcPr>
            <w:tcW w:w="704"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1F366B4C" w14:textId="748CEE08" w:rsidR="007C1734" w:rsidRPr="0088474F" w:rsidRDefault="0088474F">
            <w:pPr>
              <w:rPr>
                <w:sz w:val="20"/>
                <w:szCs w:val="20"/>
              </w:rPr>
            </w:pPr>
            <w:r w:rsidRPr="0088474F">
              <w:rPr>
                <w:sz w:val="20"/>
                <w:szCs w:val="20"/>
              </w:rPr>
              <w:t>7.1</w:t>
            </w:r>
          </w:p>
        </w:tc>
        <w:tc>
          <w:tcPr>
            <w:tcW w:w="832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05BF16FC" w14:textId="77777777" w:rsidR="007C1734" w:rsidRDefault="007C1734">
            <w:r>
              <w:rPr>
                <w:sz w:val="20"/>
                <w:szCs w:val="20"/>
              </w:rPr>
              <w:t>The supplier shall accept the return of any goods supplied that are surplus to requirement, provided the return is requested within twenty-eight (28) days of delivery, the goods are unused and in their original packaging, and the College pays any reasonable return carriage.</w:t>
            </w:r>
          </w:p>
        </w:tc>
      </w:tr>
      <w:tr w:rsidR="007C1734" w14:paraId="61CF63B9" w14:textId="77777777" w:rsidTr="0088474F">
        <w:tc>
          <w:tcPr>
            <w:tcW w:w="704"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779B9825" w14:textId="216D2293" w:rsidR="007C1734" w:rsidRPr="0088474F" w:rsidRDefault="0088474F">
            <w:pPr>
              <w:rPr>
                <w:sz w:val="20"/>
                <w:szCs w:val="20"/>
              </w:rPr>
            </w:pPr>
            <w:r w:rsidRPr="0088474F">
              <w:rPr>
                <w:sz w:val="20"/>
                <w:szCs w:val="20"/>
              </w:rPr>
              <w:t>7.2</w:t>
            </w:r>
          </w:p>
        </w:tc>
        <w:tc>
          <w:tcPr>
            <w:tcW w:w="8322"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2728C30C" w14:textId="77777777" w:rsidR="007C1734" w:rsidRDefault="007C1734">
            <w:r>
              <w:rPr>
                <w:sz w:val="20"/>
                <w:szCs w:val="20"/>
              </w:rPr>
              <w:t>The supplier shall replace at no cost to the College any goods that are defective on arrival, that fail prematurely within the manufacturer's warranty period, or that are not as described in the order.</w:t>
            </w:r>
          </w:p>
        </w:tc>
      </w:tr>
      <w:tr w:rsidR="007C1734" w14:paraId="0CB900BC" w14:textId="77777777" w:rsidTr="0088474F">
        <w:tc>
          <w:tcPr>
            <w:tcW w:w="704"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6C318B2B" w14:textId="549B8075" w:rsidR="007C1734" w:rsidRPr="0088474F" w:rsidRDefault="0088474F">
            <w:pPr>
              <w:rPr>
                <w:sz w:val="20"/>
                <w:szCs w:val="20"/>
              </w:rPr>
            </w:pPr>
            <w:r w:rsidRPr="0088474F">
              <w:rPr>
                <w:sz w:val="20"/>
                <w:szCs w:val="20"/>
              </w:rPr>
              <w:t>7.3</w:t>
            </w:r>
          </w:p>
        </w:tc>
        <w:tc>
          <w:tcPr>
            <w:tcW w:w="832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43B4DE17" w14:textId="77777777" w:rsidR="007C1734" w:rsidRDefault="007C1734">
            <w:r>
              <w:rPr>
                <w:sz w:val="20"/>
                <w:szCs w:val="20"/>
              </w:rPr>
              <w:t>The supplier shall pass through to the College the full benefit of any manufacturer's warranty applicable to goods supplied, and shall act as the College's agent in pursuing warranty claims with the manufacturer where required.</w:t>
            </w:r>
          </w:p>
        </w:tc>
      </w:tr>
      <w:tr w:rsidR="007C1734" w14:paraId="0A0BCDEB" w14:textId="77777777" w:rsidTr="0088474F">
        <w:tc>
          <w:tcPr>
            <w:tcW w:w="704"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305DE0BF" w14:textId="43EA3888" w:rsidR="007C1734" w:rsidRPr="0088474F" w:rsidRDefault="0088474F">
            <w:pPr>
              <w:rPr>
                <w:sz w:val="20"/>
                <w:szCs w:val="20"/>
              </w:rPr>
            </w:pPr>
            <w:r w:rsidRPr="0088474F">
              <w:rPr>
                <w:sz w:val="20"/>
                <w:szCs w:val="20"/>
              </w:rPr>
              <w:t>7.4</w:t>
            </w:r>
          </w:p>
        </w:tc>
        <w:tc>
          <w:tcPr>
            <w:tcW w:w="8322"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1C83DEEC" w14:textId="77777777" w:rsidR="007C1734" w:rsidRDefault="007C1734">
            <w:r>
              <w:rPr>
                <w:sz w:val="20"/>
                <w:szCs w:val="20"/>
              </w:rPr>
              <w:t>All return and warranty claims shall be acknowledged by the supplier within two (2) working days and resolved (whether by replacement, credit or refund) within ten (10) working days, unless otherwise agreed.</w:t>
            </w:r>
          </w:p>
        </w:tc>
      </w:tr>
    </w:tbl>
    <w:p w14:paraId="4445CACB" w14:textId="77777777" w:rsidR="000C5373" w:rsidRDefault="000C5373" w:rsidP="000C5373">
      <w:pPr>
        <w:pStyle w:val="Heading1"/>
        <w:rPr>
          <w:rFonts w:eastAsia="Arial"/>
        </w:rPr>
      </w:pPr>
      <w:bookmarkStart w:id="22" w:name="_Toc233962858"/>
      <w:r>
        <w:rPr>
          <w:rFonts w:eastAsia="Arial"/>
        </w:rPr>
        <w:t>Volumes and Locations</w:t>
      </w:r>
      <w:bookmarkEnd w:id="22"/>
    </w:p>
    <w:p w14:paraId="44819826" w14:textId="06E67656" w:rsidR="000C5373" w:rsidRDefault="000C5373" w:rsidP="000C5373">
      <w:pPr>
        <w:pStyle w:val="Heading2"/>
        <w:rPr>
          <w:rFonts w:eastAsia="Arial"/>
        </w:rPr>
      </w:pPr>
      <w:r>
        <w:rPr>
          <w:rFonts w:eastAsia="Arial"/>
        </w:rPr>
        <w:t xml:space="preserve"> </w:t>
      </w:r>
      <w:bookmarkStart w:id="23" w:name="_Toc233962859"/>
      <w:r>
        <w:rPr>
          <w:rFonts w:eastAsia="Arial"/>
        </w:rPr>
        <w:t>Indicative volumes</w:t>
      </w:r>
      <w:bookmarkEnd w:id="23"/>
    </w:p>
    <w:p w14:paraId="3AB6D1CE" w14:textId="6F7C489B" w:rsidR="000C5373" w:rsidRDefault="000C5373" w:rsidP="000C5373">
      <w:pPr>
        <w:spacing w:after="120" w:line="300" w:lineRule="auto"/>
        <w:rPr>
          <w:rFonts w:eastAsia="Arial"/>
        </w:rPr>
      </w:pPr>
      <w:r>
        <w:t>The estimated annual contract value is in the range of £80,000 to £100,000 ex VAT.  These figures are estimates derived from the College's current-year budget update and historic spend patterns. They are provided in good faith for tender preparation purposes only and do not represent a guaranteed minimum or maximum spend.</w:t>
      </w:r>
    </w:p>
    <w:p w14:paraId="129BAA2C" w14:textId="77777777" w:rsidR="000C5373" w:rsidRDefault="000C5373" w:rsidP="000C5373">
      <w:pPr>
        <w:spacing w:after="120" w:line="300" w:lineRule="auto"/>
      </w:pPr>
      <w:r>
        <w:t>Demand is seasonal and follows the academic year. Volumes typically peak between September and November (start of academic year, induction and equipment refresh), and again in the spring term (March to May). Lower demand is anticipated during the College's summer closure period, although the supplier should expect orders throughout the calendar year.</w:t>
      </w:r>
    </w:p>
    <w:p w14:paraId="3D25AEE4" w14:textId="77777777" w:rsidR="00A81EF1" w:rsidRDefault="00A81EF1" w:rsidP="000C5373">
      <w:pPr>
        <w:spacing w:after="120" w:line="300" w:lineRule="auto"/>
      </w:pPr>
    </w:p>
    <w:p w14:paraId="1A4C15E7" w14:textId="77777777" w:rsidR="00A81EF1" w:rsidRDefault="00A81EF1" w:rsidP="000C5373">
      <w:pPr>
        <w:spacing w:after="120" w:line="300" w:lineRule="auto"/>
      </w:pPr>
    </w:p>
    <w:p w14:paraId="4ADEE62F" w14:textId="18236CE4" w:rsidR="00A81EF1" w:rsidRDefault="0005717E" w:rsidP="0005717E">
      <w:r>
        <w:lastRenderedPageBreak/>
        <w:t xml:space="preserve">There is no guaranteed level of expenditure under this Framework. However, where a Supplier has not received any expenditure during the first two years of the </w:t>
      </w:r>
      <w:r w:rsidR="00E42AC7">
        <w:t>Framework, we reserve</w:t>
      </w:r>
      <w:r>
        <w:t xml:space="preserve"> the right to review their position on the Framework and consider removal where appropriate</w:t>
      </w:r>
    </w:p>
    <w:p w14:paraId="78DC27C2" w14:textId="3A3B9949" w:rsidR="000C5373" w:rsidRDefault="000C5373" w:rsidP="000C5373">
      <w:pPr>
        <w:pStyle w:val="Heading2"/>
        <w:rPr>
          <w:rFonts w:eastAsia="Arial"/>
        </w:rPr>
      </w:pPr>
      <w:bookmarkStart w:id="24" w:name="_Toc233962860"/>
      <w:r>
        <w:rPr>
          <w:rFonts w:eastAsia="Arial"/>
        </w:rPr>
        <w:t>Delivery location</w:t>
      </w:r>
      <w:bookmarkEnd w:id="24"/>
    </w:p>
    <w:p w14:paraId="30EE2C26" w14:textId="77777777" w:rsidR="000C5373" w:rsidRDefault="000C5373" w:rsidP="000C5373">
      <w:pPr>
        <w:spacing w:after="120" w:line="300" w:lineRule="auto"/>
        <w:rPr>
          <w:rFonts w:eastAsia="Arial"/>
        </w:rPr>
      </w:pPr>
      <w:r>
        <w:t>All deliveries are to be made to:</w:t>
      </w:r>
    </w:p>
    <w:p w14:paraId="3C206C38" w14:textId="77777777" w:rsidR="000C5373" w:rsidRDefault="000C5373" w:rsidP="000C5373">
      <w:pPr>
        <w:spacing w:after="120" w:line="300" w:lineRule="auto"/>
      </w:pPr>
      <w:r>
        <w:rPr>
          <w:i/>
          <w:iCs/>
        </w:rPr>
        <w:t>Pembrokeshire College, Goods Receipt, Merlins Bridge, Haverfordwest, Pembrokeshire, SA61 1SZ.</w:t>
      </w:r>
    </w:p>
    <w:p w14:paraId="44A82FC9" w14:textId="77777777" w:rsidR="0088474F" w:rsidRDefault="000C5373" w:rsidP="000C5373">
      <w:pPr>
        <w:spacing w:after="120" w:line="300" w:lineRule="auto"/>
      </w:pPr>
      <w:r>
        <w:t>The Engineering Curriculum Area's principal teaching spaces, including the G1.20 Machine Shop and associated welding, fabrication and Motor Vehicle workshops, are located on the main College site.</w:t>
      </w:r>
    </w:p>
    <w:p w14:paraId="42E485F2" w14:textId="3A428104" w:rsidR="000C5373" w:rsidRDefault="000C5373" w:rsidP="000C5373">
      <w:pPr>
        <w:spacing w:after="120" w:line="300" w:lineRule="auto"/>
      </w:pPr>
      <w:r>
        <w:t xml:space="preserve">The supplier is not expected to deliver direct to individual workshops; however, deliveries should be clearly labelled with the requisitioner's name and department to enable internal distribution by </w:t>
      </w:r>
      <w:r w:rsidR="00E42AC7">
        <w:t>college</w:t>
      </w:r>
      <w:r>
        <w:t xml:space="preserve"> staff.</w:t>
      </w:r>
    </w:p>
    <w:p w14:paraId="6F53B8ED" w14:textId="77777777" w:rsidR="008428EA" w:rsidRPr="008428EA" w:rsidRDefault="008428EA" w:rsidP="008428EA">
      <w:pPr>
        <w:rPr>
          <w:rFonts w:eastAsia="Arial" w:cstheme="minorHAnsi"/>
          <w:b/>
          <w:bCs/>
          <w:sz w:val="24"/>
          <w:szCs w:val="24"/>
        </w:rPr>
      </w:pPr>
      <w:r w:rsidRPr="008428EA">
        <w:t>If other organisations choose to use the framework, the successful supplier(s) will be contacted to set up the new organisation(s), including any additional delivery addresses and account details required.</w:t>
      </w:r>
    </w:p>
    <w:p w14:paraId="75697846" w14:textId="37205B1A" w:rsidR="000C5373" w:rsidRDefault="000C5373" w:rsidP="000C5373">
      <w:pPr>
        <w:pStyle w:val="Heading1"/>
        <w:rPr>
          <w:rFonts w:eastAsia="Arial"/>
        </w:rPr>
      </w:pPr>
      <w:bookmarkStart w:id="25" w:name="_Toc233962861"/>
      <w:r>
        <w:rPr>
          <w:rFonts w:eastAsia="Arial"/>
        </w:rPr>
        <w:t>Ordering</w:t>
      </w:r>
      <w:bookmarkEnd w:id="25"/>
    </w:p>
    <w:p w14:paraId="6A380213" w14:textId="250519E3" w:rsidR="000C5373" w:rsidRDefault="0005717E" w:rsidP="000C5373">
      <w:pPr>
        <w:pStyle w:val="Heading2"/>
        <w:rPr>
          <w:rFonts w:eastAsia="Arial"/>
        </w:rPr>
      </w:pPr>
      <w:bookmarkStart w:id="26" w:name="_Toc233962862"/>
      <w:r>
        <w:t>Individuals Authorised to Place Orders</w:t>
      </w:r>
      <w:bookmarkEnd w:id="26"/>
    </w:p>
    <w:p w14:paraId="01B47B6E" w14:textId="1E72A71A" w:rsidR="000C5373" w:rsidRDefault="000C5373" w:rsidP="0005717E">
      <w:pPr>
        <w:rPr>
          <w:rFonts w:eastAsia="Arial"/>
        </w:rPr>
      </w:pPr>
      <w:r>
        <w:t xml:space="preserve">Orders will be placed by a small number of authorised members of </w:t>
      </w:r>
      <w:r w:rsidR="000D4504">
        <w:t>college</w:t>
      </w:r>
      <w:r>
        <w:t xml:space="preserve"> staff, principally within the Engineering Curriculum Area and the Finance team. The College will provide the supplier with a list of Individuals Authorised to Place Orders at the start of the contract and will notify the supplier of any subsequent changes within five working days.</w:t>
      </w:r>
    </w:p>
    <w:p w14:paraId="03EFED5A" w14:textId="4B1B9E8B" w:rsidR="000C5373" w:rsidRDefault="000C5373" w:rsidP="000C5373">
      <w:pPr>
        <w:pStyle w:val="Heading2"/>
        <w:rPr>
          <w:rFonts w:eastAsia="Arial"/>
        </w:rPr>
      </w:pPr>
      <w:bookmarkStart w:id="27" w:name="_Toc233962863"/>
      <w:r>
        <w:rPr>
          <w:rFonts w:eastAsia="Arial"/>
        </w:rPr>
        <w:t>Order routes</w:t>
      </w:r>
      <w:bookmarkEnd w:id="27"/>
    </w:p>
    <w:p w14:paraId="267146A1" w14:textId="77777777" w:rsidR="000C5373" w:rsidRDefault="000C5373" w:rsidP="000C5373">
      <w:pPr>
        <w:spacing w:after="120" w:line="300" w:lineRule="auto"/>
        <w:rPr>
          <w:rFonts w:eastAsia="Arial"/>
        </w:rPr>
      </w:pPr>
      <w:r>
        <w:t>The supplier must be able to accept orders by at least the following routes:</w:t>
      </w:r>
    </w:p>
    <w:p w14:paraId="62AF4A0C" w14:textId="77777777" w:rsidR="000C5373" w:rsidRDefault="000C5373" w:rsidP="000C6D2B">
      <w:pPr>
        <w:pStyle w:val="ListParagraph"/>
        <w:numPr>
          <w:ilvl w:val="0"/>
          <w:numId w:val="2"/>
        </w:numPr>
        <w:spacing w:after="80" w:line="278" w:lineRule="auto"/>
        <w:contextualSpacing w:val="0"/>
      </w:pPr>
      <w:r>
        <w:t>By email to a designated supplier email address, with PDF or written purchase order attached.</w:t>
      </w:r>
    </w:p>
    <w:p w14:paraId="79B88875" w14:textId="77777777" w:rsidR="000C5373" w:rsidRDefault="000C5373" w:rsidP="000C6D2B">
      <w:pPr>
        <w:pStyle w:val="ListParagraph"/>
        <w:numPr>
          <w:ilvl w:val="0"/>
          <w:numId w:val="2"/>
        </w:numPr>
        <w:spacing w:after="80" w:line="278" w:lineRule="auto"/>
        <w:contextualSpacing w:val="0"/>
      </w:pPr>
      <w:r>
        <w:t>By telephone, with the supplier providing written acknowledgement (by email) of any telephone order before despatch.</w:t>
      </w:r>
    </w:p>
    <w:p w14:paraId="3757EDC9" w14:textId="77777777" w:rsidR="000C5373" w:rsidRDefault="000C5373" w:rsidP="000C6D2B">
      <w:pPr>
        <w:pStyle w:val="ListParagraph"/>
        <w:numPr>
          <w:ilvl w:val="0"/>
          <w:numId w:val="2"/>
        </w:numPr>
        <w:spacing w:after="80" w:line="278" w:lineRule="auto"/>
        <w:contextualSpacing w:val="0"/>
      </w:pPr>
      <w:r>
        <w:t>Through the supplier's online ordering portal or trade account, where one is provided. Suppliers offering an online portal are asked to describe its functionality in their tender response (search, basket management, saved lists, order history, MI export and user-level permissions).</w:t>
      </w:r>
    </w:p>
    <w:p w14:paraId="434A0678" w14:textId="0B04A49E" w:rsidR="000C5373" w:rsidRDefault="000C5373" w:rsidP="000C5373">
      <w:pPr>
        <w:pStyle w:val="Heading2"/>
        <w:rPr>
          <w:rFonts w:eastAsia="Arial"/>
        </w:rPr>
      </w:pPr>
      <w:bookmarkStart w:id="28" w:name="_Toc233962864"/>
      <w:r>
        <w:rPr>
          <w:rFonts w:eastAsia="Arial"/>
        </w:rPr>
        <w:t>Order acknowledgement and confirmation</w:t>
      </w:r>
      <w:bookmarkEnd w:id="28"/>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7826"/>
      </w:tblGrid>
      <w:tr w:rsidR="000C5373" w14:paraId="1797D614" w14:textId="77777777" w:rsidTr="000C5373">
        <w:trPr>
          <w:tblHeader/>
        </w:trPr>
        <w:tc>
          <w:tcPr>
            <w:tcW w:w="1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hideMark/>
          </w:tcPr>
          <w:p w14:paraId="09E70A41" w14:textId="77777777" w:rsidR="000C5373" w:rsidRDefault="000C5373">
            <w:pPr>
              <w:rPr>
                <w:rFonts w:eastAsia="Arial"/>
              </w:rPr>
            </w:pPr>
            <w:r>
              <w:rPr>
                <w:b/>
                <w:bCs/>
                <w:color w:val="FFFFFF"/>
                <w:sz w:val="20"/>
                <w:szCs w:val="20"/>
              </w:rPr>
              <w:t>Ref</w:t>
            </w:r>
          </w:p>
        </w:tc>
        <w:tc>
          <w:tcPr>
            <w:tcW w:w="7826"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hideMark/>
          </w:tcPr>
          <w:p w14:paraId="7F811F39" w14:textId="77777777" w:rsidR="000C5373" w:rsidRDefault="000C5373">
            <w:r>
              <w:rPr>
                <w:b/>
                <w:bCs/>
                <w:color w:val="FFFFFF"/>
                <w:sz w:val="20"/>
                <w:szCs w:val="20"/>
              </w:rPr>
              <w:t>Requirement</w:t>
            </w:r>
          </w:p>
        </w:tc>
      </w:tr>
      <w:tr w:rsidR="000C5373" w14:paraId="6F8B6F40" w14:textId="77777777" w:rsidTr="000C5373">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36FC8739" w14:textId="0A0EFBFF" w:rsidR="000C5373" w:rsidRPr="0088474F" w:rsidRDefault="0088474F">
            <w:pPr>
              <w:rPr>
                <w:sz w:val="20"/>
                <w:szCs w:val="20"/>
              </w:rPr>
            </w:pPr>
            <w:r w:rsidRPr="0088474F">
              <w:rPr>
                <w:sz w:val="20"/>
                <w:szCs w:val="20"/>
              </w:rPr>
              <w:t>9.3.1</w:t>
            </w:r>
          </w:p>
        </w:tc>
        <w:tc>
          <w:tcPr>
            <w:tcW w:w="7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10DC53E7" w14:textId="77777777" w:rsidR="000C5373" w:rsidRPr="0088474F" w:rsidRDefault="000C5373">
            <w:pPr>
              <w:rPr>
                <w:sz w:val="20"/>
                <w:szCs w:val="20"/>
              </w:rPr>
            </w:pPr>
            <w:r w:rsidRPr="0088474F">
              <w:rPr>
                <w:sz w:val="20"/>
                <w:szCs w:val="20"/>
              </w:rPr>
              <w:t>The supplier shall acknowledge receipt of all orders within one (1) working day of receipt.</w:t>
            </w:r>
          </w:p>
        </w:tc>
      </w:tr>
      <w:tr w:rsidR="000C5373" w14:paraId="5ED644D5" w14:textId="77777777" w:rsidTr="000C5373">
        <w:tc>
          <w:tcPr>
            <w:tcW w:w="1200"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5337DC24" w14:textId="2C387F1B" w:rsidR="000C5373" w:rsidRPr="0088474F" w:rsidRDefault="0088474F">
            <w:pPr>
              <w:rPr>
                <w:sz w:val="20"/>
                <w:szCs w:val="20"/>
              </w:rPr>
            </w:pPr>
            <w:r w:rsidRPr="0088474F">
              <w:rPr>
                <w:sz w:val="20"/>
                <w:szCs w:val="20"/>
              </w:rPr>
              <w:t>9.3.2</w:t>
            </w:r>
          </w:p>
        </w:tc>
        <w:tc>
          <w:tcPr>
            <w:tcW w:w="7826"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21052E84" w14:textId="77777777" w:rsidR="000C5373" w:rsidRPr="0088474F" w:rsidRDefault="000C5373">
            <w:pPr>
              <w:rPr>
                <w:sz w:val="20"/>
                <w:szCs w:val="20"/>
              </w:rPr>
            </w:pPr>
            <w:r w:rsidRPr="0088474F">
              <w:rPr>
                <w:sz w:val="20"/>
                <w:szCs w:val="20"/>
              </w:rPr>
              <w:t>The acknowledgement shall confirm prices, expected despatch date and any items not in stock, together with an estimated lead time for any back-ordered items.</w:t>
            </w:r>
          </w:p>
        </w:tc>
      </w:tr>
      <w:tr w:rsidR="000C5373" w14:paraId="42D94744" w14:textId="77777777" w:rsidTr="000C5373">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5D1B9923" w14:textId="7B5698A7" w:rsidR="000C5373" w:rsidRPr="0088474F" w:rsidRDefault="0088474F">
            <w:pPr>
              <w:rPr>
                <w:sz w:val="20"/>
                <w:szCs w:val="20"/>
              </w:rPr>
            </w:pPr>
            <w:r w:rsidRPr="0088474F">
              <w:rPr>
                <w:sz w:val="20"/>
                <w:szCs w:val="20"/>
              </w:rPr>
              <w:lastRenderedPageBreak/>
              <w:t>9.3.3</w:t>
            </w:r>
          </w:p>
        </w:tc>
        <w:tc>
          <w:tcPr>
            <w:tcW w:w="7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06CEB3ED" w14:textId="77777777" w:rsidR="000C5373" w:rsidRPr="0088474F" w:rsidRDefault="000C5373">
            <w:pPr>
              <w:rPr>
                <w:sz w:val="20"/>
                <w:szCs w:val="20"/>
              </w:rPr>
            </w:pPr>
            <w:r w:rsidRPr="0088474F">
              <w:rPr>
                <w:sz w:val="20"/>
                <w:szCs w:val="20"/>
              </w:rPr>
              <w:t>The supplier shall not substitute items without the prior written agreement of the requisitioner. Where a substitution is proposed, the supplier shall confirm the equivalence of the substitute item and any difference in price.</w:t>
            </w:r>
          </w:p>
        </w:tc>
      </w:tr>
      <w:tr w:rsidR="000C5373" w14:paraId="530BA3FE" w14:textId="77777777" w:rsidTr="000C5373">
        <w:tc>
          <w:tcPr>
            <w:tcW w:w="1200"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248FD013" w14:textId="21E176DF" w:rsidR="000C5373" w:rsidRPr="0088474F" w:rsidRDefault="0088474F">
            <w:pPr>
              <w:rPr>
                <w:sz w:val="20"/>
                <w:szCs w:val="20"/>
              </w:rPr>
            </w:pPr>
            <w:r w:rsidRPr="0088474F">
              <w:rPr>
                <w:sz w:val="20"/>
                <w:szCs w:val="20"/>
              </w:rPr>
              <w:t>9.3.4</w:t>
            </w:r>
          </w:p>
        </w:tc>
        <w:tc>
          <w:tcPr>
            <w:tcW w:w="7826"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3C2E309C" w14:textId="16041938" w:rsidR="000C5373" w:rsidRPr="0088474F" w:rsidRDefault="000C5373">
            <w:pPr>
              <w:rPr>
                <w:sz w:val="20"/>
                <w:szCs w:val="20"/>
              </w:rPr>
            </w:pPr>
            <w:r w:rsidRPr="0088474F">
              <w:rPr>
                <w:sz w:val="20"/>
                <w:szCs w:val="20"/>
              </w:rPr>
              <w:t>The supplier shall not increase the unit price of any scheduled item without prior written agreement under the price review mechanism set out in Section 11.</w:t>
            </w:r>
          </w:p>
        </w:tc>
      </w:tr>
    </w:tbl>
    <w:p w14:paraId="009F2084" w14:textId="17BA7B8D" w:rsidR="000C5373" w:rsidRDefault="000C5373" w:rsidP="0005717E">
      <w:pPr>
        <w:pStyle w:val="Heading1"/>
        <w:rPr>
          <w:rFonts w:ascii="Arial" w:eastAsia="Arial" w:hAnsi="Arial" w:cs="Arial"/>
          <w:sz w:val="28"/>
          <w:szCs w:val="28"/>
        </w:rPr>
      </w:pPr>
      <w:bookmarkStart w:id="29" w:name="_Toc233962865"/>
      <w:r>
        <w:rPr>
          <w:rFonts w:eastAsia="Arial"/>
        </w:rPr>
        <w:t>Delivery</w:t>
      </w:r>
      <w:bookmarkEnd w:id="29"/>
    </w:p>
    <w:p w14:paraId="73AF283D" w14:textId="4BE89D44" w:rsidR="000C5373" w:rsidRDefault="000C5373" w:rsidP="000C5373">
      <w:pPr>
        <w:pStyle w:val="Heading2"/>
        <w:rPr>
          <w:rFonts w:eastAsia="Arial"/>
        </w:rPr>
      </w:pPr>
      <w:bookmarkStart w:id="30" w:name="_Toc233962866"/>
      <w:r>
        <w:rPr>
          <w:rFonts w:eastAsia="Arial"/>
        </w:rPr>
        <w:t>Lead times</w:t>
      </w:r>
      <w:bookmarkEnd w:id="30"/>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7826"/>
      </w:tblGrid>
      <w:tr w:rsidR="000C5373" w14:paraId="5F67D360" w14:textId="77777777" w:rsidTr="000C5373">
        <w:trPr>
          <w:tblHeader/>
        </w:trPr>
        <w:tc>
          <w:tcPr>
            <w:tcW w:w="1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hideMark/>
          </w:tcPr>
          <w:p w14:paraId="21A7A685" w14:textId="77777777" w:rsidR="000C5373" w:rsidRDefault="000C5373">
            <w:pPr>
              <w:rPr>
                <w:rFonts w:eastAsia="Arial"/>
              </w:rPr>
            </w:pPr>
            <w:r>
              <w:rPr>
                <w:b/>
                <w:bCs/>
                <w:color w:val="FFFFFF"/>
                <w:sz w:val="20"/>
                <w:szCs w:val="20"/>
              </w:rPr>
              <w:t>Ref</w:t>
            </w:r>
          </w:p>
        </w:tc>
        <w:tc>
          <w:tcPr>
            <w:tcW w:w="7826"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hideMark/>
          </w:tcPr>
          <w:p w14:paraId="37AC1329" w14:textId="77777777" w:rsidR="000C5373" w:rsidRDefault="000C5373">
            <w:r>
              <w:rPr>
                <w:b/>
                <w:bCs/>
                <w:color w:val="FFFFFF"/>
                <w:sz w:val="20"/>
                <w:szCs w:val="20"/>
              </w:rPr>
              <w:t>Requirement</w:t>
            </w:r>
          </w:p>
        </w:tc>
      </w:tr>
      <w:tr w:rsidR="000C5373" w14:paraId="609AD698" w14:textId="77777777" w:rsidTr="000C5373">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2D24EEA8" w14:textId="44F73332" w:rsidR="000C5373" w:rsidRPr="0088474F" w:rsidRDefault="0088474F">
            <w:pPr>
              <w:rPr>
                <w:sz w:val="20"/>
                <w:szCs w:val="20"/>
              </w:rPr>
            </w:pPr>
            <w:r w:rsidRPr="0088474F">
              <w:rPr>
                <w:sz w:val="20"/>
                <w:szCs w:val="20"/>
              </w:rPr>
              <w:t>10.1.1</w:t>
            </w:r>
          </w:p>
        </w:tc>
        <w:tc>
          <w:tcPr>
            <w:tcW w:w="7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7CE46244" w14:textId="77777777" w:rsidR="000C5373" w:rsidRPr="0088474F" w:rsidRDefault="000C5373">
            <w:pPr>
              <w:rPr>
                <w:sz w:val="20"/>
                <w:szCs w:val="20"/>
              </w:rPr>
            </w:pPr>
            <w:r w:rsidRPr="0088474F">
              <w:rPr>
                <w:sz w:val="20"/>
                <w:szCs w:val="20"/>
              </w:rPr>
              <w:t>Standard lead time for stocked items shall be no longer than three (3) working days from order acknowledgement, delivered to the College's goods receipt point.</w:t>
            </w:r>
          </w:p>
        </w:tc>
      </w:tr>
      <w:tr w:rsidR="000C5373" w14:paraId="35B7BBA8" w14:textId="77777777" w:rsidTr="000C5373">
        <w:tc>
          <w:tcPr>
            <w:tcW w:w="1200"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2F2763DB" w14:textId="42E6AB2B" w:rsidR="000C5373" w:rsidRPr="0088474F" w:rsidRDefault="0088474F">
            <w:pPr>
              <w:rPr>
                <w:sz w:val="20"/>
                <w:szCs w:val="20"/>
              </w:rPr>
            </w:pPr>
            <w:r w:rsidRPr="0088474F">
              <w:rPr>
                <w:sz w:val="20"/>
                <w:szCs w:val="20"/>
              </w:rPr>
              <w:t>10.1.2</w:t>
            </w:r>
          </w:p>
        </w:tc>
        <w:tc>
          <w:tcPr>
            <w:tcW w:w="7826"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152E8BD9" w14:textId="77777777" w:rsidR="000C5373" w:rsidRPr="0088474F" w:rsidRDefault="000C5373">
            <w:pPr>
              <w:rPr>
                <w:sz w:val="20"/>
                <w:szCs w:val="20"/>
              </w:rPr>
            </w:pPr>
            <w:r w:rsidRPr="0088474F">
              <w:rPr>
                <w:sz w:val="20"/>
                <w:szCs w:val="20"/>
              </w:rPr>
              <w:t>The supplier shall offer a next-working-day delivery option for urgent orders. The supplier shall set out in their tender response the cost (if any) of next-working-day delivery and any cut-off time for same-day despatch.</w:t>
            </w:r>
          </w:p>
        </w:tc>
      </w:tr>
      <w:tr w:rsidR="000C5373" w14:paraId="7360B3E7" w14:textId="77777777" w:rsidTr="000C5373">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64A6DBDE" w14:textId="1B86FE94" w:rsidR="000C5373" w:rsidRPr="0088474F" w:rsidRDefault="0088474F">
            <w:pPr>
              <w:rPr>
                <w:sz w:val="20"/>
                <w:szCs w:val="20"/>
              </w:rPr>
            </w:pPr>
            <w:r w:rsidRPr="0088474F">
              <w:rPr>
                <w:sz w:val="20"/>
                <w:szCs w:val="20"/>
              </w:rPr>
              <w:t>10.1.3</w:t>
            </w:r>
          </w:p>
        </w:tc>
        <w:tc>
          <w:tcPr>
            <w:tcW w:w="7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704DCA8F" w14:textId="77777777" w:rsidR="000C5373" w:rsidRPr="0088474F" w:rsidRDefault="000C5373">
            <w:pPr>
              <w:rPr>
                <w:sz w:val="20"/>
                <w:szCs w:val="20"/>
              </w:rPr>
            </w:pPr>
            <w:r w:rsidRPr="0088474F">
              <w:rPr>
                <w:sz w:val="20"/>
                <w:szCs w:val="20"/>
              </w:rPr>
              <w:t>Lead times for non-stocked or specially ordered items shall be confirmed at the point of order acknowledgement and shall not exceed ten (10) working days unless otherwise agreed.</w:t>
            </w:r>
          </w:p>
        </w:tc>
      </w:tr>
      <w:tr w:rsidR="000C5373" w14:paraId="1F025B93" w14:textId="77777777" w:rsidTr="000C5373">
        <w:tc>
          <w:tcPr>
            <w:tcW w:w="1200"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5FE28ABE" w14:textId="11702FAC" w:rsidR="000C5373" w:rsidRPr="0088474F" w:rsidRDefault="0088474F">
            <w:pPr>
              <w:rPr>
                <w:sz w:val="20"/>
                <w:szCs w:val="20"/>
              </w:rPr>
            </w:pPr>
            <w:r w:rsidRPr="0088474F">
              <w:rPr>
                <w:sz w:val="20"/>
                <w:szCs w:val="20"/>
              </w:rPr>
              <w:t>10.1.4</w:t>
            </w:r>
          </w:p>
        </w:tc>
        <w:tc>
          <w:tcPr>
            <w:tcW w:w="7826"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10F19589" w14:textId="77777777" w:rsidR="000C5373" w:rsidRPr="0088474F" w:rsidRDefault="000C5373">
            <w:pPr>
              <w:rPr>
                <w:sz w:val="20"/>
                <w:szCs w:val="20"/>
              </w:rPr>
            </w:pPr>
            <w:r w:rsidRPr="0088474F">
              <w:rPr>
                <w:sz w:val="20"/>
                <w:szCs w:val="20"/>
              </w:rPr>
              <w:t>The supplier shall notify the requisitioner promptly of any anticipated delay to a previously confirmed delivery date.</w:t>
            </w:r>
          </w:p>
        </w:tc>
      </w:tr>
    </w:tbl>
    <w:p w14:paraId="387FCFB9" w14:textId="2622CE8B" w:rsidR="000C5373" w:rsidRDefault="000C5373" w:rsidP="000C5373">
      <w:pPr>
        <w:pStyle w:val="Heading2"/>
        <w:rPr>
          <w:rFonts w:ascii="Arial" w:eastAsia="Arial" w:hAnsi="Arial" w:cs="Arial"/>
        </w:rPr>
      </w:pPr>
      <w:bookmarkStart w:id="31" w:name="_Toc233962867"/>
      <w:r>
        <w:rPr>
          <w:rFonts w:eastAsia="Arial"/>
        </w:rPr>
        <w:t>Delivery hours and arrangements</w:t>
      </w:r>
      <w:bookmarkEnd w:id="31"/>
    </w:p>
    <w:p w14:paraId="1A50C453" w14:textId="3F3CB35E" w:rsidR="000C5373" w:rsidRDefault="000C5373" w:rsidP="0005717E">
      <w:r>
        <w:t xml:space="preserve">Deliveries to the College should be made between 08:30 and 16:30, Monday to Friday, excluding public and College closure days. The supplier shall provide a tracking reference or carrier advice note for each despatch. </w:t>
      </w:r>
    </w:p>
    <w:p w14:paraId="6AEBEC37" w14:textId="0E10554D" w:rsidR="00366D01" w:rsidRDefault="00366D01" w:rsidP="0005717E">
      <w:pPr>
        <w:rPr>
          <w:rFonts w:eastAsia="Arial"/>
        </w:rPr>
      </w:pPr>
      <w:r>
        <w:rPr>
          <w:rFonts w:eastAsia="Arial"/>
        </w:rPr>
        <w:t>Packaging should be minimised wherever practicable and be capable of recycling in accordance with the supplier's sustainability commitments</w:t>
      </w:r>
    </w:p>
    <w:p w14:paraId="27886F02" w14:textId="24A96C2E" w:rsidR="000C5373" w:rsidRDefault="000C5373" w:rsidP="000C5373">
      <w:pPr>
        <w:pStyle w:val="Heading2"/>
        <w:rPr>
          <w:rFonts w:eastAsia="Arial"/>
        </w:rPr>
      </w:pPr>
      <w:bookmarkStart w:id="32" w:name="_Toc233962868"/>
      <w:r>
        <w:rPr>
          <w:rFonts w:eastAsia="Arial"/>
        </w:rPr>
        <w:t>Delivery charges</w:t>
      </w:r>
      <w:bookmarkEnd w:id="32"/>
    </w:p>
    <w:p w14:paraId="381764D0" w14:textId="77777777" w:rsidR="000C5373" w:rsidRDefault="000C5373" w:rsidP="0005717E">
      <w:pPr>
        <w:rPr>
          <w:rFonts w:eastAsia="Arial"/>
        </w:rPr>
      </w:pPr>
      <w:r>
        <w:t>Suppliers are asked to set out their delivery charging policy in their tender response, including any standard carriage rate, any minimum order value above which carriage is paid, and any premium for next-working-day or pre-noon delivery. The College's preference is for carriage paid on all standard orders above a reasonable minimum order value.</w:t>
      </w:r>
    </w:p>
    <w:p w14:paraId="7483452B" w14:textId="3C621BC4" w:rsidR="000C5373" w:rsidRDefault="000C5373" w:rsidP="000C5373">
      <w:pPr>
        <w:pStyle w:val="Heading2"/>
        <w:rPr>
          <w:rFonts w:eastAsia="Arial"/>
        </w:rPr>
      </w:pPr>
      <w:bookmarkStart w:id="33" w:name="_Toc233962869"/>
      <w:r>
        <w:rPr>
          <w:rFonts w:eastAsia="Arial"/>
        </w:rPr>
        <w:t>Goods inwards inspection</w:t>
      </w:r>
      <w:bookmarkEnd w:id="33"/>
    </w:p>
    <w:p w14:paraId="6B017901" w14:textId="270D02B3" w:rsidR="000C5373" w:rsidRDefault="000C5373" w:rsidP="0005717E">
      <w:pPr>
        <w:rPr>
          <w:rFonts w:eastAsia="Arial"/>
        </w:rPr>
      </w:pPr>
      <w:r>
        <w:t xml:space="preserve">All deliveries are subject to inspection on receipt by </w:t>
      </w:r>
      <w:r w:rsidR="000D4504">
        <w:t>college</w:t>
      </w:r>
      <w:r>
        <w:t xml:space="preserve"> staff. The College reserves the right to reject any goods that are damaged in transit, incorrect against the purchase order or not of satisfactory quality, and to require the supplier to collect rejected goods at the supplier's cost. The supplier shall replace correctly ordered, rejected items within their standard lead time at no additional cost to the College.</w:t>
      </w:r>
    </w:p>
    <w:p w14:paraId="09619200" w14:textId="77777777" w:rsidR="000C5373" w:rsidRDefault="000C5373" w:rsidP="000C5373">
      <w:pPr>
        <w:pStyle w:val="Heading1"/>
        <w:rPr>
          <w:rFonts w:eastAsia="Arial"/>
        </w:rPr>
      </w:pPr>
      <w:bookmarkStart w:id="34" w:name="_Toc233962870"/>
      <w:r>
        <w:rPr>
          <w:rFonts w:eastAsia="Arial"/>
        </w:rPr>
        <w:lastRenderedPageBreak/>
        <w:t xml:space="preserve">Pricing </w:t>
      </w:r>
      <w:r>
        <w:t>and</w:t>
      </w:r>
      <w:r>
        <w:rPr>
          <w:rFonts w:eastAsia="Arial"/>
        </w:rPr>
        <w:t xml:space="preserve"> Price Reviews</w:t>
      </w:r>
      <w:bookmarkEnd w:id="34"/>
    </w:p>
    <w:p w14:paraId="7F2AB335" w14:textId="22EB8658" w:rsidR="000C5373" w:rsidRDefault="000C5373" w:rsidP="000C5373">
      <w:pPr>
        <w:pStyle w:val="Heading2"/>
        <w:rPr>
          <w:rFonts w:eastAsia="Arial"/>
        </w:rPr>
      </w:pPr>
      <w:bookmarkStart w:id="35" w:name="_Toc233962871"/>
      <w:r>
        <w:rPr>
          <w:rFonts w:eastAsia="Arial"/>
        </w:rPr>
        <w:t>Schedule pricing</w:t>
      </w:r>
      <w:bookmarkEnd w:id="35"/>
    </w:p>
    <w:p w14:paraId="2429F4B6" w14:textId="5EACC1F6" w:rsidR="000C5373" w:rsidRDefault="000C5373" w:rsidP="0005717E">
      <w:pPr>
        <w:rPr>
          <w:rFonts w:eastAsia="Arial"/>
        </w:rPr>
      </w:pPr>
      <w:r>
        <w:t xml:space="preserve">Tendered prices for items listed in </w:t>
      </w:r>
      <w:r w:rsidRPr="008428EA">
        <w:rPr>
          <w:b/>
          <w:bCs/>
        </w:rPr>
        <w:t>Appendix B</w:t>
      </w:r>
      <w:r>
        <w:t xml:space="preserve"> shall be held firm for the first twelve (12) months of the contract from the contract start date. Prices shall be in pounds sterling (£), exclusive of VAT, and inclusive of carriage and packaging unless explicitly stated otherwise.</w:t>
      </w:r>
    </w:p>
    <w:p w14:paraId="789DB8B7" w14:textId="38791A29" w:rsidR="000C5373" w:rsidRDefault="000C5373" w:rsidP="000C5373">
      <w:pPr>
        <w:pStyle w:val="Heading2"/>
        <w:rPr>
          <w:rFonts w:eastAsia="Arial"/>
        </w:rPr>
      </w:pPr>
      <w:bookmarkStart w:id="36" w:name="_Toc233962872"/>
      <w:r>
        <w:rPr>
          <w:rFonts w:eastAsia="Arial"/>
        </w:rPr>
        <w:t>Off-schedule items</w:t>
      </w:r>
      <w:bookmarkEnd w:id="36"/>
    </w:p>
    <w:p w14:paraId="55C43313" w14:textId="15F5A2AD" w:rsidR="000C5373" w:rsidRDefault="000C5373" w:rsidP="0005717E">
      <w:pPr>
        <w:rPr>
          <w:rFonts w:eastAsia="Arial"/>
        </w:rPr>
      </w:pPr>
      <w:r>
        <w:t xml:space="preserve">From time to time the College will require items not listed in </w:t>
      </w:r>
      <w:r w:rsidR="000D4504">
        <w:rPr>
          <w:b/>
          <w:bCs/>
        </w:rPr>
        <w:t>Appendix B</w:t>
      </w:r>
      <w:r w:rsidR="000D4504">
        <w:t>.</w:t>
      </w:r>
      <w:r>
        <w:t xml:space="preserve"> Suppliers shall state in their tender response the percentage discount that will be applied, throughout the contract term, to the supplier's published list price (or to manufacturer's list price, where applicable) for any such off-schedule purchase. The discount shall be uniform across the supplier's product range unless otherwise agreed in writing. The supplier shall provide a price quotation for any off-schedule item before the College places the order.</w:t>
      </w:r>
    </w:p>
    <w:p w14:paraId="62E83DA3" w14:textId="481A6BFB" w:rsidR="000C5373" w:rsidRDefault="000C5373" w:rsidP="000C5373">
      <w:pPr>
        <w:pStyle w:val="Heading2"/>
        <w:rPr>
          <w:rFonts w:eastAsia="Arial"/>
        </w:rPr>
      </w:pPr>
      <w:bookmarkStart w:id="37" w:name="_Toc233962873"/>
      <w:r>
        <w:rPr>
          <w:rFonts w:eastAsia="Arial"/>
        </w:rPr>
        <w:t>Price reviews</w:t>
      </w:r>
      <w:bookmarkEnd w:id="37"/>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7826"/>
      </w:tblGrid>
      <w:tr w:rsidR="000C5373" w14:paraId="5CED16DB" w14:textId="77777777" w:rsidTr="000C5373">
        <w:trPr>
          <w:tblHeader/>
        </w:trPr>
        <w:tc>
          <w:tcPr>
            <w:tcW w:w="1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hideMark/>
          </w:tcPr>
          <w:p w14:paraId="029178F9" w14:textId="77777777" w:rsidR="000C5373" w:rsidRDefault="000C5373">
            <w:pPr>
              <w:rPr>
                <w:rFonts w:eastAsia="Arial"/>
              </w:rPr>
            </w:pPr>
            <w:r>
              <w:rPr>
                <w:b/>
                <w:bCs/>
                <w:color w:val="FFFFFF"/>
                <w:sz w:val="20"/>
                <w:szCs w:val="20"/>
              </w:rPr>
              <w:t>Ref</w:t>
            </w:r>
          </w:p>
        </w:tc>
        <w:tc>
          <w:tcPr>
            <w:tcW w:w="7826"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hideMark/>
          </w:tcPr>
          <w:p w14:paraId="21DAAB5F" w14:textId="77777777" w:rsidR="000C5373" w:rsidRDefault="000C5373">
            <w:r>
              <w:rPr>
                <w:b/>
                <w:bCs/>
                <w:color w:val="FFFFFF"/>
                <w:sz w:val="20"/>
                <w:szCs w:val="20"/>
              </w:rPr>
              <w:t>Requirement</w:t>
            </w:r>
          </w:p>
        </w:tc>
      </w:tr>
      <w:tr w:rsidR="000C5373" w14:paraId="29C91044" w14:textId="77777777" w:rsidTr="000C5373">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0E92BB02" w14:textId="766794A9" w:rsidR="000C5373" w:rsidRPr="0088474F" w:rsidRDefault="0088474F">
            <w:pPr>
              <w:rPr>
                <w:sz w:val="20"/>
                <w:szCs w:val="20"/>
              </w:rPr>
            </w:pPr>
            <w:r w:rsidRPr="0088474F">
              <w:rPr>
                <w:sz w:val="20"/>
                <w:szCs w:val="20"/>
              </w:rPr>
              <w:t>11.3.1</w:t>
            </w:r>
          </w:p>
        </w:tc>
        <w:tc>
          <w:tcPr>
            <w:tcW w:w="7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2E1D0156" w14:textId="77777777" w:rsidR="000C5373" w:rsidRPr="0088474F" w:rsidRDefault="000C5373">
            <w:pPr>
              <w:rPr>
                <w:sz w:val="20"/>
                <w:szCs w:val="20"/>
              </w:rPr>
            </w:pPr>
            <w:r w:rsidRPr="0088474F">
              <w:rPr>
                <w:sz w:val="20"/>
                <w:szCs w:val="20"/>
              </w:rPr>
              <w:t>After the initial twelve-month price freeze, prices for scheduled items may be reviewed annually on the anniversary of the contract start date.</w:t>
            </w:r>
          </w:p>
        </w:tc>
      </w:tr>
      <w:tr w:rsidR="000C5373" w14:paraId="0EBD1B74" w14:textId="77777777" w:rsidTr="000C5373">
        <w:tc>
          <w:tcPr>
            <w:tcW w:w="1200"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2181DA3F" w14:textId="1AD3F28F" w:rsidR="000C5373" w:rsidRPr="0088474F" w:rsidRDefault="0088474F">
            <w:pPr>
              <w:rPr>
                <w:sz w:val="20"/>
                <w:szCs w:val="20"/>
              </w:rPr>
            </w:pPr>
            <w:r w:rsidRPr="0088474F">
              <w:rPr>
                <w:sz w:val="20"/>
                <w:szCs w:val="20"/>
              </w:rPr>
              <w:t>11.3.2</w:t>
            </w:r>
          </w:p>
        </w:tc>
        <w:tc>
          <w:tcPr>
            <w:tcW w:w="7826"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0D9E58B0" w14:textId="77777777" w:rsidR="000C5373" w:rsidRPr="0088474F" w:rsidRDefault="000C5373">
            <w:pPr>
              <w:rPr>
                <w:sz w:val="20"/>
                <w:szCs w:val="20"/>
              </w:rPr>
            </w:pPr>
            <w:r w:rsidRPr="0088474F">
              <w:rPr>
                <w:sz w:val="20"/>
                <w:szCs w:val="20"/>
              </w:rPr>
              <w:t>The supplier shall give the College not less than thirty (30) days' written notice of any proposed price change, supported by evidence of the underlying input cost movement (for example, manufacturer price-list change, raw material index, or published inflation measure).</w:t>
            </w:r>
          </w:p>
        </w:tc>
      </w:tr>
      <w:tr w:rsidR="000C5373" w14:paraId="72F2500F" w14:textId="77777777" w:rsidTr="000C5373">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07D2D782" w14:textId="35E2D3CF" w:rsidR="000C5373" w:rsidRPr="0088474F" w:rsidRDefault="0088474F">
            <w:pPr>
              <w:rPr>
                <w:sz w:val="20"/>
                <w:szCs w:val="20"/>
              </w:rPr>
            </w:pPr>
            <w:r w:rsidRPr="0088474F">
              <w:rPr>
                <w:sz w:val="20"/>
                <w:szCs w:val="20"/>
              </w:rPr>
              <w:t>11.3.3</w:t>
            </w:r>
          </w:p>
        </w:tc>
        <w:tc>
          <w:tcPr>
            <w:tcW w:w="7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49DCCB2E" w14:textId="77777777" w:rsidR="00546FF1" w:rsidRPr="0088474F" w:rsidRDefault="00546FF1" w:rsidP="00546FF1">
            <w:pPr>
              <w:rPr>
                <w:sz w:val="20"/>
                <w:szCs w:val="20"/>
              </w:rPr>
            </w:pPr>
            <w:r w:rsidRPr="0088474F">
              <w:rPr>
                <w:sz w:val="20"/>
                <w:szCs w:val="20"/>
              </w:rPr>
              <w:t>The College reserves the right to accept or reject any proposed price increase, which must be supported by objective evidence.</w:t>
            </w:r>
          </w:p>
          <w:p w14:paraId="54F01991" w14:textId="77777777" w:rsidR="00546FF1" w:rsidRPr="0088474F" w:rsidRDefault="00546FF1" w:rsidP="00546FF1">
            <w:pPr>
              <w:rPr>
                <w:sz w:val="20"/>
                <w:szCs w:val="20"/>
              </w:rPr>
            </w:pPr>
            <w:r w:rsidRPr="0088474F">
              <w:rPr>
                <w:sz w:val="20"/>
                <w:szCs w:val="20"/>
              </w:rPr>
              <w:t>Any annual price increase shall be limited to the lower of:</w:t>
            </w:r>
          </w:p>
          <w:p w14:paraId="32F17B01" w14:textId="77777777" w:rsidR="00546FF1" w:rsidRPr="0088474F" w:rsidRDefault="00546FF1" w:rsidP="00546FF1">
            <w:pPr>
              <w:pStyle w:val="ListParagraph"/>
              <w:numPr>
                <w:ilvl w:val="0"/>
                <w:numId w:val="18"/>
              </w:numPr>
              <w:rPr>
                <w:sz w:val="20"/>
                <w:szCs w:val="20"/>
              </w:rPr>
            </w:pPr>
            <w:r w:rsidRPr="0088474F">
              <w:rPr>
                <w:sz w:val="20"/>
                <w:szCs w:val="20"/>
              </w:rPr>
              <w:t>the percentage increase in the Consumer Prices Index (CPI) over the previous 12 months; or</w:t>
            </w:r>
          </w:p>
          <w:p w14:paraId="3EA249B4" w14:textId="7508AE73" w:rsidR="000C5373" w:rsidRPr="0088474F" w:rsidRDefault="00546FF1" w:rsidP="00546FF1">
            <w:pPr>
              <w:pStyle w:val="ListParagraph"/>
              <w:numPr>
                <w:ilvl w:val="0"/>
                <w:numId w:val="18"/>
              </w:numPr>
              <w:rPr>
                <w:sz w:val="20"/>
                <w:szCs w:val="20"/>
              </w:rPr>
            </w:pPr>
            <w:r w:rsidRPr="0088474F">
              <w:rPr>
                <w:sz w:val="20"/>
                <w:szCs w:val="20"/>
              </w:rPr>
              <w:t>the percentage increase in the manufacturer's published list price, as evidenced by the supplier.</w:t>
            </w:r>
          </w:p>
        </w:tc>
      </w:tr>
      <w:tr w:rsidR="000C5373" w14:paraId="7EFCC685" w14:textId="77777777" w:rsidTr="000C5373">
        <w:tc>
          <w:tcPr>
            <w:tcW w:w="1200"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54F64F33" w14:textId="7F2F0468" w:rsidR="000C5373" w:rsidRPr="0088474F" w:rsidRDefault="0088474F">
            <w:pPr>
              <w:rPr>
                <w:sz w:val="20"/>
                <w:szCs w:val="20"/>
              </w:rPr>
            </w:pPr>
            <w:r w:rsidRPr="0088474F">
              <w:rPr>
                <w:sz w:val="20"/>
                <w:szCs w:val="20"/>
              </w:rPr>
              <w:t>11.3.4</w:t>
            </w:r>
          </w:p>
        </w:tc>
        <w:tc>
          <w:tcPr>
            <w:tcW w:w="7826"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08494C32" w14:textId="77777777" w:rsidR="000C5373" w:rsidRPr="0088474F" w:rsidRDefault="000C5373">
            <w:pPr>
              <w:rPr>
                <w:sz w:val="20"/>
                <w:szCs w:val="20"/>
              </w:rPr>
            </w:pPr>
            <w:r w:rsidRPr="0088474F">
              <w:rPr>
                <w:sz w:val="20"/>
                <w:szCs w:val="20"/>
              </w:rPr>
              <w:t>Where the supplier's input costs reduce, the supplier shall pass through the corresponding reduction to the College.</w:t>
            </w:r>
          </w:p>
        </w:tc>
      </w:tr>
      <w:tr w:rsidR="000C5373" w14:paraId="46A27C69" w14:textId="77777777" w:rsidTr="000C5373">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4258CA89" w14:textId="73AFC715" w:rsidR="000C5373" w:rsidRPr="0088474F" w:rsidRDefault="0088474F">
            <w:pPr>
              <w:rPr>
                <w:sz w:val="20"/>
                <w:szCs w:val="20"/>
                <w:highlight w:val="yellow"/>
              </w:rPr>
            </w:pPr>
            <w:r w:rsidRPr="0088474F">
              <w:rPr>
                <w:sz w:val="20"/>
                <w:szCs w:val="20"/>
              </w:rPr>
              <w:t>11.3.5</w:t>
            </w:r>
          </w:p>
        </w:tc>
        <w:tc>
          <w:tcPr>
            <w:tcW w:w="7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635ECB19" w14:textId="77777777" w:rsidR="000C5373" w:rsidRPr="0088474F" w:rsidRDefault="000C5373">
            <w:pPr>
              <w:rPr>
                <w:sz w:val="20"/>
                <w:szCs w:val="20"/>
                <w:highlight w:val="yellow"/>
              </w:rPr>
            </w:pPr>
            <w:r w:rsidRPr="0088474F">
              <w:rPr>
                <w:sz w:val="20"/>
                <w:szCs w:val="20"/>
              </w:rPr>
              <w:t>The College reserves the right to challenge any proposed price increase and to terminate the contract for convenience on three (3) months' notice if agreement on revised pricing cannot be reached.</w:t>
            </w:r>
          </w:p>
        </w:tc>
      </w:tr>
    </w:tbl>
    <w:p w14:paraId="628BAB6C" w14:textId="47B4C607" w:rsidR="000C5373" w:rsidRDefault="000C5373" w:rsidP="000C5373">
      <w:pPr>
        <w:pStyle w:val="Heading2"/>
        <w:rPr>
          <w:rFonts w:ascii="Arial" w:eastAsia="Arial" w:hAnsi="Arial" w:cs="Arial"/>
        </w:rPr>
      </w:pPr>
      <w:bookmarkStart w:id="38" w:name="_Toc233962874"/>
      <w:r>
        <w:rPr>
          <w:rFonts w:eastAsia="Arial"/>
        </w:rPr>
        <w:t>Volume rebates</w:t>
      </w:r>
      <w:bookmarkEnd w:id="38"/>
    </w:p>
    <w:p w14:paraId="233C41ED" w14:textId="77777777" w:rsidR="000C5373" w:rsidRDefault="000C5373" w:rsidP="0005717E">
      <w:pPr>
        <w:rPr>
          <w:rFonts w:eastAsia="Arial"/>
        </w:rPr>
      </w:pPr>
      <w:r>
        <w:t>Suppliers are invited (but not required) to offer volume-related rebates payable on aggregate annual spend. Any such offer should be clearly described in the tender response, including the threshold, rebate percentage, and the mechanism for payment to the College.</w:t>
      </w:r>
    </w:p>
    <w:p w14:paraId="59B9E5F5" w14:textId="078A1646" w:rsidR="000C5373" w:rsidRDefault="000C5373" w:rsidP="0005717E">
      <w:pPr>
        <w:pStyle w:val="Heading1"/>
        <w:rPr>
          <w:rFonts w:eastAsia="Arial"/>
        </w:rPr>
      </w:pPr>
      <w:bookmarkStart w:id="39" w:name="_Toc233962875"/>
      <w:r>
        <w:rPr>
          <w:rFonts w:eastAsia="Arial"/>
        </w:rPr>
        <w:lastRenderedPageBreak/>
        <w:t>Account Management</w:t>
      </w:r>
      <w:bookmarkEnd w:id="39"/>
    </w:p>
    <w:p w14:paraId="4BB7BF12" w14:textId="77777777" w:rsidR="000C5373" w:rsidRDefault="000C5373" w:rsidP="0005717E">
      <w:pPr>
        <w:rPr>
          <w:rFonts w:eastAsia="Arial"/>
        </w:rPr>
      </w:pPr>
      <w:r>
        <w:t>The supplier shall provide a single named Account Manager to the College, supported by a named deputy. The Account Manager shall be the primary point of contact for all contractual, commercial and operational matters arising under the contract.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7826"/>
      </w:tblGrid>
      <w:tr w:rsidR="000C5373" w14:paraId="4B352D51" w14:textId="77777777" w:rsidTr="000C5373">
        <w:trPr>
          <w:tblHeader/>
        </w:trPr>
        <w:tc>
          <w:tcPr>
            <w:tcW w:w="1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hideMark/>
          </w:tcPr>
          <w:p w14:paraId="6329F1EC" w14:textId="77777777" w:rsidR="000C5373" w:rsidRDefault="000C5373">
            <w:r>
              <w:rPr>
                <w:b/>
                <w:bCs/>
                <w:color w:val="FFFFFF"/>
                <w:sz w:val="20"/>
                <w:szCs w:val="20"/>
              </w:rPr>
              <w:t>Ref</w:t>
            </w:r>
          </w:p>
        </w:tc>
        <w:tc>
          <w:tcPr>
            <w:tcW w:w="7826"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hideMark/>
          </w:tcPr>
          <w:p w14:paraId="5B32E983" w14:textId="77777777" w:rsidR="000C5373" w:rsidRDefault="000C5373">
            <w:r>
              <w:rPr>
                <w:b/>
                <w:bCs/>
                <w:color w:val="FFFFFF"/>
                <w:sz w:val="20"/>
                <w:szCs w:val="20"/>
              </w:rPr>
              <w:t>Requirement</w:t>
            </w:r>
          </w:p>
        </w:tc>
      </w:tr>
      <w:tr w:rsidR="000C5373" w14:paraId="697CB09F" w14:textId="77777777" w:rsidTr="000C5373">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52185763" w14:textId="3B3177C0" w:rsidR="000C5373" w:rsidRDefault="0088474F">
            <w:r>
              <w:t>12.1</w:t>
            </w:r>
          </w:p>
        </w:tc>
        <w:tc>
          <w:tcPr>
            <w:tcW w:w="7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0ADD5E70" w14:textId="77777777" w:rsidR="000C5373" w:rsidRDefault="000C5373">
            <w:r>
              <w:rPr>
                <w:sz w:val="20"/>
                <w:szCs w:val="20"/>
              </w:rPr>
              <w:t>The Account Manager shall respond to email or telephone contact from authorised College staff within one (1) working day.</w:t>
            </w:r>
          </w:p>
        </w:tc>
      </w:tr>
      <w:tr w:rsidR="000C5373" w14:paraId="6173ADB4" w14:textId="77777777" w:rsidTr="000C5373">
        <w:tc>
          <w:tcPr>
            <w:tcW w:w="1200"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6F90BDF8" w14:textId="06CA8FD1" w:rsidR="000C5373" w:rsidRDefault="0088474F">
            <w:r>
              <w:t>12.2</w:t>
            </w:r>
          </w:p>
        </w:tc>
        <w:tc>
          <w:tcPr>
            <w:tcW w:w="7826"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1ED4B6C0" w14:textId="77777777" w:rsidR="000C5373" w:rsidRDefault="000C5373">
            <w:r>
              <w:rPr>
                <w:sz w:val="20"/>
                <w:szCs w:val="20"/>
              </w:rPr>
              <w:t>The Account Manager shall attend a contract review meeting (in person or by video conference) at least once per quarter. Two of the four annual reviews shall take place at the College.</w:t>
            </w:r>
          </w:p>
        </w:tc>
      </w:tr>
      <w:tr w:rsidR="000C5373" w14:paraId="45D07C90" w14:textId="77777777" w:rsidTr="000C5373">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2DDBB6F2" w14:textId="44AB1353" w:rsidR="000C5373" w:rsidRDefault="0088474F">
            <w:r>
              <w:t>12.3</w:t>
            </w:r>
          </w:p>
        </w:tc>
        <w:tc>
          <w:tcPr>
            <w:tcW w:w="7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6106329C" w14:textId="77777777" w:rsidR="000C5373" w:rsidRDefault="000C5373">
            <w:r>
              <w:rPr>
                <w:sz w:val="20"/>
                <w:szCs w:val="20"/>
              </w:rPr>
              <w:t>The supplier shall give the College not less than ten (10) working days' notice of any change of Account Manager, including the name and contact details of the replacement and arrangements for handover.</w:t>
            </w:r>
          </w:p>
        </w:tc>
      </w:tr>
      <w:tr w:rsidR="000C5373" w14:paraId="206F1B40" w14:textId="77777777" w:rsidTr="000C5373">
        <w:tc>
          <w:tcPr>
            <w:tcW w:w="1200"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6A477DBF" w14:textId="534BE0DB" w:rsidR="000C5373" w:rsidRDefault="0088474F">
            <w:r>
              <w:t>12.4</w:t>
            </w:r>
          </w:p>
        </w:tc>
        <w:tc>
          <w:tcPr>
            <w:tcW w:w="7826"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53AFF5A2" w14:textId="77777777" w:rsidR="000C5373" w:rsidRDefault="000C5373">
            <w:r>
              <w:rPr>
                <w:sz w:val="20"/>
                <w:szCs w:val="20"/>
              </w:rPr>
              <w:t>The supplier shall provide the College with a single dedicated email inbox and telephone number for routine ordering and queries, monitored during their published business hours.</w:t>
            </w:r>
          </w:p>
        </w:tc>
      </w:tr>
    </w:tbl>
    <w:p w14:paraId="20BA5F55" w14:textId="77777777" w:rsidR="007C1734" w:rsidRDefault="007C1734" w:rsidP="007C1734">
      <w:pPr>
        <w:pStyle w:val="Heading1"/>
        <w:numPr>
          <w:ilvl w:val="0"/>
          <w:numId w:val="0"/>
        </w:numPr>
        <w:rPr>
          <w:rFonts w:eastAsia="Arial"/>
        </w:rPr>
      </w:pPr>
    </w:p>
    <w:p w14:paraId="236CA230" w14:textId="77777777" w:rsidR="007C1734" w:rsidRDefault="007C1734" w:rsidP="007C1734">
      <w:pPr>
        <w:pStyle w:val="Heading1"/>
        <w:rPr>
          <w:rFonts w:eastAsia="Arial"/>
        </w:rPr>
      </w:pPr>
      <w:bookmarkStart w:id="40" w:name="_Toc233962876"/>
      <w:r>
        <w:rPr>
          <w:rFonts w:eastAsia="Arial"/>
        </w:rPr>
        <w:t>Contract Management and KPIs</w:t>
      </w:r>
      <w:bookmarkEnd w:id="40"/>
    </w:p>
    <w:p w14:paraId="1996D41F" w14:textId="66BE094C" w:rsidR="007C1734" w:rsidRDefault="007C1734" w:rsidP="0005717E">
      <w:r>
        <w:t xml:space="preserve">The contract will be managed jointly by the College's Project Lead and the supplier's Account Manager, with strategic oversight by Coleg Sir </w:t>
      </w:r>
      <w:proofErr w:type="spellStart"/>
      <w:r>
        <w:t>Gâr</w:t>
      </w:r>
      <w:proofErr w:type="spellEnd"/>
      <w:r>
        <w:t xml:space="preserve"> Procurement Services. Performance will be reviewed at the quarterly contract review meeting against the following key performance indicators (KPIs):</w:t>
      </w:r>
    </w:p>
    <w:tbl>
      <w:tblPr>
        <w:tblW w:w="925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3969"/>
        <w:gridCol w:w="1845"/>
        <w:gridCol w:w="2314"/>
      </w:tblGrid>
      <w:tr w:rsidR="0005717E" w14:paraId="497B6E09" w14:textId="77777777" w:rsidTr="0088474F">
        <w:trPr>
          <w:trHeight w:val="300"/>
        </w:trPr>
        <w:tc>
          <w:tcPr>
            <w:tcW w:w="1126" w:type="dxa"/>
            <w:tcBorders>
              <w:top w:val="single" w:sz="6" w:space="0" w:color="000000"/>
              <w:left w:val="single" w:sz="6" w:space="0" w:color="000000"/>
              <w:bottom w:val="single" w:sz="6" w:space="0" w:color="000000"/>
              <w:right w:val="single" w:sz="6" w:space="0" w:color="000000"/>
            </w:tcBorders>
            <w:shd w:val="clear" w:color="auto" w:fill="B8CCE4"/>
          </w:tcPr>
          <w:p w14:paraId="3926452D" w14:textId="77777777" w:rsidR="0005717E" w:rsidRDefault="0005717E" w:rsidP="0088474F">
            <w:pPr>
              <w:spacing w:after="0"/>
              <w:jc w:val="center"/>
              <w:rPr>
                <w:rFonts w:ascii="Quattrocento Sans" w:eastAsia="Quattrocento Sans" w:hAnsi="Quattrocento Sans" w:cs="Quattrocento Sans"/>
                <w:color w:val="FFFFFF"/>
              </w:rPr>
            </w:pPr>
            <w:r>
              <w:rPr>
                <w:b/>
                <w:bCs/>
              </w:rPr>
              <w:t>KPI</w:t>
            </w:r>
          </w:p>
        </w:tc>
        <w:tc>
          <w:tcPr>
            <w:tcW w:w="3969" w:type="dxa"/>
            <w:tcBorders>
              <w:top w:val="single" w:sz="6" w:space="0" w:color="000000"/>
              <w:left w:val="single" w:sz="6" w:space="0" w:color="000000"/>
              <w:bottom w:val="single" w:sz="6" w:space="0" w:color="000000"/>
              <w:right w:val="single" w:sz="6" w:space="0" w:color="000000"/>
            </w:tcBorders>
            <w:shd w:val="clear" w:color="auto" w:fill="B8CCE4"/>
          </w:tcPr>
          <w:p w14:paraId="0C389F00" w14:textId="77777777" w:rsidR="0005717E" w:rsidRDefault="0005717E" w:rsidP="0088474F">
            <w:pPr>
              <w:spacing w:after="0"/>
              <w:ind w:left="271"/>
              <w:jc w:val="center"/>
              <w:rPr>
                <w:rFonts w:ascii="Quattrocento Sans" w:eastAsia="Quattrocento Sans" w:hAnsi="Quattrocento Sans" w:cs="Quattrocento Sans"/>
                <w:color w:val="FFFFFF"/>
              </w:rPr>
            </w:pPr>
            <w:r>
              <w:rPr>
                <w:b/>
                <w:bCs/>
              </w:rPr>
              <w:t>Measurement</w:t>
            </w:r>
          </w:p>
        </w:tc>
        <w:tc>
          <w:tcPr>
            <w:tcW w:w="1845" w:type="dxa"/>
            <w:tcBorders>
              <w:top w:val="single" w:sz="6" w:space="0" w:color="000000"/>
              <w:left w:val="single" w:sz="6" w:space="0" w:color="000000"/>
              <w:bottom w:val="single" w:sz="6" w:space="0" w:color="000000"/>
              <w:right w:val="single" w:sz="6" w:space="0" w:color="000000"/>
            </w:tcBorders>
            <w:shd w:val="clear" w:color="auto" w:fill="B8CCE4"/>
          </w:tcPr>
          <w:p w14:paraId="733879B2" w14:textId="77777777" w:rsidR="0005717E" w:rsidRDefault="0005717E" w:rsidP="0088474F">
            <w:pPr>
              <w:spacing w:after="0"/>
              <w:jc w:val="center"/>
              <w:rPr>
                <w:b/>
                <w:bCs/>
              </w:rPr>
            </w:pPr>
            <w:r>
              <w:rPr>
                <w:b/>
                <w:bCs/>
              </w:rPr>
              <w:t>Target</w:t>
            </w:r>
          </w:p>
        </w:tc>
        <w:tc>
          <w:tcPr>
            <w:tcW w:w="2314" w:type="dxa"/>
            <w:tcBorders>
              <w:top w:val="single" w:sz="6" w:space="0" w:color="000000"/>
              <w:left w:val="single" w:sz="6" w:space="0" w:color="000000"/>
              <w:bottom w:val="single" w:sz="6" w:space="0" w:color="000000"/>
              <w:right w:val="single" w:sz="6" w:space="0" w:color="000000"/>
            </w:tcBorders>
            <w:shd w:val="clear" w:color="auto" w:fill="B8CCE4"/>
          </w:tcPr>
          <w:p w14:paraId="58A1926E" w14:textId="77777777" w:rsidR="0005717E" w:rsidRDefault="0005717E" w:rsidP="0088474F">
            <w:pPr>
              <w:spacing w:after="0"/>
              <w:ind w:left="136"/>
              <w:jc w:val="center"/>
              <w:rPr>
                <w:rFonts w:ascii="Quattrocento Sans" w:eastAsia="Quattrocento Sans" w:hAnsi="Quattrocento Sans" w:cs="Quattrocento Sans"/>
                <w:color w:val="FFFFFF"/>
              </w:rPr>
            </w:pPr>
            <w:r>
              <w:rPr>
                <w:b/>
                <w:bCs/>
              </w:rPr>
              <w:t>Verification Method</w:t>
            </w:r>
          </w:p>
        </w:tc>
      </w:tr>
      <w:tr w:rsidR="0088474F" w14:paraId="652F99C1" w14:textId="77777777" w:rsidTr="0088334E">
        <w:trPr>
          <w:trHeight w:val="567"/>
        </w:trPr>
        <w:tc>
          <w:tcPr>
            <w:tcW w:w="1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393493" w14:textId="7803A8B5" w:rsidR="0088474F" w:rsidRDefault="0088474F" w:rsidP="0088474F">
            <w:pPr>
              <w:spacing w:after="0"/>
              <w:ind w:right="132"/>
              <w:jc w:val="left"/>
              <w:rPr>
                <w:b/>
                <w:bCs/>
              </w:rPr>
            </w:pPr>
            <w:r>
              <w:rPr>
                <w:b/>
                <w:bCs/>
              </w:rPr>
              <w:t>KPI1</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A2B50E" w14:textId="778A5876" w:rsidR="0088474F" w:rsidRDefault="0088474F" w:rsidP="0088474F">
            <w:pPr>
              <w:spacing w:after="0"/>
              <w:ind w:right="132"/>
            </w:pPr>
            <w:r>
              <w:rPr>
                <w:sz w:val="20"/>
                <w:szCs w:val="20"/>
              </w:rPr>
              <w:t>Order acknowledgement within one (1) working day</w:t>
            </w:r>
          </w:p>
        </w:tc>
        <w:tc>
          <w:tcPr>
            <w:tcW w:w="18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08C922" w14:textId="36BCAF07" w:rsidR="0088474F" w:rsidRPr="0088474F" w:rsidRDefault="0088474F" w:rsidP="0088474F">
            <w:pPr>
              <w:spacing w:after="0"/>
              <w:ind w:left="142" w:right="125"/>
              <w:jc w:val="center"/>
              <w:rPr>
                <w:sz w:val="20"/>
                <w:szCs w:val="20"/>
              </w:rPr>
            </w:pPr>
            <w:r w:rsidRPr="0088474F">
              <w:rPr>
                <w:sz w:val="20"/>
                <w:szCs w:val="20"/>
              </w:rPr>
              <w:t>98%</w:t>
            </w:r>
          </w:p>
        </w:tc>
        <w:tc>
          <w:tcPr>
            <w:tcW w:w="2314" w:type="dxa"/>
            <w:vMerge w:val="restart"/>
            <w:tcBorders>
              <w:top w:val="single" w:sz="6" w:space="0" w:color="000000"/>
              <w:left w:val="single" w:sz="6" w:space="0" w:color="000000"/>
              <w:right w:val="single" w:sz="6" w:space="0" w:color="000000"/>
            </w:tcBorders>
            <w:shd w:val="clear" w:color="auto" w:fill="FFFFFF"/>
            <w:vAlign w:val="center"/>
          </w:tcPr>
          <w:p w14:paraId="4518D852" w14:textId="10198877" w:rsidR="0088474F" w:rsidRPr="0088474F" w:rsidRDefault="0088474F" w:rsidP="000D4504">
            <w:pPr>
              <w:spacing w:after="0"/>
              <w:jc w:val="center"/>
              <w:rPr>
                <w:sz w:val="20"/>
                <w:szCs w:val="20"/>
              </w:rPr>
            </w:pPr>
            <w:r w:rsidRPr="0088474F">
              <w:rPr>
                <w:sz w:val="20"/>
                <w:szCs w:val="20"/>
              </w:rPr>
              <w:t>Annual Framework Review.</w:t>
            </w:r>
          </w:p>
        </w:tc>
      </w:tr>
      <w:tr w:rsidR="0088474F" w14:paraId="172D9C45" w14:textId="77777777" w:rsidTr="0088334E">
        <w:trPr>
          <w:trHeight w:val="567"/>
        </w:trPr>
        <w:tc>
          <w:tcPr>
            <w:tcW w:w="1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2A6464" w14:textId="316BF5F2" w:rsidR="0088474F" w:rsidRDefault="0088474F" w:rsidP="0088474F">
            <w:pPr>
              <w:spacing w:after="0"/>
              <w:ind w:right="132"/>
              <w:jc w:val="left"/>
              <w:rPr>
                <w:b/>
                <w:bCs/>
              </w:rPr>
            </w:pPr>
            <w:r>
              <w:rPr>
                <w:b/>
                <w:bCs/>
              </w:rPr>
              <w:t>KPI2</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5A4404" w14:textId="2D1DAA32" w:rsidR="0088474F" w:rsidRDefault="0088474F" w:rsidP="0088474F">
            <w:pPr>
              <w:spacing w:after="0"/>
              <w:ind w:right="132"/>
            </w:pPr>
            <w:r>
              <w:rPr>
                <w:sz w:val="20"/>
                <w:szCs w:val="20"/>
              </w:rPr>
              <w:t>On-time-in-full (OTIF) delivery against acknowledged date for stocked items</w:t>
            </w:r>
          </w:p>
        </w:tc>
        <w:tc>
          <w:tcPr>
            <w:tcW w:w="18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F038AE" w14:textId="4745691A" w:rsidR="0088474F" w:rsidRPr="0088474F" w:rsidRDefault="0088474F" w:rsidP="0088474F">
            <w:pPr>
              <w:spacing w:after="0"/>
              <w:ind w:left="142" w:right="125"/>
              <w:jc w:val="center"/>
              <w:rPr>
                <w:sz w:val="20"/>
                <w:szCs w:val="20"/>
              </w:rPr>
            </w:pPr>
            <w:r w:rsidRPr="0088474F">
              <w:rPr>
                <w:sz w:val="20"/>
                <w:szCs w:val="20"/>
              </w:rPr>
              <w:t>95%</w:t>
            </w:r>
          </w:p>
        </w:tc>
        <w:tc>
          <w:tcPr>
            <w:tcW w:w="2314" w:type="dxa"/>
            <w:vMerge/>
            <w:tcBorders>
              <w:left w:val="single" w:sz="6" w:space="0" w:color="000000"/>
              <w:right w:val="single" w:sz="6" w:space="0" w:color="000000"/>
            </w:tcBorders>
            <w:shd w:val="clear" w:color="auto" w:fill="FFFFFF"/>
            <w:vAlign w:val="center"/>
          </w:tcPr>
          <w:p w14:paraId="1ABB1BFE" w14:textId="02D4269C" w:rsidR="0088474F" w:rsidRPr="0088474F" w:rsidRDefault="0088474F" w:rsidP="000D4504">
            <w:pPr>
              <w:spacing w:after="0"/>
              <w:ind w:right="125"/>
              <w:jc w:val="center"/>
              <w:rPr>
                <w:sz w:val="20"/>
                <w:szCs w:val="20"/>
              </w:rPr>
            </w:pPr>
          </w:p>
        </w:tc>
      </w:tr>
      <w:tr w:rsidR="0088474F" w14:paraId="75DAF011" w14:textId="77777777" w:rsidTr="0088334E">
        <w:trPr>
          <w:trHeight w:val="567"/>
        </w:trPr>
        <w:tc>
          <w:tcPr>
            <w:tcW w:w="1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D0BC80" w14:textId="694F15DE" w:rsidR="0088474F" w:rsidRDefault="0088474F" w:rsidP="0088474F">
            <w:pPr>
              <w:spacing w:after="0"/>
              <w:ind w:right="132"/>
              <w:jc w:val="left"/>
              <w:rPr>
                <w:b/>
                <w:bCs/>
              </w:rPr>
            </w:pPr>
            <w:r>
              <w:rPr>
                <w:b/>
                <w:bCs/>
              </w:rPr>
              <w:t>KPI3</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DC49E4" w14:textId="2FB17067" w:rsidR="0088474F" w:rsidRDefault="0088474F" w:rsidP="0088474F">
            <w:pPr>
              <w:spacing w:after="0"/>
              <w:ind w:right="132"/>
            </w:pPr>
            <w:r>
              <w:rPr>
                <w:sz w:val="20"/>
                <w:szCs w:val="20"/>
              </w:rPr>
              <w:t>Order accuracy (correct items, quantities and pricing on first delivery).</w:t>
            </w:r>
          </w:p>
        </w:tc>
        <w:tc>
          <w:tcPr>
            <w:tcW w:w="18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0B6149" w14:textId="3DD39EA1" w:rsidR="0088474F" w:rsidRPr="0088474F" w:rsidRDefault="0088474F" w:rsidP="0088474F">
            <w:pPr>
              <w:spacing w:after="0"/>
              <w:ind w:left="131" w:right="125"/>
              <w:jc w:val="center"/>
              <w:rPr>
                <w:sz w:val="20"/>
                <w:szCs w:val="20"/>
              </w:rPr>
            </w:pPr>
            <w:r w:rsidRPr="0088474F">
              <w:rPr>
                <w:sz w:val="20"/>
                <w:szCs w:val="20"/>
              </w:rPr>
              <w:t>98%</w:t>
            </w:r>
          </w:p>
        </w:tc>
        <w:tc>
          <w:tcPr>
            <w:tcW w:w="2314" w:type="dxa"/>
            <w:vMerge/>
            <w:tcBorders>
              <w:left w:val="single" w:sz="6" w:space="0" w:color="000000"/>
              <w:bottom w:val="single" w:sz="6" w:space="0" w:color="000000"/>
              <w:right w:val="single" w:sz="6" w:space="0" w:color="000000"/>
            </w:tcBorders>
            <w:shd w:val="clear" w:color="auto" w:fill="FFFFFF"/>
            <w:vAlign w:val="center"/>
          </w:tcPr>
          <w:p w14:paraId="1E9FDC80" w14:textId="3ADB4900" w:rsidR="0088474F" w:rsidRPr="0088474F" w:rsidRDefault="0088474F" w:rsidP="000D4504">
            <w:pPr>
              <w:spacing w:after="0"/>
              <w:ind w:right="125"/>
              <w:jc w:val="center"/>
              <w:rPr>
                <w:sz w:val="20"/>
                <w:szCs w:val="20"/>
              </w:rPr>
            </w:pPr>
          </w:p>
        </w:tc>
      </w:tr>
      <w:tr w:rsidR="0088474F" w14:paraId="12EAF27E" w14:textId="77777777" w:rsidTr="00707B61">
        <w:trPr>
          <w:trHeight w:val="567"/>
        </w:trPr>
        <w:tc>
          <w:tcPr>
            <w:tcW w:w="1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9202D7" w14:textId="38CBEA53" w:rsidR="0088474F" w:rsidRDefault="0088474F" w:rsidP="0088474F">
            <w:pPr>
              <w:spacing w:after="0"/>
              <w:ind w:right="132"/>
              <w:jc w:val="left"/>
              <w:rPr>
                <w:b/>
                <w:bCs/>
              </w:rPr>
            </w:pPr>
            <w:r>
              <w:rPr>
                <w:b/>
                <w:bCs/>
              </w:rPr>
              <w:t>KPI4</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83EFE8" w14:textId="04960C8A" w:rsidR="0088474F" w:rsidRDefault="0088474F" w:rsidP="0088474F">
            <w:pPr>
              <w:spacing w:after="0"/>
              <w:ind w:right="132"/>
            </w:pPr>
            <w:r>
              <w:rPr>
                <w:sz w:val="20"/>
                <w:szCs w:val="20"/>
              </w:rPr>
              <w:t>Account Manager response time to email or telephone contact. Target: within one (1) working day,</w:t>
            </w:r>
          </w:p>
        </w:tc>
        <w:tc>
          <w:tcPr>
            <w:tcW w:w="18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979695" w14:textId="616384C9" w:rsidR="0088474F" w:rsidRPr="0088474F" w:rsidRDefault="0088474F" w:rsidP="0088474F">
            <w:pPr>
              <w:spacing w:after="0"/>
              <w:ind w:left="131" w:right="125"/>
              <w:jc w:val="center"/>
              <w:rPr>
                <w:sz w:val="20"/>
                <w:szCs w:val="20"/>
              </w:rPr>
            </w:pPr>
            <w:r w:rsidRPr="0088474F">
              <w:rPr>
                <w:sz w:val="20"/>
                <w:szCs w:val="20"/>
              </w:rPr>
              <w:t>95%</w:t>
            </w:r>
          </w:p>
        </w:tc>
        <w:tc>
          <w:tcPr>
            <w:tcW w:w="2314" w:type="dxa"/>
            <w:vMerge w:val="restart"/>
            <w:tcBorders>
              <w:top w:val="single" w:sz="6" w:space="0" w:color="000000"/>
              <w:left w:val="single" w:sz="6" w:space="0" w:color="000000"/>
              <w:right w:val="single" w:sz="6" w:space="0" w:color="000000"/>
            </w:tcBorders>
            <w:shd w:val="clear" w:color="auto" w:fill="FFFFFF"/>
            <w:vAlign w:val="center"/>
          </w:tcPr>
          <w:p w14:paraId="6B78C358" w14:textId="392D4D9E" w:rsidR="0088474F" w:rsidRPr="0088474F" w:rsidRDefault="0088474F" w:rsidP="000D4504">
            <w:pPr>
              <w:spacing w:after="0"/>
              <w:ind w:left="141" w:right="125"/>
              <w:jc w:val="center"/>
              <w:rPr>
                <w:sz w:val="20"/>
                <w:szCs w:val="20"/>
              </w:rPr>
            </w:pPr>
            <w:r w:rsidRPr="0088474F">
              <w:rPr>
                <w:sz w:val="20"/>
                <w:szCs w:val="20"/>
              </w:rPr>
              <w:t>Quarterly Review</w:t>
            </w:r>
          </w:p>
        </w:tc>
      </w:tr>
      <w:tr w:rsidR="0088474F" w14:paraId="3EF83B87" w14:textId="77777777" w:rsidTr="00707B61">
        <w:trPr>
          <w:trHeight w:val="567"/>
        </w:trPr>
        <w:tc>
          <w:tcPr>
            <w:tcW w:w="1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7E9DED" w14:textId="2A7FB8BC" w:rsidR="0088474F" w:rsidRDefault="0088474F" w:rsidP="0088474F">
            <w:pPr>
              <w:spacing w:after="0"/>
              <w:ind w:right="132"/>
              <w:jc w:val="left"/>
              <w:rPr>
                <w:b/>
                <w:bCs/>
              </w:rPr>
            </w:pPr>
            <w:r>
              <w:rPr>
                <w:b/>
                <w:bCs/>
              </w:rPr>
              <w:t>KPI5</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7D93D1" w14:textId="46A340F3" w:rsidR="0088474F" w:rsidRDefault="0088474F" w:rsidP="0088474F">
            <w:pPr>
              <w:spacing w:after="0"/>
              <w:ind w:right="132"/>
            </w:pPr>
            <w:r>
              <w:rPr>
                <w:sz w:val="20"/>
                <w:szCs w:val="20"/>
              </w:rPr>
              <w:t>Quarterly MI submitted within ten (10) working days of period end. Target: 100%.</w:t>
            </w:r>
          </w:p>
        </w:tc>
        <w:tc>
          <w:tcPr>
            <w:tcW w:w="18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9CA98C" w14:textId="292B26C9" w:rsidR="0088474F" w:rsidRPr="0088474F" w:rsidRDefault="0088474F" w:rsidP="0088474F">
            <w:pPr>
              <w:spacing w:after="0"/>
              <w:ind w:left="131" w:right="125"/>
              <w:jc w:val="center"/>
              <w:rPr>
                <w:sz w:val="20"/>
                <w:szCs w:val="20"/>
              </w:rPr>
            </w:pPr>
            <w:r w:rsidRPr="0088474F">
              <w:rPr>
                <w:sz w:val="20"/>
                <w:szCs w:val="20"/>
              </w:rPr>
              <w:t>100%</w:t>
            </w:r>
          </w:p>
        </w:tc>
        <w:tc>
          <w:tcPr>
            <w:tcW w:w="2314" w:type="dxa"/>
            <w:vMerge/>
            <w:tcBorders>
              <w:left w:val="single" w:sz="6" w:space="0" w:color="000000"/>
              <w:bottom w:val="single" w:sz="6" w:space="0" w:color="000000"/>
              <w:right w:val="single" w:sz="6" w:space="0" w:color="000000"/>
            </w:tcBorders>
            <w:shd w:val="clear" w:color="auto" w:fill="FFFFFF"/>
            <w:vAlign w:val="center"/>
          </w:tcPr>
          <w:p w14:paraId="7B21138E" w14:textId="3E95028A" w:rsidR="0088474F" w:rsidRPr="0088474F" w:rsidRDefault="0088474F" w:rsidP="000D4504">
            <w:pPr>
              <w:spacing w:after="0"/>
              <w:ind w:left="141" w:right="125"/>
              <w:jc w:val="center"/>
              <w:rPr>
                <w:sz w:val="20"/>
                <w:szCs w:val="20"/>
              </w:rPr>
            </w:pPr>
          </w:p>
        </w:tc>
      </w:tr>
      <w:tr w:rsidR="0005717E" w14:paraId="21161065" w14:textId="77777777" w:rsidTr="0088474F">
        <w:trPr>
          <w:trHeight w:val="567"/>
        </w:trPr>
        <w:tc>
          <w:tcPr>
            <w:tcW w:w="1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3CCEEE" w14:textId="6E8BEA34" w:rsidR="0005717E" w:rsidRDefault="0088474F" w:rsidP="0088474F">
            <w:pPr>
              <w:spacing w:after="0"/>
              <w:ind w:right="132"/>
              <w:jc w:val="left"/>
              <w:rPr>
                <w:b/>
                <w:bCs/>
              </w:rPr>
            </w:pPr>
            <w:r>
              <w:rPr>
                <w:b/>
                <w:bCs/>
              </w:rPr>
              <w:t>KPI</w:t>
            </w:r>
            <w:r w:rsidR="0005717E">
              <w:rPr>
                <w:b/>
                <w:bCs/>
              </w:rPr>
              <w:t>6</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DB51E9" w14:textId="2D21ADF1" w:rsidR="0005717E" w:rsidRDefault="0005717E" w:rsidP="0088474F">
            <w:pPr>
              <w:spacing w:after="0"/>
              <w:ind w:right="132"/>
            </w:pPr>
            <w:r>
              <w:rPr>
                <w:sz w:val="20"/>
                <w:szCs w:val="20"/>
              </w:rPr>
              <w:t>Returns and warranty claims resolved within ten (10) working days</w:t>
            </w:r>
          </w:p>
        </w:tc>
        <w:tc>
          <w:tcPr>
            <w:tcW w:w="18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E21C21" w14:textId="06918EE4" w:rsidR="0005717E" w:rsidRPr="0088474F" w:rsidRDefault="0005717E" w:rsidP="0088474F">
            <w:pPr>
              <w:spacing w:after="0"/>
              <w:ind w:left="131" w:right="125"/>
              <w:jc w:val="center"/>
              <w:rPr>
                <w:sz w:val="20"/>
                <w:szCs w:val="20"/>
              </w:rPr>
            </w:pPr>
            <w:r w:rsidRPr="0088474F">
              <w:rPr>
                <w:sz w:val="20"/>
                <w:szCs w:val="20"/>
              </w:rPr>
              <w:t>95%</w:t>
            </w:r>
          </w:p>
        </w:tc>
        <w:tc>
          <w:tcPr>
            <w:tcW w:w="231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5DF894" w14:textId="3338B669" w:rsidR="0005717E" w:rsidRPr="0088474F" w:rsidRDefault="0005717E" w:rsidP="000D4504">
            <w:pPr>
              <w:spacing w:after="0"/>
              <w:ind w:left="141" w:right="125"/>
              <w:jc w:val="center"/>
              <w:rPr>
                <w:sz w:val="20"/>
                <w:szCs w:val="20"/>
              </w:rPr>
            </w:pPr>
            <w:r w:rsidRPr="0088474F">
              <w:rPr>
                <w:sz w:val="20"/>
                <w:szCs w:val="20"/>
              </w:rPr>
              <w:t>Annual Framework Review.</w:t>
            </w:r>
          </w:p>
        </w:tc>
      </w:tr>
    </w:tbl>
    <w:p w14:paraId="31731284" w14:textId="77777777" w:rsidR="0088474F" w:rsidRDefault="0088474F" w:rsidP="0088474F">
      <w:pPr>
        <w:spacing w:after="0"/>
      </w:pPr>
    </w:p>
    <w:p w14:paraId="714BBC29" w14:textId="0EF03D79" w:rsidR="007C1734" w:rsidRDefault="007C1734" w:rsidP="00463A94">
      <w:pPr>
        <w:rPr>
          <w:rFonts w:ascii="Arial" w:hAnsi="Arial" w:cs="Arial"/>
        </w:rPr>
      </w:pPr>
      <w:r>
        <w:t>Sustained underperformance against KPIs (defined as failure to meet target across two consecutive quarters) will trigger a formal performance improvement process. Persistent failure to remedy underperformance will be grounds for termination in accordance with the contract terms.</w:t>
      </w:r>
    </w:p>
    <w:p w14:paraId="61752018" w14:textId="7C6D33C8" w:rsidR="000C5373" w:rsidRDefault="000C5373" w:rsidP="007C1734">
      <w:pPr>
        <w:pStyle w:val="Heading1"/>
        <w:rPr>
          <w:rFonts w:ascii="Arial" w:eastAsia="Arial" w:hAnsi="Arial" w:cs="Arial"/>
          <w:sz w:val="28"/>
          <w:szCs w:val="28"/>
        </w:rPr>
      </w:pPr>
      <w:bookmarkStart w:id="41" w:name="_Toc233962877"/>
      <w:r>
        <w:lastRenderedPageBreak/>
        <w:t>Management</w:t>
      </w:r>
      <w:r>
        <w:rPr>
          <w:rFonts w:eastAsia="Arial"/>
        </w:rPr>
        <w:t xml:space="preserve"> Information</w:t>
      </w:r>
      <w:bookmarkEnd w:id="41"/>
    </w:p>
    <w:p w14:paraId="655D1B3F" w14:textId="77777777" w:rsidR="000C5373" w:rsidRDefault="000C5373" w:rsidP="00463A94">
      <w:pPr>
        <w:rPr>
          <w:rFonts w:eastAsia="Arial"/>
        </w:rPr>
      </w:pPr>
      <w:r>
        <w:t>The supplier shall provide the College with management information (MI) on a quarterly basis, in a format compatible with Microsoft Excel (.xlsx) and reported in pounds sterling (£) ex VAT. As a minimum, MI shall comprise the following:</w:t>
      </w:r>
    </w:p>
    <w:p w14:paraId="3FEB3A9F" w14:textId="77777777" w:rsidR="000C5373" w:rsidRDefault="000C5373" w:rsidP="006E7956">
      <w:pPr>
        <w:pStyle w:val="ListParagraph"/>
        <w:numPr>
          <w:ilvl w:val="0"/>
          <w:numId w:val="5"/>
        </w:numPr>
      </w:pPr>
      <w:r>
        <w:t>Total spend in the period and cumulative contract spend to date.</w:t>
      </w:r>
    </w:p>
    <w:p w14:paraId="3E34AD78" w14:textId="77777777" w:rsidR="000C5373" w:rsidRDefault="000C5373" w:rsidP="006E7956">
      <w:pPr>
        <w:pStyle w:val="ListParagraph"/>
        <w:numPr>
          <w:ilvl w:val="0"/>
          <w:numId w:val="5"/>
        </w:numPr>
      </w:pPr>
      <w:r>
        <w:t>Spend broken down by ordering department and cost centre code (the College will provide a list of codes at the start of the contract).</w:t>
      </w:r>
    </w:p>
    <w:p w14:paraId="05EFA7EB" w14:textId="6436FFCF" w:rsidR="000C5373" w:rsidRDefault="000C5373" w:rsidP="006E7956">
      <w:pPr>
        <w:pStyle w:val="ListParagraph"/>
        <w:numPr>
          <w:ilvl w:val="0"/>
          <w:numId w:val="5"/>
        </w:numPr>
      </w:pPr>
      <w:r>
        <w:t xml:space="preserve">Spend broken down by item category, mapped to the categories in </w:t>
      </w:r>
      <w:r w:rsidRPr="00546FF1">
        <w:rPr>
          <w:b/>
          <w:bCs/>
        </w:rPr>
        <w:t>Appendix B</w:t>
      </w:r>
      <w:r>
        <w:t xml:space="preserve"> (the Lot structure).</w:t>
      </w:r>
    </w:p>
    <w:p w14:paraId="5609953F" w14:textId="77777777" w:rsidR="000C5373" w:rsidRDefault="000C5373" w:rsidP="006E7956">
      <w:pPr>
        <w:pStyle w:val="ListParagraph"/>
        <w:numPr>
          <w:ilvl w:val="0"/>
          <w:numId w:val="5"/>
        </w:numPr>
      </w:pPr>
      <w:r>
        <w:t>Identification of off-schedule items purchased, together with the discount applied and the equivalent list price.</w:t>
      </w:r>
    </w:p>
    <w:p w14:paraId="48AF788A" w14:textId="77777777" w:rsidR="000C5373" w:rsidRDefault="000C5373" w:rsidP="006E7956">
      <w:pPr>
        <w:pStyle w:val="ListParagraph"/>
        <w:numPr>
          <w:ilvl w:val="0"/>
          <w:numId w:val="5"/>
        </w:numPr>
      </w:pPr>
      <w:r>
        <w:t>On-time-in-full (OTIF) delivery performance, both as a count and as a percentage of orders despatched in the period.</w:t>
      </w:r>
    </w:p>
    <w:p w14:paraId="0EB01A21" w14:textId="77777777" w:rsidR="000C5373" w:rsidRDefault="000C5373" w:rsidP="006E7956">
      <w:pPr>
        <w:pStyle w:val="ListParagraph"/>
        <w:numPr>
          <w:ilvl w:val="0"/>
          <w:numId w:val="5"/>
        </w:numPr>
      </w:pPr>
      <w:r>
        <w:t>Any orders rejected, returned or substituted, together with the reason.</w:t>
      </w:r>
    </w:p>
    <w:p w14:paraId="14E72F38" w14:textId="77777777" w:rsidR="000C5373" w:rsidRDefault="000C5373" w:rsidP="00463A94">
      <w:r>
        <w:t>The supplier shall also provide ad hoc MI within five (5) working days of a written request from the College, where reasonably required for budget reporting, audit or contract review purposes.</w:t>
      </w:r>
    </w:p>
    <w:p w14:paraId="1826EFD1" w14:textId="4E2F411A" w:rsidR="007C1734" w:rsidRDefault="007C1734" w:rsidP="007C1734">
      <w:pPr>
        <w:pStyle w:val="Heading1"/>
        <w:rPr>
          <w:rFonts w:eastAsia="Arial"/>
        </w:rPr>
      </w:pPr>
      <w:bookmarkStart w:id="42" w:name="_Toc233962878"/>
      <w:r>
        <w:rPr>
          <w:rFonts w:eastAsia="Arial"/>
        </w:rPr>
        <w:t>Health</w:t>
      </w:r>
      <w:r w:rsidR="0088474F">
        <w:rPr>
          <w:rFonts w:eastAsia="Arial"/>
        </w:rPr>
        <w:t xml:space="preserve"> and</w:t>
      </w:r>
      <w:r>
        <w:rPr>
          <w:rFonts w:eastAsia="Arial"/>
        </w:rPr>
        <w:t xml:space="preserve"> Safety</w:t>
      </w:r>
      <w:r w:rsidR="0088474F">
        <w:rPr>
          <w:rFonts w:eastAsia="Arial"/>
        </w:rPr>
        <w:t xml:space="preserve"> Considerations</w:t>
      </w:r>
      <w:bookmarkEnd w:id="42"/>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7826"/>
      </w:tblGrid>
      <w:tr w:rsidR="007C1734" w14:paraId="4F05EEDB" w14:textId="77777777" w:rsidTr="007C1734">
        <w:trPr>
          <w:tblHeader/>
        </w:trPr>
        <w:tc>
          <w:tcPr>
            <w:tcW w:w="1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hideMark/>
          </w:tcPr>
          <w:p w14:paraId="28CAEE5C" w14:textId="77777777" w:rsidR="007C1734" w:rsidRDefault="007C1734">
            <w:pPr>
              <w:rPr>
                <w:rFonts w:eastAsia="Arial"/>
              </w:rPr>
            </w:pPr>
            <w:r>
              <w:rPr>
                <w:b/>
                <w:bCs/>
                <w:color w:val="FFFFFF"/>
                <w:sz w:val="20"/>
                <w:szCs w:val="20"/>
              </w:rPr>
              <w:t>Ref</w:t>
            </w:r>
          </w:p>
        </w:tc>
        <w:tc>
          <w:tcPr>
            <w:tcW w:w="7826"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hideMark/>
          </w:tcPr>
          <w:p w14:paraId="0C26FEB4" w14:textId="77777777" w:rsidR="007C1734" w:rsidRDefault="007C1734">
            <w:r>
              <w:rPr>
                <w:b/>
                <w:bCs/>
                <w:color w:val="FFFFFF"/>
                <w:sz w:val="20"/>
                <w:szCs w:val="20"/>
              </w:rPr>
              <w:t>Requirement</w:t>
            </w:r>
          </w:p>
        </w:tc>
      </w:tr>
      <w:tr w:rsidR="007C1734" w14:paraId="2B911706" w14:textId="77777777" w:rsidTr="007C1734">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31A9373E" w14:textId="105199F8" w:rsidR="007C1734" w:rsidRDefault="0088474F">
            <w:r>
              <w:t>15.1</w:t>
            </w:r>
          </w:p>
        </w:tc>
        <w:tc>
          <w:tcPr>
            <w:tcW w:w="7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43B90211" w14:textId="77777777" w:rsidR="007C1734" w:rsidRDefault="007C1734">
            <w:r>
              <w:rPr>
                <w:sz w:val="20"/>
                <w:szCs w:val="20"/>
              </w:rPr>
              <w:t xml:space="preserve">The supplier shall comply with all applicable health and safety legislation in performance of the contract, including the Health and Safety at Work etc Act 1974 and the Construction (Design and Management) Regulations 2015 </w:t>
            </w:r>
            <w:proofErr w:type="gramStart"/>
            <w:r>
              <w:rPr>
                <w:sz w:val="20"/>
                <w:szCs w:val="20"/>
              </w:rPr>
              <w:t>where</w:t>
            </w:r>
            <w:proofErr w:type="gramEnd"/>
            <w:r>
              <w:rPr>
                <w:sz w:val="20"/>
                <w:szCs w:val="20"/>
              </w:rPr>
              <w:t xml:space="preserve"> engaged in any activity to which they apply.</w:t>
            </w:r>
          </w:p>
        </w:tc>
      </w:tr>
      <w:tr w:rsidR="007C1734" w14:paraId="68EF1031" w14:textId="77777777" w:rsidTr="007C1734">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5CCEF9A1" w14:textId="75F55E59" w:rsidR="007C1734" w:rsidRDefault="0088474F">
            <w:r>
              <w:t>15.2</w:t>
            </w:r>
          </w:p>
        </w:tc>
        <w:tc>
          <w:tcPr>
            <w:tcW w:w="78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hideMark/>
          </w:tcPr>
          <w:p w14:paraId="0B4B75B3" w14:textId="77777777" w:rsidR="007C1734" w:rsidRDefault="007C1734">
            <w:r>
              <w:rPr>
                <w:sz w:val="20"/>
                <w:szCs w:val="20"/>
              </w:rPr>
              <w:t>The supplier and any sub-contracted carrier delivering to the College site shall comply with the College's site rules in force at the time of delivery. The College will provide a copy of its Site Visitor and Delivery rules at the start of the contract.</w:t>
            </w:r>
          </w:p>
        </w:tc>
      </w:tr>
      <w:tr w:rsidR="007C1734" w14:paraId="5A9C80A4" w14:textId="77777777" w:rsidTr="007C1734">
        <w:tc>
          <w:tcPr>
            <w:tcW w:w="1200"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364D2289" w14:textId="09B3FEF9" w:rsidR="007C1734" w:rsidRDefault="0088474F">
            <w:r>
              <w:t>15.3</w:t>
            </w:r>
          </w:p>
        </w:tc>
        <w:tc>
          <w:tcPr>
            <w:tcW w:w="7826"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hideMark/>
          </w:tcPr>
          <w:p w14:paraId="4832A97A" w14:textId="77777777" w:rsidR="007C1734" w:rsidRDefault="007C1734">
            <w:r>
              <w:rPr>
                <w:sz w:val="20"/>
                <w:szCs w:val="20"/>
              </w:rPr>
              <w:t>Drivers attending site shall report to Goods Receipt and shall not enter teaching workshops without escort.</w:t>
            </w:r>
          </w:p>
        </w:tc>
      </w:tr>
    </w:tbl>
    <w:p w14:paraId="1539D620" w14:textId="77777777" w:rsidR="00546FF1" w:rsidRDefault="00546FF1" w:rsidP="00546FF1">
      <w:pPr>
        <w:pStyle w:val="Heading1"/>
        <w:keepNext w:val="0"/>
        <w:keepLines w:val="0"/>
        <w:widowControl w:val="0"/>
        <w:numPr>
          <w:ilvl w:val="0"/>
          <w:numId w:val="0"/>
        </w:numPr>
        <w:spacing w:before="1" w:line="240" w:lineRule="auto"/>
        <w:ind w:left="432" w:right="1" w:hanging="432"/>
        <w:jc w:val="left"/>
      </w:pPr>
      <w:bookmarkStart w:id="43" w:name="_Toc224048908"/>
      <w:bookmarkStart w:id="44" w:name="_Toc224048897"/>
    </w:p>
    <w:p w14:paraId="0FD269F3" w14:textId="3FF13084" w:rsidR="0088474F" w:rsidRDefault="0088474F" w:rsidP="00546FF1">
      <w:pPr>
        <w:pStyle w:val="Heading1"/>
        <w:keepNext w:val="0"/>
        <w:keepLines w:val="0"/>
        <w:widowControl w:val="0"/>
        <w:numPr>
          <w:ilvl w:val="0"/>
          <w:numId w:val="0"/>
        </w:numPr>
        <w:spacing w:before="1" w:line="240" w:lineRule="auto"/>
        <w:ind w:left="432" w:right="1" w:hanging="432"/>
        <w:jc w:val="left"/>
      </w:pPr>
    </w:p>
    <w:p w14:paraId="22DF1371" w14:textId="77777777" w:rsidR="0088474F" w:rsidRDefault="0088474F">
      <w:pPr>
        <w:jc w:val="left"/>
        <w:rPr>
          <w:rFonts w:eastAsiaTheme="majorEastAsia" w:cstheme="minorHAnsi"/>
          <w:b/>
          <w:bCs/>
          <w:sz w:val="24"/>
          <w:szCs w:val="24"/>
        </w:rPr>
      </w:pPr>
      <w:r>
        <w:br w:type="page"/>
      </w:r>
    </w:p>
    <w:p w14:paraId="5E38D739" w14:textId="66D83767" w:rsidR="00546FF1" w:rsidRDefault="00546FF1" w:rsidP="00546FF1">
      <w:pPr>
        <w:pStyle w:val="Heading1"/>
      </w:pPr>
      <w:bookmarkStart w:id="45" w:name="_Toc233962879"/>
      <w:r>
        <w:lastRenderedPageBreak/>
        <w:t>Guidance for Calling-off from the Framework Agreement</w:t>
      </w:r>
      <w:bookmarkEnd w:id="43"/>
      <w:bookmarkEnd w:id="45"/>
    </w:p>
    <w:p w14:paraId="7B347758" w14:textId="77777777" w:rsidR="00546FF1" w:rsidRDefault="00546FF1" w:rsidP="00546FF1">
      <w:r>
        <w:t xml:space="preserve">Call-offs under the Framework Agreement shall be conducted through one of the following methods: </w:t>
      </w:r>
    </w:p>
    <w:p w14:paraId="26D3675A" w14:textId="77777777" w:rsidR="00546FF1" w:rsidRDefault="00546FF1" w:rsidP="00546FF1">
      <w:pPr>
        <w:widowControl w:val="0"/>
        <w:numPr>
          <w:ilvl w:val="0"/>
          <w:numId w:val="21"/>
        </w:numPr>
        <w:pBdr>
          <w:top w:val="nil"/>
          <w:left w:val="nil"/>
          <w:bottom w:val="nil"/>
          <w:right w:val="nil"/>
          <w:between w:val="nil"/>
        </w:pBdr>
        <w:spacing w:after="0" w:line="240" w:lineRule="auto"/>
      </w:pPr>
      <w:r>
        <w:rPr>
          <w:color w:val="000000"/>
        </w:rPr>
        <w:t xml:space="preserve">Mini-Competition, </w:t>
      </w:r>
    </w:p>
    <w:p w14:paraId="1730AF41" w14:textId="77777777" w:rsidR="00546FF1" w:rsidRDefault="00546FF1" w:rsidP="00546FF1">
      <w:pPr>
        <w:widowControl w:val="0"/>
        <w:numPr>
          <w:ilvl w:val="0"/>
          <w:numId w:val="21"/>
        </w:numPr>
        <w:pBdr>
          <w:top w:val="nil"/>
          <w:left w:val="nil"/>
          <w:bottom w:val="nil"/>
          <w:right w:val="nil"/>
          <w:between w:val="nil"/>
        </w:pBdr>
        <w:spacing w:after="0" w:line="240" w:lineRule="auto"/>
      </w:pPr>
      <w:r>
        <w:rPr>
          <w:color w:val="000000"/>
        </w:rPr>
        <w:t xml:space="preserve">Direct Award (by rotation), or </w:t>
      </w:r>
    </w:p>
    <w:p w14:paraId="41C015FF" w14:textId="77777777" w:rsidR="00546FF1" w:rsidRDefault="00546FF1" w:rsidP="00546FF1">
      <w:pPr>
        <w:widowControl w:val="0"/>
        <w:numPr>
          <w:ilvl w:val="0"/>
          <w:numId w:val="21"/>
        </w:numPr>
        <w:pBdr>
          <w:top w:val="nil"/>
          <w:left w:val="nil"/>
          <w:bottom w:val="nil"/>
          <w:right w:val="nil"/>
          <w:between w:val="nil"/>
        </w:pBdr>
        <w:spacing w:after="0" w:line="240" w:lineRule="auto"/>
      </w:pPr>
      <w:r>
        <w:rPr>
          <w:color w:val="000000"/>
        </w:rPr>
        <w:t>Desktop Exercise</w:t>
      </w:r>
    </w:p>
    <w:p w14:paraId="6893245D" w14:textId="77777777" w:rsidR="0088474F" w:rsidRDefault="0088474F" w:rsidP="0088474F">
      <w:pPr>
        <w:spacing w:after="0"/>
      </w:pPr>
    </w:p>
    <w:p w14:paraId="2C8299CD" w14:textId="68503877" w:rsidR="00546FF1" w:rsidRDefault="00546FF1" w:rsidP="00546FF1">
      <w:r>
        <w:t>All awards under the Framework shall be made in accordance with the one of three of the established call-off procedures.</w:t>
      </w:r>
    </w:p>
    <w:p w14:paraId="7646032A" w14:textId="77777777" w:rsidR="00546FF1" w:rsidRDefault="00546FF1" w:rsidP="00546FF1">
      <w:pPr>
        <w:pBdr>
          <w:top w:val="nil"/>
          <w:left w:val="nil"/>
          <w:bottom w:val="nil"/>
          <w:right w:val="nil"/>
          <w:between w:val="nil"/>
        </w:pBdr>
        <w:rPr>
          <w:color w:val="000000"/>
        </w:rPr>
      </w:pPr>
      <w:r>
        <w:rPr>
          <w:color w:val="000000"/>
        </w:rPr>
        <w:t xml:space="preserve">For the avoidance of doubt, </w:t>
      </w:r>
    </w:p>
    <w:p w14:paraId="76F45515" w14:textId="77777777" w:rsidR="00546FF1" w:rsidRDefault="00546FF1" w:rsidP="00546FF1">
      <w:pPr>
        <w:widowControl w:val="0"/>
        <w:numPr>
          <w:ilvl w:val="0"/>
          <w:numId w:val="21"/>
        </w:numPr>
        <w:pBdr>
          <w:top w:val="nil"/>
          <w:left w:val="nil"/>
          <w:bottom w:val="nil"/>
          <w:right w:val="nil"/>
          <w:between w:val="nil"/>
        </w:pBdr>
        <w:spacing w:after="0" w:line="240" w:lineRule="auto"/>
      </w:pPr>
      <w:r>
        <w:rPr>
          <w:color w:val="000000"/>
        </w:rPr>
        <w:t>Direct Award will be used routinely for straightforward or low-risk commissions</w:t>
      </w:r>
    </w:p>
    <w:p w14:paraId="167101BD" w14:textId="77777777" w:rsidR="00546FF1" w:rsidRDefault="00546FF1" w:rsidP="00546FF1">
      <w:pPr>
        <w:widowControl w:val="0"/>
        <w:numPr>
          <w:ilvl w:val="0"/>
          <w:numId w:val="21"/>
        </w:numPr>
        <w:pBdr>
          <w:top w:val="nil"/>
          <w:left w:val="nil"/>
          <w:bottom w:val="nil"/>
          <w:right w:val="nil"/>
          <w:between w:val="nil"/>
        </w:pBdr>
        <w:spacing w:after="0" w:line="240" w:lineRule="auto"/>
      </w:pPr>
      <w:r>
        <w:rPr>
          <w:color w:val="000000"/>
        </w:rPr>
        <w:t>Mini-competitions are reserved for complex or higher-value work</w:t>
      </w:r>
    </w:p>
    <w:p w14:paraId="085C73EC" w14:textId="77777777" w:rsidR="00546FF1" w:rsidRDefault="00546FF1" w:rsidP="00546FF1">
      <w:pPr>
        <w:widowControl w:val="0"/>
        <w:numPr>
          <w:ilvl w:val="0"/>
          <w:numId w:val="21"/>
        </w:numPr>
        <w:pBdr>
          <w:top w:val="nil"/>
          <w:left w:val="nil"/>
          <w:bottom w:val="nil"/>
          <w:right w:val="nil"/>
          <w:between w:val="nil"/>
        </w:pBdr>
        <w:spacing w:after="0" w:line="240" w:lineRule="auto"/>
      </w:pPr>
      <w:r>
        <w:rPr>
          <w:color w:val="000000"/>
        </w:rPr>
        <w:t>Desktop exercises are used to respond to urgent or time critical needs. They do not remove the need for proper checks, records, or governance.</w:t>
      </w:r>
    </w:p>
    <w:p w14:paraId="3F48E1DD" w14:textId="77777777" w:rsidR="00546FF1" w:rsidRDefault="00546FF1" w:rsidP="00546FF1">
      <w:pPr>
        <w:pStyle w:val="Heading2"/>
      </w:pPr>
      <w:bookmarkStart w:id="46" w:name="_Toc224048909"/>
      <w:bookmarkStart w:id="47" w:name="_Toc233962880"/>
      <w:r>
        <w:t xml:space="preserve">Call-Off </w:t>
      </w:r>
      <w:r w:rsidRPr="00546FF1">
        <w:t>Process</w:t>
      </w:r>
      <w:r>
        <w:t xml:space="preserve"> 1 - Mini-Competition</w:t>
      </w:r>
      <w:bookmarkEnd w:id="46"/>
      <w:bookmarkEnd w:id="47"/>
    </w:p>
    <w:p w14:paraId="6B7D4A9B" w14:textId="77777777" w:rsidR="00FA0CEF" w:rsidRPr="00FA0CEF" w:rsidRDefault="00FA0CEF" w:rsidP="00FA0CEF">
      <w:r w:rsidRPr="00FA0CEF">
        <w:t>The default approach for higher value or more complex requirements is a mini-competition.</w:t>
      </w:r>
    </w:p>
    <w:p w14:paraId="40A3FC97" w14:textId="77777777" w:rsidR="00FA0CEF" w:rsidRPr="00FA0CEF" w:rsidRDefault="00FA0CEF" w:rsidP="0088474F">
      <w:pPr>
        <w:pBdr>
          <w:top w:val="nil"/>
          <w:left w:val="nil"/>
          <w:bottom w:val="nil"/>
          <w:right w:val="nil"/>
          <w:between w:val="nil"/>
        </w:pBdr>
      </w:pPr>
      <w:r w:rsidRPr="00FA0CEF">
        <w:t>Under this process:</w:t>
      </w:r>
    </w:p>
    <w:p w14:paraId="6E1E166D" w14:textId="77777777" w:rsidR="00FA0CEF" w:rsidRPr="00FA0CEF" w:rsidRDefault="00FA0CEF" w:rsidP="00FA0CEF">
      <w:pPr>
        <w:numPr>
          <w:ilvl w:val="0"/>
          <w:numId w:val="26"/>
        </w:numPr>
        <w:pBdr>
          <w:top w:val="nil"/>
          <w:left w:val="nil"/>
          <w:bottom w:val="nil"/>
          <w:right w:val="nil"/>
          <w:between w:val="nil"/>
        </w:pBdr>
      </w:pPr>
      <w:r w:rsidRPr="00FA0CEF">
        <w:t>Mini-tender documentation will be issued to all suppliers appointed to the relevant framework lot.</w:t>
      </w:r>
    </w:p>
    <w:p w14:paraId="134F512E" w14:textId="77777777" w:rsidR="00FA0CEF" w:rsidRPr="00FA0CEF" w:rsidRDefault="00FA0CEF" w:rsidP="00FA0CEF">
      <w:pPr>
        <w:numPr>
          <w:ilvl w:val="0"/>
          <w:numId w:val="26"/>
        </w:numPr>
        <w:pBdr>
          <w:top w:val="nil"/>
          <w:left w:val="nil"/>
          <w:bottom w:val="nil"/>
          <w:right w:val="nil"/>
          <w:between w:val="nil"/>
        </w:pBdr>
      </w:pPr>
      <w:r w:rsidRPr="00FA0CEF">
        <w:t>Suppliers will be invited to submit a tender in response to the specific requirement.</w:t>
      </w:r>
    </w:p>
    <w:p w14:paraId="64EA15AB" w14:textId="77777777" w:rsidR="00FA0CEF" w:rsidRPr="00FA0CEF" w:rsidRDefault="00FA0CEF" w:rsidP="00FA0CEF">
      <w:pPr>
        <w:numPr>
          <w:ilvl w:val="0"/>
          <w:numId w:val="26"/>
        </w:numPr>
        <w:pBdr>
          <w:top w:val="nil"/>
          <w:left w:val="nil"/>
          <w:bottom w:val="nil"/>
          <w:right w:val="nil"/>
          <w:between w:val="nil"/>
        </w:pBdr>
      </w:pPr>
      <w:r w:rsidRPr="00FA0CEF">
        <w:t>The evaluation criteria and their respective weightings will be clearly detailed within the mini-tender documentation.</w:t>
      </w:r>
    </w:p>
    <w:p w14:paraId="6334E3B9" w14:textId="5512BFC3" w:rsidR="00FA0CEF" w:rsidRDefault="00FA0CEF" w:rsidP="00FA0CEF">
      <w:pPr>
        <w:pStyle w:val="Heading2"/>
        <w:rPr>
          <w:rFonts w:eastAsia="Times New Roman"/>
        </w:rPr>
      </w:pPr>
      <w:bookmarkStart w:id="48" w:name="_Toc233962881"/>
      <w:bookmarkStart w:id="49" w:name="_Toc224048911"/>
      <w:r w:rsidRPr="00FA0CEF">
        <w:rPr>
          <w:rFonts w:eastAsia="Times New Roman"/>
        </w:rPr>
        <w:t>Call-Off Process 2 – Direct Award for Consumables</w:t>
      </w:r>
      <w:r>
        <w:rPr>
          <w:rFonts w:eastAsia="Times New Roman"/>
        </w:rPr>
        <w:t xml:space="preserve"> up the value of £30,000 </w:t>
      </w:r>
      <w:proofErr w:type="spellStart"/>
      <w:r>
        <w:rPr>
          <w:rFonts w:eastAsia="Times New Roman"/>
        </w:rPr>
        <w:t>incl</w:t>
      </w:r>
      <w:proofErr w:type="spellEnd"/>
      <w:r>
        <w:rPr>
          <w:rFonts w:eastAsia="Times New Roman"/>
        </w:rPr>
        <w:t xml:space="preserve"> Vat</w:t>
      </w:r>
      <w:bookmarkEnd w:id="48"/>
      <w:r>
        <w:rPr>
          <w:rFonts w:eastAsia="Times New Roman"/>
        </w:rPr>
        <w:t xml:space="preserve"> </w:t>
      </w:r>
    </w:p>
    <w:p w14:paraId="38EFF693" w14:textId="77777777" w:rsidR="0088474F" w:rsidRPr="0088474F" w:rsidRDefault="0088474F" w:rsidP="0088474F">
      <w:pPr>
        <w:spacing w:after="0"/>
        <w:rPr>
          <w:lang w:eastAsia="en-GB"/>
        </w:rPr>
      </w:pPr>
    </w:p>
    <w:p w14:paraId="7F11246B" w14:textId="77777777" w:rsidR="00FA0CEF" w:rsidRPr="00FA0CEF" w:rsidRDefault="00FA0CEF" w:rsidP="0088474F">
      <w:pPr>
        <w:spacing w:after="100" w:afterAutospacing="1" w:line="240" w:lineRule="auto"/>
        <w:jc w:val="left"/>
        <w:rPr>
          <w:rFonts w:eastAsia="Times New Roman" w:cstheme="minorHAnsi"/>
          <w:lang w:eastAsia="en-GB"/>
        </w:rPr>
      </w:pPr>
      <w:r w:rsidRPr="00FA0CEF">
        <w:rPr>
          <w:rFonts w:eastAsia="Times New Roman" w:cstheme="minorHAnsi"/>
          <w:lang w:eastAsia="en-GB"/>
        </w:rPr>
        <w:t>The Institution may make a direct award without undertaking a further competition where:</w:t>
      </w:r>
    </w:p>
    <w:p w14:paraId="4FAF1282" w14:textId="77777777" w:rsidR="00FA0CEF" w:rsidRPr="00FA0CEF" w:rsidRDefault="00FA0CEF" w:rsidP="00FA0CEF">
      <w:pPr>
        <w:numPr>
          <w:ilvl w:val="0"/>
          <w:numId w:val="25"/>
        </w:numPr>
        <w:spacing w:before="100" w:beforeAutospacing="1" w:after="100" w:afterAutospacing="1" w:line="240" w:lineRule="auto"/>
        <w:jc w:val="left"/>
        <w:rPr>
          <w:rFonts w:eastAsia="Times New Roman" w:cstheme="minorHAnsi"/>
          <w:lang w:eastAsia="en-GB"/>
        </w:rPr>
      </w:pPr>
      <w:r w:rsidRPr="00FA0CEF">
        <w:rPr>
          <w:rFonts w:eastAsia="Times New Roman" w:cstheme="minorHAnsi"/>
          <w:lang w:eastAsia="en-GB"/>
        </w:rPr>
        <w:t>the estimated value of the purchase is below the relevant procurement threshold or otherwise permitted under the Institution's procurement procedures;</w:t>
      </w:r>
    </w:p>
    <w:p w14:paraId="0A65E5F6" w14:textId="77777777" w:rsidR="00FA0CEF" w:rsidRPr="00FA0CEF" w:rsidRDefault="00FA0CEF" w:rsidP="00FA0CEF">
      <w:pPr>
        <w:numPr>
          <w:ilvl w:val="0"/>
          <w:numId w:val="25"/>
        </w:numPr>
        <w:spacing w:before="100" w:beforeAutospacing="1" w:after="100" w:afterAutospacing="1" w:line="240" w:lineRule="auto"/>
        <w:jc w:val="left"/>
        <w:rPr>
          <w:rFonts w:eastAsia="Times New Roman" w:cstheme="minorHAnsi"/>
          <w:lang w:eastAsia="en-GB"/>
        </w:rPr>
      </w:pPr>
      <w:r w:rsidRPr="00FA0CEF">
        <w:rPr>
          <w:rFonts w:eastAsia="Times New Roman" w:cstheme="minorHAnsi"/>
          <w:lang w:eastAsia="en-GB"/>
        </w:rPr>
        <w:t>the funding arrangements permit a direct award; and</w:t>
      </w:r>
    </w:p>
    <w:p w14:paraId="0233D4F4" w14:textId="77777777" w:rsidR="00FA0CEF" w:rsidRPr="00FA0CEF" w:rsidRDefault="00FA0CEF" w:rsidP="00FA0CEF">
      <w:pPr>
        <w:numPr>
          <w:ilvl w:val="0"/>
          <w:numId w:val="25"/>
        </w:numPr>
        <w:spacing w:before="100" w:beforeAutospacing="1" w:after="100" w:afterAutospacing="1" w:line="240" w:lineRule="auto"/>
        <w:jc w:val="left"/>
        <w:rPr>
          <w:rFonts w:eastAsia="Times New Roman" w:cstheme="minorHAnsi"/>
          <w:lang w:eastAsia="en-GB"/>
        </w:rPr>
      </w:pPr>
      <w:r w:rsidRPr="00FA0CEF">
        <w:rPr>
          <w:rFonts w:eastAsia="Times New Roman" w:cstheme="minorHAnsi"/>
          <w:lang w:eastAsia="en-GB"/>
        </w:rPr>
        <w:t>the requirement falls within the scope of the Framework Agreement.</w:t>
      </w:r>
    </w:p>
    <w:p w14:paraId="197D4C2A" w14:textId="77777777" w:rsidR="00FA0CEF" w:rsidRPr="00FA0CEF" w:rsidRDefault="00FA0CEF" w:rsidP="00FA0CEF">
      <w:pPr>
        <w:spacing w:before="100" w:beforeAutospacing="1" w:after="100" w:afterAutospacing="1" w:line="240" w:lineRule="auto"/>
        <w:jc w:val="left"/>
        <w:rPr>
          <w:rFonts w:eastAsia="Times New Roman" w:cstheme="minorHAnsi"/>
          <w:lang w:eastAsia="en-GB"/>
        </w:rPr>
      </w:pPr>
      <w:r w:rsidRPr="00FA0CEF">
        <w:rPr>
          <w:rFonts w:eastAsia="Times New Roman" w:cstheme="minorHAnsi"/>
          <w:lang w:eastAsia="en-GB"/>
        </w:rPr>
        <w:t>Direct awards will normally be made to the supplier offering the best overall value based on the original evaluated basket of goods submitted as part of the tender.</w:t>
      </w:r>
    </w:p>
    <w:p w14:paraId="76DFB196" w14:textId="77777777" w:rsidR="00FA0CEF" w:rsidRPr="00FA0CEF" w:rsidRDefault="00FA0CEF" w:rsidP="00FA0CEF">
      <w:pPr>
        <w:spacing w:before="100" w:beforeAutospacing="1" w:after="100" w:afterAutospacing="1" w:line="240" w:lineRule="auto"/>
        <w:jc w:val="left"/>
        <w:rPr>
          <w:rFonts w:eastAsia="Times New Roman" w:cstheme="minorHAnsi"/>
          <w:lang w:eastAsia="en-GB"/>
        </w:rPr>
      </w:pPr>
      <w:r w:rsidRPr="00FA0CEF">
        <w:rPr>
          <w:rFonts w:eastAsia="Times New Roman" w:cstheme="minorHAnsi"/>
          <w:lang w:eastAsia="en-GB"/>
        </w:rPr>
        <w:t>Where the required items are not included within the original basket, or are unavailable, the supplier shall provide prices in accordance with the pricing mechanism set out within the Framework Agreement. The Institution reserves the right to benchmark prices or seek alternative quotations where it considers this necessary to demonstrate value for money.</w:t>
      </w:r>
    </w:p>
    <w:p w14:paraId="7EACBF86" w14:textId="77777777" w:rsidR="00FA0CEF" w:rsidRPr="00FA0CEF" w:rsidRDefault="00FA0CEF" w:rsidP="00FA0CEF">
      <w:pPr>
        <w:spacing w:before="100" w:beforeAutospacing="1" w:after="100" w:afterAutospacing="1" w:line="240" w:lineRule="auto"/>
        <w:jc w:val="left"/>
        <w:rPr>
          <w:rFonts w:eastAsia="Times New Roman" w:cstheme="minorHAnsi"/>
          <w:lang w:eastAsia="en-GB"/>
        </w:rPr>
      </w:pPr>
      <w:r w:rsidRPr="00FA0CEF">
        <w:rPr>
          <w:rFonts w:eastAsia="Times New Roman" w:cstheme="minorHAnsi"/>
          <w:lang w:eastAsia="en-GB"/>
        </w:rPr>
        <w:t>The Institution is under no obligation to purchase a minimum quantity or value of goods through the Framework Agreement.</w:t>
      </w:r>
    </w:p>
    <w:p w14:paraId="443C7795" w14:textId="77777777" w:rsidR="00FA0CEF" w:rsidRPr="0088474F" w:rsidRDefault="00FA0CEF" w:rsidP="0088474F">
      <w:pPr>
        <w:pStyle w:val="ListParagraph"/>
        <w:numPr>
          <w:ilvl w:val="0"/>
          <w:numId w:val="27"/>
        </w:numPr>
        <w:spacing w:before="100" w:beforeAutospacing="1" w:after="100" w:afterAutospacing="1" w:line="240" w:lineRule="auto"/>
        <w:jc w:val="left"/>
        <w:rPr>
          <w:rFonts w:eastAsia="Times New Roman" w:cstheme="minorHAnsi"/>
          <w:lang w:eastAsia="en-GB"/>
        </w:rPr>
      </w:pPr>
      <w:r w:rsidRPr="0088474F">
        <w:rPr>
          <w:rFonts w:eastAsia="Times New Roman" w:cstheme="minorHAnsi"/>
          <w:lang w:eastAsia="en-GB"/>
        </w:rPr>
        <w:t>All call-off contracts shall be subject to the Terms and Conditions of the Framework Agreement.</w:t>
      </w:r>
    </w:p>
    <w:p w14:paraId="464BC746" w14:textId="0889F65E" w:rsidR="00FA0CEF" w:rsidRPr="00FA0CEF" w:rsidRDefault="00FA0CEF" w:rsidP="00FA0CEF">
      <w:pPr>
        <w:pStyle w:val="Heading2"/>
      </w:pPr>
      <w:bookmarkStart w:id="50" w:name="_Toc233962882"/>
      <w:bookmarkEnd w:id="49"/>
      <w:r w:rsidRPr="00FA0CEF">
        <w:lastRenderedPageBreak/>
        <w:t>Call-Off Process 3 – Desktop Exercise</w:t>
      </w:r>
      <w:r>
        <w:t xml:space="preserve"> </w:t>
      </w:r>
      <w:r w:rsidR="000D4504">
        <w:t xml:space="preserve">for </w:t>
      </w:r>
      <w:r w:rsidR="000D4504" w:rsidRPr="00FA0CEF">
        <w:t>Consumables</w:t>
      </w:r>
      <w:r w:rsidRPr="00FA0CEF">
        <w:t xml:space="preserve"> up the value of £30,000 </w:t>
      </w:r>
      <w:proofErr w:type="spellStart"/>
      <w:r w:rsidRPr="00FA0CEF">
        <w:t>incl</w:t>
      </w:r>
      <w:proofErr w:type="spellEnd"/>
      <w:r w:rsidRPr="00FA0CEF">
        <w:t xml:space="preserve"> Vat</w:t>
      </w:r>
      <w:bookmarkEnd w:id="50"/>
      <w:r w:rsidRPr="00FA0CEF">
        <w:t xml:space="preserve"> </w:t>
      </w:r>
    </w:p>
    <w:p w14:paraId="4E72425E" w14:textId="77777777" w:rsidR="0088474F" w:rsidRDefault="0088474F" w:rsidP="0088474F">
      <w:pPr>
        <w:pBdr>
          <w:top w:val="nil"/>
          <w:left w:val="nil"/>
          <w:bottom w:val="nil"/>
          <w:right w:val="nil"/>
          <w:between w:val="nil"/>
        </w:pBdr>
        <w:spacing w:after="0"/>
        <w:rPr>
          <w:rFonts w:ascii="Calibri" w:eastAsiaTheme="majorEastAsia" w:hAnsi="Calibri" w:cstheme="minorHAnsi"/>
          <w:lang w:eastAsia="en-GB"/>
        </w:rPr>
      </w:pPr>
    </w:p>
    <w:p w14:paraId="2437F9BD" w14:textId="62D2DCEC" w:rsidR="00FA0CEF" w:rsidRPr="0088474F" w:rsidRDefault="00FA0CEF" w:rsidP="00FA0CEF">
      <w:pPr>
        <w:pBdr>
          <w:top w:val="nil"/>
          <w:left w:val="nil"/>
          <w:bottom w:val="nil"/>
          <w:right w:val="nil"/>
          <w:between w:val="nil"/>
        </w:pBdr>
        <w:rPr>
          <w:rFonts w:ascii="Calibri" w:eastAsiaTheme="majorEastAsia" w:hAnsi="Calibri" w:cstheme="minorHAnsi"/>
          <w:lang w:eastAsia="en-GB"/>
        </w:rPr>
      </w:pPr>
      <w:r w:rsidRPr="0088474F">
        <w:rPr>
          <w:rFonts w:ascii="Calibri" w:eastAsiaTheme="majorEastAsia" w:hAnsi="Calibri" w:cstheme="minorHAnsi"/>
          <w:lang w:eastAsia="en-GB"/>
        </w:rPr>
        <w:t>Where College staff are satisfied that the Framework Agreement terms and conditions can be used without amendment, a desktop exercise may be undertaken.</w:t>
      </w:r>
    </w:p>
    <w:p w14:paraId="1B794A4F" w14:textId="77777777" w:rsidR="00FA0CEF" w:rsidRPr="0088474F" w:rsidRDefault="00FA0CEF" w:rsidP="00FA0CEF">
      <w:pPr>
        <w:pBdr>
          <w:top w:val="nil"/>
          <w:left w:val="nil"/>
          <w:bottom w:val="nil"/>
          <w:right w:val="nil"/>
          <w:between w:val="nil"/>
        </w:pBdr>
        <w:rPr>
          <w:rFonts w:ascii="Calibri" w:eastAsiaTheme="majorEastAsia" w:hAnsi="Calibri" w:cstheme="minorHAnsi"/>
          <w:lang w:eastAsia="en-GB"/>
        </w:rPr>
      </w:pPr>
      <w:r w:rsidRPr="0088474F">
        <w:rPr>
          <w:rFonts w:ascii="Calibri" w:eastAsiaTheme="majorEastAsia" w:hAnsi="Calibri" w:cstheme="minorHAnsi"/>
          <w:lang w:eastAsia="en-GB"/>
        </w:rPr>
        <w:t>This process will use the pricing and quality information submitted by suppliers as part of the original framework tender.</w:t>
      </w:r>
    </w:p>
    <w:p w14:paraId="6E170C55" w14:textId="77777777" w:rsidR="00FA0CEF" w:rsidRPr="0088474F" w:rsidRDefault="00FA0CEF" w:rsidP="00FA0CEF">
      <w:pPr>
        <w:pBdr>
          <w:top w:val="nil"/>
          <w:left w:val="nil"/>
          <w:bottom w:val="nil"/>
          <w:right w:val="nil"/>
          <w:between w:val="nil"/>
        </w:pBdr>
        <w:rPr>
          <w:rFonts w:ascii="Calibri" w:eastAsiaTheme="majorEastAsia" w:hAnsi="Calibri" w:cstheme="minorHAnsi"/>
          <w:lang w:eastAsia="en-GB"/>
        </w:rPr>
      </w:pPr>
      <w:r w:rsidRPr="0088474F">
        <w:rPr>
          <w:rFonts w:ascii="Calibri" w:eastAsiaTheme="majorEastAsia" w:hAnsi="Calibri" w:cstheme="minorHAnsi"/>
          <w:lang w:eastAsia="en-GB"/>
        </w:rPr>
        <w:t>For consumables, the desktop exercise will be based on the original basket of goods submitted and evaluated at tender stage.</w:t>
      </w:r>
    </w:p>
    <w:p w14:paraId="2B86424F" w14:textId="77777777" w:rsidR="00FA0CEF" w:rsidRPr="0088474F" w:rsidRDefault="00FA0CEF" w:rsidP="00FA0CEF">
      <w:pPr>
        <w:pBdr>
          <w:top w:val="nil"/>
          <w:left w:val="nil"/>
          <w:bottom w:val="nil"/>
          <w:right w:val="nil"/>
          <w:between w:val="nil"/>
        </w:pBdr>
        <w:rPr>
          <w:rFonts w:ascii="Calibri" w:eastAsiaTheme="majorEastAsia" w:hAnsi="Calibri" w:cstheme="minorHAnsi"/>
          <w:lang w:eastAsia="en-GB"/>
        </w:rPr>
      </w:pPr>
      <w:r w:rsidRPr="0088474F">
        <w:rPr>
          <w:rFonts w:ascii="Calibri" w:eastAsiaTheme="majorEastAsia" w:hAnsi="Calibri" w:cstheme="minorHAnsi"/>
          <w:lang w:eastAsia="en-GB"/>
        </w:rPr>
        <w:t>Where required, the original evaluation criteria may be adjusted to reflect the specific local requirement. Each criterion weighting may be adjusted by up to 20 percentage points, provided the total weighting remains 100%.</w:t>
      </w:r>
    </w:p>
    <w:p w14:paraId="23860287" w14:textId="77777777" w:rsidR="00FA0CEF" w:rsidRPr="0088474F" w:rsidRDefault="00FA0CEF" w:rsidP="00FA0CEF">
      <w:pPr>
        <w:pBdr>
          <w:top w:val="nil"/>
          <w:left w:val="nil"/>
          <w:bottom w:val="nil"/>
          <w:right w:val="nil"/>
          <w:between w:val="nil"/>
        </w:pBdr>
        <w:rPr>
          <w:rFonts w:ascii="Calibri" w:eastAsiaTheme="majorEastAsia" w:hAnsi="Calibri" w:cstheme="minorHAnsi"/>
          <w:lang w:eastAsia="en-GB"/>
        </w:rPr>
      </w:pPr>
      <w:r w:rsidRPr="0088474F">
        <w:rPr>
          <w:rFonts w:ascii="Calibri" w:eastAsiaTheme="majorEastAsia" w:hAnsi="Calibri" w:cstheme="minorHAnsi"/>
          <w:lang w:eastAsia="en-GB"/>
        </w:rPr>
        <w:t>The overall scores will then be recalculated using the adjusted weightings, and the call-off will be awarded to the highest scoring supplier.</w:t>
      </w:r>
    </w:p>
    <w:p w14:paraId="14317891" w14:textId="2C111CFF" w:rsidR="00546FF1" w:rsidRPr="0088474F" w:rsidRDefault="00FA0CEF" w:rsidP="00FA0CEF">
      <w:pPr>
        <w:pBdr>
          <w:top w:val="nil"/>
          <w:left w:val="nil"/>
          <w:bottom w:val="nil"/>
          <w:right w:val="nil"/>
          <w:between w:val="nil"/>
        </w:pBdr>
        <w:rPr>
          <w:color w:val="000000"/>
          <w:sz w:val="20"/>
          <w:szCs w:val="20"/>
        </w:rPr>
      </w:pPr>
      <w:r w:rsidRPr="0088474F">
        <w:rPr>
          <w:rFonts w:ascii="Calibri" w:eastAsiaTheme="majorEastAsia" w:hAnsi="Calibri" w:cstheme="minorHAnsi"/>
          <w:lang w:eastAsia="en-GB"/>
        </w:rPr>
        <w:t>No further competition or revised pricing will be requested from suppliers under this process.</w:t>
      </w:r>
    </w:p>
    <w:p w14:paraId="230F4C5A" w14:textId="2F322390" w:rsidR="00095640" w:rsidRDefault="00095640" w:rsidP="00095640">
      <w:pPr>
        <w:pStyle w:val="Heading1"/>
      </w:pPr>
      <w:bookmarkStart w:id="51" w:name="_Toc233962883"/>
      <w:r>
        <w:t>Combined Liability Insurance</w:t>
      </w:r>
      <w:bookmarkEnd w:id="44"/>
      <w:bookmarkEnd w:id="51"/>
    </w:p>
    <w:p w14:paraId="4F0459B5" w14:textId="7F6BDDCF" w:rsidR="00095640" w:rsidRDefault="00095640" w:rsidP="00463A94">
      <w:pPr>
        <w:rPr>
          <w:color w:val="000000"/>
        </w:rPr>
      </w:pPr>
      <w:r>
        <w:t xml:space="preserve">It is a requirement of this Contract that the </w:t>
      </w:r>
      <w:r w:rsidR="000D4504">
        <w:t>appointed Supplier should</w:t>
      </w:r>
      <w:r>
        <w:t xml:space="preserve"> be </w:t>
      </w:r>
      <w:r w:rsidR="000D4504">
        <w:t>insured as</w:t>
      </w:r>
      <w:r>
        <w:t xml:space="preserve"> below </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4621"/>
      </w:tblGrid>
      <w:tr w:rsidR="00095640" w14:paraId="40D7A0A8" w14:textId="77777777" w:rsidTr="000F491E">
        <w:trPr>
          <w:trHeight w:val="423"/>
        </w:trPr>
        <w:tc>
          <w:tcPr>
            <w:tcW w:w="4621" w:type="dxa"/>
            <w:shd w:val="clear" w:color="auto" w:fill="D9D9D9"/>
            <w:vAlign w:val="center"/>
          </w:tcPr>
          <w:p w14:paraId="74F2594E" w14:textId="77777777" w:rsidR="00095640" w:rsidRDefault="00095640" w:rsidP="000F491E">
            <w:pPr>
              <w:rPr>
                <w:b/>
                <w:bCs/>
              </w:rPr>
            </w:pPr>
            <w:r>
              <w:rPr>
                <w:b/>
                <w:bCs/>
              </w:rPr>
              <w:t>Employers Liability</w:t>
            </w:r>
            <w:r>
              <w:rPr>
                <w:b/>
                <w:bCs/>
              </w:rPr>
              <w:tab/>
            </w:r>
          </w:p>
        </w:tc>
        <w:tc>
          <w:tcPr>
            <w:tcW w:w="4621" w:type="dxa"/>
            <w:vAlign w:val="center"/>
          </w:tcPr>
          <w:p w14:paraId="1058FC66" w14:textId="77777777" w:rsidR="00095640" w:rsidRDefault="00095640" w:rsidP="000F491E">
            <w:r>
              <w:t>Limit of Indemnity - £10,000,000</w:t>
            </w:r>
          </w:p>
        </w:tc>
      </w:tr>
      <w:tr w:rsidR="00095640" w14:paraId="0B22078D" w14:textId="77777777" w:rsidTr="000F491E">
        <w:trPr>
          <w:trHeight w:val="414"/>
        </w:trPr>
        <w:tc>
          <w:tcPr>
            <w:tcW w:w="4621" w:type="dxa"/>
            <w:shd w:val="clear" w:color="auto" w:fill="D9D9D9"/>
            <w:vAlign w:val="center"/>
          </w:tcPr>
          <w:p w14:paraId="2B3B3170" w14:textId="77777777" w:rsidR="00095640" w:rsidRDefault="00095640" w:rsidP="000F491E">
            <w:pPr>
              <w:rPr>
                <w:b/>
                <w:bCs/>
              </w:rPr>
            </w:pPr>
            <w:r>
              <w:rPr>
                <w:b/>
                <w:bCs/>
              </w:rPr>
              <w:t>Public Liability</w:t>
            </w:r>
            <w:r>
              <w:rPr>
                <w:b/>
                <w:bCs/>
              </w:rPr>
              <w:tab/>
            </w:r>
          </w:p>
        </w:tc>
        <w:tc>
          <w:tcPr>
            <w:tcW w:w="4621" w:type="dxa"/>
            <w:vAlign w:val="center"/>
          </w:tcPr>
          <w:p w14:paraId="18E45874" w14:textId="77777777" w:rsidR="00095640" w:rsidRDefault="00095640" w:rsidP="000F491E">
            <w:r>
              <w:t>Limit of Indemnity - £5,000,000</w:t>
            </w:r>
          </w:p>
        </w:tc>
      </w:tr>
      <w:tr w:rsidR="00095640" w14:paraId="3E8F8F43" w14:textId="77777777" w:rsidTr="000F491E">
        <w:trPr>
          <w:trHeight w:val="407"/>
        </w:trPr>
        <w:tc>
          <w:tcPr>
            <w:tcW w:w="4621" w:type="dxa"/>
            <w:shd w:val="clear" w:color="auto" w:fill="D9D9D9"/>
            <w:vAlign w:val="center"/>
          </w:tcPr>
          <w:p w14:paraId="3388628C" w14:textId="729A4191" w:rsidR="00095640" w:rsidRPr="00463A94" w:rsidRDefault="00463A94" w:rsidP="000F491E">
            <w:pPr>
              <w:rPr>
                <w:rFonts w:cstheme="minorHAnsi"/>
                <w:b/>
                <w:bCs/>
              </w:rPr>
            </w:pPr>
            <w:r>
              <w:rPr>
                <w:rFonts w:eastAsia="Times New Roman" w:cstheme="minorHAnsi"/>
                <w:b/>
                <w:bCs/>
                <w:lang w:eastAsia="en-GB"/>
              </w:rPr>
              <w:t>Product Liability Insurance</w:t>
            </w:r>
          </w:p>
        </w:tc>
        <w:tc>
          <w:tcPr>
            <w:tcW w:w="4621" w:type="dxa"/>
            <w:vAlign w:val="center"/>
          </w:tcPr>
          <w:p w14:paraId="123962CA" w14:textId="0E63F794" w:rsidR="00095640" w:rsidRPr="00463A94" w:rsidRDefault="00095640" w:rsidP="000F491E">
            <w:pPr>
              <w:rPr>
                <w:rFonts w:cstheme="minorHAnsi"/>
              </w:rPr>
            </w:pPr>
            <w:r>
              <w:rPr>
                <w:rFonts w:cstheme="minorHAnsi"/>
              </w:rPr>
              <w:t xml:space="preserve">Limit of Indemnity - </w:t>
            </w:r>
            <w:r>
              <w:rPr>
                <w:rFonts w:eastAsia="Times New Roman" w:cstheme="minorHAnsi"/>
                <w:lang w:eastAsia="en-GB"/>
              </w:rPr>
              <w:t>£5 million in the aggregate</w:t>
            </w:r>
          </w:p>
        </w:tc>
      </w:tr>
    </w:tbl>
    <w:p w14:paraId="2477D9CE" w14:textId="77777777" w:rsidR="00095640" w:rsidRDefault="00095640" w:rsidP="00095640"/>
    <w:p w14:paraId="22F95699" w14:textId="4D2D7E89" w:rsidR="00095640" w:rsidRDefault="00095640" w:rsidP="00095640">
      <w:pPr>
        <w:rPr>
          <w:color w:val="FF0000"/>
        </w:rPr>
      </w:pPr>
      <w:r>
        <w:rPr>
          <w:color w:val="FF0000"/>
        </w:rPr>
        <w:t xml:space="preserve">(The </w:t>
      </w:r>
      <w:proofErr w:type="gramStart"/>
      <w:r>
        <w:rPr>
          <w:color w:val="FF0000"/>
        </w:rPr>
        <w:t>College  will</w:t>
      </w:r>
      <w:proofErr w:type="gramEnd"/>
      <w:r>
        <w:rPr>
          <w:color w:val="FF0000"/>
        </w:rPr>
        <w:t xml:space="preserve"> only contract with an organisation that holds the required levels of insurance as set out above, or those who are willing to bring these levels into effect for the contract start date).</w:t>
      </w:r>
    </w:p>
    <w:p w14:paraId="7640693E" w14:textId="77777777" w:rsidR="007C1734" w:rsidRDefault="007C1734" w:rsidP="007C1734">
      <w:pPr>
        <w:pStyle w:val="Heading1"/>
        <w:rPr>
          <w:rFonts w:eastAsia="Arial"/>
        </w:rPr>
      </w:pPr>
      <w:bookmarkStart w:id="52" w:name="_Toc233962884"/>
      <w:r>
        <w:rPr>
          <w:rFonts w:eastAsia="Arial"/>
        </w:rPr>
        <w:t>Sub-contracting</w:t>
      </w:r>
      <w:bookmarkEnd w:id="52"/>
    </w:p>
    <w:p w14:paraId="2012799E" w14:textId="77777777" w:rsidR="007C1734" w:rsidRDefault="007C1734" w:rsidP="00463A94">
      <w:pPr>
        <w:rPr>
          <w:rFonts w:eastAsia="Arial"/>
        </w:rPr>
      </w:pPr>
      <w:r>
        <w:t>The supplier may use sub-contracted carriers and may source goods through manufacturer or wholesaler distribution channels in the ordinary course of business. The supplier shall not, however, sub-contract any material part of the contract (including account management, MI reporting or pricing arrangements) without the prior written consent of the College, such consent not to be unreasonably withheld.</w:t>
      </w:r>
    </w:p>
    <w:p w14:paraId="7480F7CD" w14:textId="77777777" w:rsidR="007C1734" w:rsidRDefault="007C1734" w:rsidP="007C1734">
      <w:pPr>
        <w:pStyle w:val="Heading1"/>
        <w:rPr>
          <w:rFonts w:eastAsia="Arial"/>
        </w:rPr>
      </w:pPr>
      <w:bookmarkStart w:id="53" w:name="_Toc233962885"/>
      <w:r>
        <w:rPr>
          <w:rFonts w:eastAsia="Arial"/>
        </w:rPr>
        <w:t>Mobilisation</w:t>
      </w:r>
      <w:bookmarkEnd w:id="53"/>
    </w:p>
    <w:p w14:paraId="12AF56C1" w14:textId="77777777" w:rsidR="007C1734" w:rsidRDefault="007C1734" w:rsidP="007C1734">
      <w:pPr>
        <w:spacing w:after="120" w:line="300" w:lineRule="auto"/>
        <w:rPr>
          <w:rFonts w:eastAsia="Arial"/>
        </w:rPr>
      </w:pPr>
      <w:r>
        <w:t>The supplier shall mobilise the contract within a period of no longer than six (6) weeks from the contract award date. Mobilisation activities shall include, as a minimum:</w:t>
      </w:r>
    </w:p>
    <w:p w14:paraId="6B9FF783" w14:textId="77777777" w:rsidR="007C1734" w:rsidRDefault="007C1734" w:rsidP="0088474F">
      <w:pPr>
        <w:pStyle w:val="ListParagraph"/>
        <w:numPr>
          <w:ilvl w:val="0"/>
          <w:numId w:val="27"/>
        </w:numPr>
        <w:spacing w:after="80" w:line="278" w:lineRule="auto"/>
      </w:pPr>
      <w:r>
        <w:t>Setting up the College's trade account and online ordering portal access.</w:t>
      </w:r>
    </w:p>
    <w:p w14:paraId="72E74EC7" w14:textId="77777777" w:rsidR="007C1734" w:rsidRDefault="007C1734" w:rsidP="0088474F">
      <w:pPr>
        <w:pStyle w:val="ListParagraph"/>
        <w:numPr>
          <w:ilvl w:val="0"/>
          <w:numId w:val="27"/>
        </w:numPr>
        <w:spacing w:after="80" w:line="278" w:lineRule="auto"/>
      </w:pPr>
      <w:r>
        <w:t xml:space="preserve">Establishing the list of authorised </w:t>
      </w:r>
      <w:proofErr w:type="spellStart"/>
      <w:r>
        <w:t>orderers</w:t>
      </w:r>
      <w:proofErr w:type="spellEnd"/>
      <w:r>
        <w:t xml:space="preserve"> and any user-level permissions on the supplier's systems.</w:t>
      </w:r>
    </w:p>
    <w:p w14:paraId="2EC6219A" w14:textId="77777777" w:rsidR="007C1734" w:rsidRDefault="007C1734" w:rsidP="0088474F">
      <w:pPr>
        <w:pStyle w:val="ListParagraph"/>
        <w:numPr>
          <w:ilvl w:val="0"/>
          <w:numId w:val="27"/>
        </w:numPr>
        <w:spacing w:after="80" w:line="278" w:lineRule="auto"/>
      </w:pPr>
      <w:r>
        <w:t>Loading the agreed Pricing Schedule onto the supplier's systems.</w:t>
      </w:r>
    </w:p>
    <w:p w14:paraId="0203EDC9" w14:textId="77777777" w:rsidR="007C1734" w:rsidRDefault="007C1734" w:rsidP="0088474F">
      <w:pPr>
        <w:pStyle w:val="ListParagraph"/>
        <w:numPr>
          <w:ilvl w:val="0"/>
          <w:numId w:val="27"/>
        </w:numPr>
        <w:spacing w:after="80" w:line="278" w:lineRule="auto"/>
      </w:pPr>
      <w:r>
        <w:t>Confirming named Account Manager and deputy contacts.</w:t>
      </w:r>
    </w:p>
    <w:p w14:paraId="6BC5ED84" w14:textId="5C590BA4" w:rsidR="007C1734" w:rsidRDefault="007C1734" w:rsidP="0088474F">
      <w:pPr>
        <w:pStyle w:val="ListParagraph"/>
        <w:numPr>
          <w:ilvl w:val="0"/>
          <w:numId w:val="27"/>
        </w:numPr>
        <w:spacing w:after="80" w:line="278" w:lineRule="auto"/>
      </w:pPr>
      <w:r>
        <w:lastRenderedPageBreak/>
        <w:t xml:space="preserve">Holding a contract kick-off meeting at the College attended by the Account Manager and the College's Project Lead, with Coleg Sir </w:t>
      </w:r>
      <w:proofErr w:type="spellStart"/>
      <w:r>
        <w:t>Gâr</w:t>
      </w:r>
      <w:proofErr w:type="spellEnd"/>
      <w:r>
        <w:t xml:space="preserve"> Procurement Services in attendance.</w:t>
      </w:r>
    </w:p>
    <w:p w14:paraId="2335D552" w14:textId="77777777" w:rsidR="007C1734" w:rsidRDefault="007C1734" w:rsidP="0088474F">
      <w:pPr>
        <w:pStyle w:val="ListParagraph"/>
        <w:numPr>
          <w:ilvl w:val="0"/>
          <w:numId w:val="27"/>
        </w:numPr>
        <w:spacing w:after="80" w:line="278" w:lineRule="auto"/>
      </w:pPr>
      <w:r>
        <w:t>Agreeing the format and first reporting date for quarterly MI.</w:t>
      </w:r>
    </w:p>
    <w:p w14:paraId="6B57192B" w14:textId="77777777" w:rsidR="00233CBA" w:rsidRDefault="00233CBA" w:rsidP="00233CBA">
      <w:pPr>
        <w:pStyle w:val="Heading1"/>
        <w:rPr>
          <w:lang w:val="en-US"/>
        </w:rPr>
      </w:pPr>
      <w:bookmarkStart w:id="54" w:name="_Toc233962886"/>
      <w:r>
        <w:rPr>
          <w:lang w:val="en-US"/>
        </w:rPr>
        <w:t>Complaints Procedure</w:t>
      </w:r>
      <w:bookmarkEnd w:id="54"/>
    </w:p>
    <w:p w14:paraId="076D748B" w14:textId="77777777" w:rsidR="00233CBA" w:rsidRPr="00463A94" w:rsidRDefault="00233CBA" w:rsidP="00463A94">
      <w:pPr>
        <w:ind w:left="-142"/>
        <w:rPr>
          <w:lang w:val="en-US"/>
        </w:rPr>
      </w:pPr>
      <w:r>
        <w:rPr>
          <w:lang w:val="en-US"/>
        </w:rPr>
        <w:t xml:space="preserve">The Account Manager will be responsible for providing effective and efficient handling of any complaints.  </w:t>
      </w:r>
    </w:p>
    <w:p w14:paraId="0D1CBDF5" w14:textId="77777777" w:rsidR="00233CBA" w:rsidRPr="00463A94" w:rsidRDefault="00233CBA" w:rsidP="00463A94">
      <w:pPr>
        <w:ind w:left="-142"/>
        <w:rPr>
          <w:lang w:val="en-US"/>
        </w:rPr>
      </w:pPr>
      <w:r>
        <w:rPr>
          <w:lang w:val="en-US"/>
        </w:rPr>
        <w:t>The Supplier shall ensure an established and clearly defined complaints resolution procedure is in place, including an escalation process, to record, manage and resolve complaints raised by the Customer.</w:t>
      </w:r>
    </w:p>
    <w:p w14:paraId="22B02218" w14:textId="77777777" w:rsidR="00233CBA" w:rsidRPr="00463A94" w:rsidRDefault="00233CBA" w:rsidP="00463A94">
      <w:pPr>
        <w:ind w:left="-142"/>
        <w:rPr>
          <w:lang w:val="en-US"/>
        </w:rPr>
      </w:pPr>
      <w:r>
        <w:rPr>
          <w:lang w:val="en-US"/>
        </w:rPr>
        <w:t>All complaints received by the Supplier, regardless of origin or medium, shall be responded to within one (1) working day of receipt.  Where it is not possible due to the nature of the complaint to resolve the complaint within 1 working day, a holding reply must be sent to the complainant within 1 working day of receipt of the complaint indicating a date for resolution.  The Supplier must ensure a satisfactory resolution within 5 working days of the Customer registering a complaint.</w:t>
      </w:r>
    </w:p>
    <w:p w14:paraId="5A18AE23" w14:textId="77777777" w:rsidR="00233CBA" w:rsidRPr="00463A94" w:rsidRDefault="00233CBA" w:rsidP="00463A94">
      <w:pPr>
        <w:ind w:left="-142"/>
        <w:rPr>
          <w:lang w:val="en-US"/>
        </w:rPr>
      </w:pPr>
      <w:r>
        <w:rPr>
          <w:lang w:val="en-US"/>
        </w:rPr>
        <w:t>The Account Manager will inform the Customer of all complaints received under the Contract. The Account Manager will be required to deal directly with complaints and will provide a senior employee as a point of escalation where required.</w:t>
      </w:r>
    </w:p>
    <w:p w14:paraId="7FDD5020" w14:textId="77777777" w:rsidR="00233CBA" w:rsidRPr="00463A94" w:rsidRDefault="00233CBA" w:rsidP="00463A94">
      <w:pPr>
        <w:ind w:left="-142"/>
        <w:rPr>
          <w:lang w:val="en-US"/>
        </w:rPr>
      </w:pPr>
      <w:r>
        <w:rPr>
          <w:lang w:val="en-US"/>
        </w:rPr>
        <w:t>The Account Manager and appropriate representatives of the Supplier will attend meetings to resolve complaints at the Customer’s request and at no additional cost.</w:t>
      </w:r>
    </w:p>
    <w:p w14:paraId="08F48635" w14:textId="77777777" w:rsidR="007C1734" w:rsidRDefault="007C1734" w:rsidP="007C1734">
      <w:pPr>
        <w:pStyle w:val="Heading1"/>
        <w:rPr>
          <w:rFonts w:eastAsia="Arial"/>
        </w:rPr>
      </w:pPr>
      <w:bookmarkStart w:id="55" w:name="_Toc233962887"/>
      <w:r>
        <w:rPr>
          <w:rFonts w:eastAsia="Arial"/>
        </w:rPr>
        <w:t>Sustainability and Social Value</w:t>
      </w:r>
      <w:bookmarkEnd w:id="55"/>
    </w:p>
    <w:p w14:paraId="27CD4372" w14:textId="77777777" w:rsidR="007C1734" w:rsidRDefault="007C1734" w:rsidP="0088474F">
      <w:pPr>
        <w:spacing w:after="120" w:line="300" w:lineRule="auto"/>
        <w:rPr>
          <w:rFonts w:eastAsia="Arial"/>
        </w:rPr>
      </w:pPr>
      <w:r>
        <w:t>The College, as a Welsh public-sector body, has regard to the Wellbeing of Future Generations (Wales) Act 2015 and to the Welsh Government's Public Procurement Policy Statement. Suppliers will be invited to set out, in their tender response, how their delivery of the contract will contribute to the wellbeing goals, with particular reference to:</w:t>
      </w:r>
    </w:p>
    <w:p w14:paraId="08A13BFE" w14:textId="77777777" w:rsidR="007C1734" w:rsidRDefault="007C1734" w:rsidP="0088474F">
      <w:pPr>
        <w:pStyle w:val="ListParagraph"/>
        <w:numPr>
          <w:ilvl w:val="0"/>
          <w:numId w:val="28"/>
        </w:numPr>
        <w:spacing w:after="80" w:line="278" w:lineRule="auto"/>
      </w:pPr>
      <w:r>
        <w:t>Local economic benefit and use of Welsh-based supply chains, manufacturers, distribution and employment.</w:t>
      </w:r>
    </w:p>
    <w:p w14:paraId="2C872F01" w14:textId="77777777" w:rsidR="007C1734" w:rsidRDefault="007C1734" w:rsidP="0088474F">
      <w:pPr>
        <w:pStyle w:val="ListParagraph"/>
        <w:numPr>
          <w:ilvl w:val="0"/>
          <w:numId w:val="28"/>
        </w:numPr>
        <w:spacing w:after="80" w:line="278" w:lineRule="auto"/>
      </w:pPr>
      <w:r>
        <w:t>Reduction of packaging, reuse and recycling of packaging materials, and consolidation of deliveries to reduce the carbon footprint of the contract.</w:t>
      </w:r>
    </w:p>
    <w:p w14:paraId="592307E3" w14:textId="77777777" w:rsidR="007C1734" w:rsidRDefault="007C1734" w:rsidP="0088474F">
      <w:pPr>
        <w:pStyle w:val="ListParagraph"/>
        <w:numPr>
          <w:ilvl w:val="0"/>
          <w:numId w:val="28"/>
        </w:numPr>
        <w:spacing w:after="80" w:line="278" w:lineRule="auto"/>
      </w:pPr>
      <w:r>
        <w:t>Ethical sourcing, modern slavery compliance and adherence to the Modern Slavery Act 2015.</w:t>
      </w:r>
    </w:p>
    <w:p w14:paraId="2FF27718" w14:textId="77777777" w:rsidR="007C1734" w:rsidRDefault="007C1734" w:rsidP="0088474F">
      <w:pPr>
        <w:pStyle w:val="ListParagraph"/>
        <w:numPr>
          <w:ilvl w:val="0"/>
          <w:numId w:val="28"/>
        </w:numPr>
        <w:spacing w:after="80" w:line="278" w:lineRule="auto"/>
      </w:pPr>
      <w:r>
        <w:t>Support for the College's curriculum, including (where the supplier is willing) the provision of supplier visits, technical talks, product demonstrations or short work-placement opportunities for engineering learners.</w:t>
      </w:r>
    </w:p>
    <w:p w14:paraId="67D5D298" w14:textId="77777777" w:rsidR="000B358B" w:rsidRPr="006B76CA" w:rsidRDefault="000B358B" w:rsidP="000B358B">
      <w:pPr>
        <w:pStyle w:val="Heading2"/>
      </w:pPr>
      <w:bookmarkStart w:id="56" w:name="_Toc233205604"/>
      <w:r w:rsidRPr="006B76CA">
        <w:t>Equality and Anti-Discrimination</w:t>
      </w:r>
      <w:bookmarkEnd w:id="56"/>
    </w:p>
    <w:p w14:paraId="10FCF181" w14:textId="77777777" w:rsidR="000B358B" w:rsidRPr="006B76CA" w:rsidRDefault="000B358B" w:rsidP="000B358B">
      <w:r w:rsidRPr="006B76CA">
        <w:t>The Supplier shall comply with all applicable equality and anti-discrimination legislation, including the Equality Act 2010.</w:t>
      </w:r>
    </w:p>
    <w:p w14:paraId="52C9A500" w14:textId="77777777" w:rsidR="000B358B" w:rsidRPr="006B76CA" w:rsidRDefault="000B358B" w:rsidP="000B358B">
      <w:r w:rsidRPr="006B76CA">
        <w:t>The Supplier shall not unlawfully discriminate against any person and shall take reasonable steps to promote equality, diversity, inclusion and respectful working practices throughout the delivery of the Contract.</w:t>
      </w:r>
    </w:p>
    <w:p w14:paraId="1CCBC140" w14:textId="26941E29" w:rsidR="000B358B" w:rsidRPr="006B76CA" w:rsidRDefault="00A32EE3" w:rsidP="000B358B">
      <w:r>
        <w:rPr>
          <w:rFonts w:cstheme="minorHAnsi"/>
        </w:rPr>
        <w:lastRenderedPageBreak/>
        <w:t xml:space="preserve">Pembrokeshire College </w:t>
      </w:r>
      <w:r w:rsidR="000B358B" w:rsidRPr="006B76CA">
        <w:t>reserves the right to request evidence of the Supplier's equality, diversity and inclusion policies and related practices during the term of the Contract.</w:t>
      </w:r>
    </w:p>
    <w:p w14:paraId="61AA97EC" w14:textId="76C94898" w:rsidR="009529C5" w:rsidRPr="009529C5" w:rsidRDefault="009529C5" w:rsidP="00AC3E8D">
      <w:pPr>
        <w:pStyle w:val="Heading1"/>
      </w:pPr>
      <w:bookmarkStart w:id="57" w:name="_Toc145680141"/>
      <w:bookmarkStart w:id="58" w:name="_Toc162964348"/>
      <w:bookmarkStart w:id="59" w:name="_Toc165456597"/>
      <w:bookmarkStart w:id="60" w:name="_Toc233962888"/>
      <w:r>
        <w:t>Disclaimer</w:t>
      </w:r>
      <w:bookmarkEnd w:id="57"/>
      <w:bookmarkEnd w:id="58"/>
      <w:bookmarkEnd w:id="59"/>
      <w:bookmarkEnd w:id="60"/>
    </w:p>
    <w:p w14:paraId="6893132C" w14:textId="77777777" w:rsidR="009529C5" w:rsidRPr="001F4C79" w:rsidRDefault="009529C5" w:rsidP="003C04CC">
      <w:pPr>
        <w:rPr>
          <w:rFonts w:cstheme="minorHAnsi"/>
        </w:rPr>
      </w:pPr>
      <w:r>
        <w:rPr>
          <w:rFonts w:cstheme="minorHAnsi"/>
        </w:rPr>
        <w:t xml:space="preserve">All information contained in this document together with any subsequent statements howsoever conveyed, in respect of this Tender process, is provided in good faith and given to assist you. </w:t>
      </w:r>
    </w:p>
    <w:p w14:paraId="4C3CAD6D" w14:textId="12ABCC55" w:rsidR="009529C5" w:rsidRDefault="009529C5" w:rsidP="003C04CC">
      <w:pPr>
        <w:rPr>
          <w:rFonts w:cstheme="minorHAnsi"/>
          <w:sz w:val="20"/>
          <w:szCs w:val="20"/>
        </w:rPr>
      </w:pPr>
      <w:r>
        <w:rPr>
          <w:rFonts w:cstheme="minorHAnsi"/>
        </w:rPr>
        <w:t>However, the College will not accept any liability in respect of the preparation or execution of your proposals, or any penalties / costs that you may incur thereof</w:t>
      </w:r>
      <w:r>
        <w:rPr>
          <w:rFonts w:cstheme="minorHAnsi"/>
          <w:sz w:val="20"/>
          <w:szCs w:val="20"/>
        </w:rPr>
        <w:t>.</w:t>
      </w:r>
      <w:bookmarkStart w:id="61" w:name="_Toc137124451"/>
      <w:bookmarkStart w:id="62" w:name="_Toc138668879"/>
      <w:bookmarkStart w:id="63" w:name="_Toc151470504"/>
      <w:bookmarkStart w:id="64" w:name="_Toc165456598"/>
    </w:p>
    <w:p w14:paraId="32E4F86B" w14:textId="4ED6061D" w:rsidR="009529C5" w:rsidRPr="00B52861" w:rsidRDefault="009529C5" w:rsidP="003C04CC">
      <w:pPr>
        <w:pStyle w:val="Heading1"/>
      </w:pPr>
      <w:bookmarkStart w:id="65" w:name="_Toc233962889"/>
      <w:r>
        <w:t>Supplier Sustainability Action Plan</w:t>
      </w:r>
      <w:bookmarkEnd w:id="61"/>
      <w:bookmarkEnd w:id="62"/>
      <w:bookmarkEnd w:id="63"/>
      <w:bookmarkEnd w:id="64"/>
      <w:bookmarkEnd w:id="65"/>
    </w:p>
    <w:p w14:paraId="4CD02FEE" w14:textId="5F4AB20F" w:rsidR="007A066B" w:rsidRPr="007A066B" w:rsidRDefault="007A066B" w:rsidP="007A066B">
      <w:pPr>
        <w:spacing w:after="280" w:line="240" w:lineRule="auto"/>
        <w:rPr>
          <w:rFonts w:cstheme="minorHAnsi"/>
        </w:rPr>
      </w:pPr>
      <w:r>
        <w:rPr>
          <w:rFonts w:cstheme="minorHAnsi"/>
        </w:rPr>
        <w:t xml:space="preserve">Pembrokeshire College </w:t>
      </w:r>
      <w:r w:rsidRPr="007A066B">
        <w:rPr>
          <w:rFonts w:cstheme="minorHAnsi"/>
        </w:rPr>
        <w:t>are committed to reducing the environmental impact of its activities and expects suppliers to demonstrate a clear commitment to sustainability throughout the lifecycle of the goods and services provided.</w:t>
      </w:r>
    </w:p>
    <w:p w14:paraId="69CB95CD" w14:textId="77777777" w:rsidR="007A066B" w:rsidRPr="007A066B" w:rsidRDefault="007A066B" w:rsidP="007A066B">
      <w:pPr>
        <w:spacing w:after="280" w:line="240" w:lineRule="auto"/>
        <w:rPr>
          <w:rFonts w:cstheme="minorHAnsi"/>
        </w:rPr>
      </w:pPr>
      <w:r w:rsidRPr="007A066B">
        <w:rPr>
          <w:rFonts w:cstheme="minorHAnsi"/>
        </w:rPr>
        <w:t xml:space="preserve">Bidders are required to develop and maintain a Sustainability Action Plan using the </w:t>
      </w:r>
      <w:proofErr w:type="spellStart"/>
      <w:r w:rsidRPr="007A066B">
        <w:rPr>
          <w:rFonts w:cstheme="minorHAnsi"/>
        </w:rPr>
        <w:t>NETpositive</w:t>
      </w:r>
      <w:proofErr w:type="spellEnd"/>
      <w:r w:rsidRPr="007A066B">
        <w:rPr>
          <w:rFonts w:cstheme="minorHAnsi"/>
        </w:rPr>
        <w:t xml:space="preserve"> Supplier Engagement HE Tool:</w:t>
      </w:r>
    </w:p>
    <w:p w14:paraId="423EB93B" w14:textId="77777777" w:rsidR="007A066B" w:rsidRPr="007A066B" w:rsidRDefault="007A066B" w:rsidP="007A066B">
      <w:pPr>
        <w:spacing w:after="280" w:line="240" w:lineRule="auto"/>
        <w:rPr>
          <w:rFonts w:cstheme="minorHAnsi"/>
        </w:rPr>
      </w:pPr>
      <w:r w:rsidRPr="007A066B">
        <w:rPr>
          <w:rFonts w:cstheme="minorHAnsi"/>
        </w:rPr>
        <w:t>Website link:</w:t>
      </w:r>
      <w:r w:rsidRPr="007A066B">
        <w:rPr>
          <w:rFonts w:cstheme="minorHAnsi"/>
        </w:rPr>
        <w:tab/>
      </w:r>
      <w:hyperlink r:id="rId9" w:history="1">
        <w:r w:rsidRPr="007A066B">
          <w:rPr>
            <w:rFonts w:cstheme="minorHAnsi"/>
          </w:rPr>
          <w:t>https://supplierengagementhe.net-positive.org/</w:t>
        </w:r>
      </w:hyperlink>
    </w:p>
    <w:p w14:paraId="7B54EB84" w14:textId="77777777" w:rsidR="007A066B" w:rsidRPr="007A066B" w:rsidRDefault="007A066B" w:rsidP="007A066B">
      <w:pPr>
        <w:spacing w:after="280" w:line="240" w:lineRule="auto"/>
        <w:rPr>
          <w:rFonts w:cstheme="minorHAnsi"/>
        </w:rPr>
      </w:pPr>
      <w:r w:rsidRPr="007A066B">
        <w:rPr>
          <w:rFonts w:cstheme="minorHAnsi"/>
        </w:rPr>
        <w:t>This tool will form part of ongoing contract management and reporting discussions and may be used to support institutional reporting requirements, including those relating to the Modern Slavery Act.</w:t>
      </w:r>
    </w:p>
    <w:p w14:paraId="03DC140D" w14:textId="77777777" w:rsidR="007A066B" w:rsidRPr="007A066B" w:rsidRDefault="007A066B" w:rsidP="007A066B">
      <w:pPr>
        <w:spacing w:after="280" w:line="240" w:lineRule="auto"/>
        <w:rPr>
          <w:rFonts w:cstheme="minorHAnsi"/>
        </w:rPr>
      </w:pPr>
      <w:r w:rsidRPr="007A066B">
        <w:rPr>
          <w:rFonts w:cstheme="minorHAnsi"/>
        </w:rPr>
        <w:t>Sustainability Action Plans created via the HE Tool may be shared across Higher Education institutions, meaning suppliers only need to complete the process once for multiple clients.</w:t>
      </w:r>
    </w:p>
    <w:p w14:paraId="2CF9FC2F" w14:textId="6795C46A" w:rsidR="007A066B" w:rsidRPr="007A066B" w:rsidRDefault="00DA432D" w:rsidP="007A066B">
      <w:pPr>
        <w:spacing w:after="280" w:line="240" w:lineRule="auto"/>
        <w:rPr>
          <w:rFonts w:cstheme="minorHAnsi"/>
        </w:rPr>
      </w:pPr>
      <w:r>
        <w:rPr>
          <w:rFonts w:cstheme="minorHAnsi"/>
        </w:rPr>
        <w:t>Pembrokeshire College</w:t>
      </w:r>
      <w:r w:rsidR="007A066B" w:rsidRPr="007A066B">
        <w:rPr>
          <w:rFonts w:cstheme="minorHAnsi"/>
        </w:rPr>
        <w:t xml:space="preserve"> reserves the right to review supplier sustainability performance as part of contract monitoring and may use this information to support continuous improvement discussions.</w:t>
      </w:r>
    </w:p>
    <w:p w14:paraId="0D4C592A" w14:textId="77777777" w:rsidR="007A066B" w:rsidRPr="007A066B" w:rsidRDefault="007A066B" w:rsidP="007A066B">
      <w:pPr>
        <w:spacing w:after="280" w:line="240" w:lineRule="auto"/>
        <w:rPr>
          <w:rFonts w:cstheme="minorHAnsi"/>
        </w:rPr>
      </w:pPr>
      <w:r w:rsidRPr="007A066B">
        <w:rPr>
          <w:rFonts w:cstheme="minorHAnsi"/>
        </w:rPr>
        <w:t xml:space="preserve">The successful tenderer will have to confirm their commitment to complete their own Sustainability Action Plan within 6 months of the Contract Award Date, as part of their response to Appendix A. </w:t>
      </w:r>
    </w:p>
    <w:p w14:paraId="6D5B4673" w14:textId="1A0F0219" w:rsidR="009529C5" w:rsidRDefault="009529C5" w:rsidP="00E56BDD">
      <w:pPr>
        <w:rPr>
          <w:rFonts w:ascii="Arial" w:hAnsi="Arial" w:cs="Arial"/>
          <w:b/>
          <w:bCs/>
          <w:sz w:val="24"/>
          <w:szCs w:val="24"/>
          <w:u w:val="single"/>
          <w:lang w:val="en-US"/>
        </w:rPr>
      </w:pPr>
      <w:r>
        <w:rPr>
          <w:rFonts w:ascii="Arial" w:hAnsi="Arial" w:cs="Arial"/>
          <w:b/>
          <w:bCs/>
          <w:sz w:val="24"/>
          <w:szCs w:val="24"/>
          <w:u w:val="single"/>
          <w:lang w:val="en-US"/>
        </w:rPr>
        <w:br w:type="page"/>
      </w:r>
    </w:p>
    <w:p w14:paraId="5EF52568" w14:textId="7D81C543" w:rsidR="3B676073" w:rsidRDefault="3B676073" w:rsidP="1660CAE6">
      <w:pPr>
        <w:pStyle w:val="Heading1"/>
        <w:rPr>
          <w:rFonts w:ascii="Calibri" w:eastAsia="Calibri" w:hAnsi="Calibri" w:cs="Calibri"/>
        </w:rPr>
      </w:pPr>
      <w:bookmarkStart w:id="66" w:name="_Toc233962890"/>
      <w:bookmarkStart w:id="67" w:name="_Toc145680144"/>
      <w:bookmarkStart w:id="68" w:name="_Toc162964351"/>
      <w:bookmarkStart w:id="69" w:name="_Toc165456613"/>
      <w:r>
        <w:rPr>
          <w:rFonts w:ascii="Calibri" w:eastAsia="Calibri" w:hAnsi="Calibri" w:cs="Calibri"/>
        </w:rPr>
        <w:lastRenderedPageBreak/>
        <w:t>Tender Evaluation</w:t>
      </w:r>
      <w:bookmarkEnd w:id="66"/>
    </w:p>
    <w:p w14:paraId="2D7282AD" w14:textId="771F817F" w:rsidR="3B676073" w:rsidRDefault="3B676073" w:rsidP="005E296C">
      <w:r>
        <w:t>Tender submissions will be assessed on the basis of both quality and price with the following weighting:</w:t>
      </w:r>
    </w:p>
    <w:p w14:paraId="7E772BFC" w14:textId="676592ED" w:rsidR="3B676073" w:rsidRPr="005E296C" w:rsidRDefault="3B676073" w:rsidP="005E296C">
      <w:pPr>
        <w:spacing w:after="0"/>
        <w:rPr>
          <w:b/>
          <w:bCs/>
        </w:rPr>
      </w:pPr>
      <w:r>
        <w:rPr>
          <w:b/>
          <w:bCs/>
        </w:rPr>
        <w:t xml:space="preserve">Appendix A - Quality Submission:     </w:t>
      </w:r>
      <w:r>
        <w:rPr>
          <w:b/>
          <w:bCs/>
        </w:rPr>
        <w:tab/>
      </w:r>
      <w:r>
        <w:rPr>
          <w:b/>
          <w:bCs/>
        </w:rPr>
        <w:tab/>
        <w:t>40%</w:t>
      </w:r>
    </w:p>
    <w:p w14:paraId="647D563C" w14:textId="03F09684" w:rsidR="3B676073" w:rsidRPr="005E296C" w:rsidRDefault="3B676073" w:rsidP="005E296C">
      <w:pPr>
        <w:spacing w:after="0"/>
        <w:rPr>
          <w:b/>
          <w:bCs/>
        </w:rPr>
      </w:pPr>
      <w:r>
        <w:rPr>
          <w:b/>
          <w:bCs/>
        </w:rPr>
        <w:t>Appendix B - Price:                                                    60%</w:t>
      </w:r>
    </w:p>
    <w:p w14:paraId="2672F248" w14:textId="77777777" w:rsidR="00E56BDD" w:rsidRDefault="00E56BDD" w:rsidP="005E296C">
      <w:pPr>
        <w:spacing w:after="0"/>
      </w:pPr>
    </w:p>
    <w:p w14:paraId="608E9769" w14:textId="2E5FA613" w:rsidR="3B676073" w:rsidRDefault="3B676073" w:rsidP="005E296C">
      <w:r>
        <w:t>The following scoring matrix will be used to evaluate received bids:</w:t>
      </w:r>
    </w:p>
    <w:tbl>
      <w:tblPr>
        <w:tblW w:w="0" w:type="auto"/>
        <w:tblLayout w:type="fixed"/>
        <w:tblLook w:val="0400" w:firstRow="0" w:lastRow="0" w:firstColumn="0" w:lastColumn="0" w:noHBand="0" w:noVBand="1"/>
      </w:tblPr>
      <w:tblGrid>
        <w:gridCol w:w="1632"/>
        <w:gridCol w:w="5918"/>
        <w:gridCol w:w="759"/>
      </w:tblGrid>
      <w:tr w:rsidR="1660CAE6" w14:paraId="73DA9C60" w14:textId="77777777" w:rsidTr="1660CAE6">
        <w:trPr>
          <w:trHeight w:val="405"/>
        </w:trPr>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496B0" w:themeFill="text2" w:themeFillTint="99"/>
            <w:tcMar>
              <w:left w:w="108" w:type="dxa"/>
              <w:right w:w="108" w:type="dxa"/>
            </w:tcMar>
            <w:vAlign w:val="center"/>
          </w:tcPr>
          <w:p w14:paraId="2A4857A3" w14:textId="0F070157" w:rsidR="1660CAE6" w:rsidRDefault="1660CAE6" w:rsidP="00E56BDD">
            <w:pPr>
              <w:spacing w:after="0" w:line="257" w:lineRule="auto"/>
              <w:rPr>
                <w:rFonts w:ascii="Calibri" w:eastAsia="Calibri" w:hAnsi="Calibri" w:cs="Calibri"/>
                <w:b/>
                <w:bCs/>
                <w:color w:val="FFFFFF" w:themeColor="background1"/>
                <w:sz w:val="20"/>
                <w:szCs w:val="20"/>
              </w:rPr>
            </w:pPr>
            <w:r>
              <w:rPr>
                <w:rFonts w:ascii="Calibri" w:eastAsia="Calibri" w:hAnsi="Calibri" w:cs="Calibri"/>
                <w:b/>
                <w:bCs/>
                <w:color w:val="FFFFFF" w:themeColor="background1"/>
                <w:sz w:val="20"/>
                <w:szCs w:val="20"/>
              </w:rPr>
              <w:t>Assessment</w:t>
            </w:r>
          </w:p>
        </w:tc>
        <w:tc>
          <w:tcPr>
            <w:tcW w:w="59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496B0" w:themeFill="text2" w:themeFillTint="99"/>
            <w:tcMar>
              <w:left w:w="108" w:type="dxa"/>
              <w:right w:w="108" w:type="dxa"/>
            </w:tcMar>
            <w:vAlign w:val="center"/>
          </w:tcPr>
          <w:p w14:paraId="07057D22" w14:textId="2742D31E" w:rsidR="1660CAE6" w:rsidRDefault="1660CAE6" w:rsidP="00E56BDD">
            <w:pPr>
              <w:spacing w:after="0" w:line="257" w:lineRule="auto"/>
              <w:rPr>
                <w:rFonts w:ascii="Calibri" w:eastAsia="Calibri" w:hAnsi="Calibri" w:cs="Calibri"/>
                <w:b/>
                <w:bCs/>
                <w:color w:val="FFFFFF" w:themeColor="background1"/>
                <w:sz w:val="20"/>
                <w:szCs w:val="20"/>
              </w:rPr>
            </w:pPr>
            <w:r>
              <w:rPr>
                <w:rFonts w:ascii="Calibri" w:eastAsia="Calibri" w:hAnsi="Calibri" w:cs="Calibri"/>
                <w:b/>
                <w:bCs/>
                <w:color w:val="FFFFFF" w:themeColor="background1"/>
                <w:sz w:val="20"/>
                <w:szCs w:val="20"/>
              </w:rPr>
              <w:t>Description</w:t>
            </w:r>
          </w:p>
        </w:tc>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496B0" w:themeFill="text2" w:themeFillTint="99"/>
            <w:tcMar>
              <w:left w:w="108" w:type="dxa"/>
              <w:right w:w="108" w:type="dxa"/>
            </w:tcMar>
            <w:vAlign w:val="center"/>
          </w:tcPr>
          <w:p w14:paraId="7EBF900D" w14:textId="6A65BE14" w:rsidR="1660CAE6" w:rsidRDefault="1660CAE6" w:rsidP="00E56BDD">
            <w:pPr>
              <w:spacing w:after="0" w:line="257" w:lineRule="auto"/>
              <w:jc w:val="center"/>
              <w:rPr>
                <w:rFonts w:ascii="Calibri" w:eastAsia="Calibri" w:hAnsi="Calibri" w:cs="Calibri"/>
                <w:b/>
                <w:bCs/>
                <w:color w:val="FFFFFF" w:themeColor="background1"/>
                <w:sz w:val="20"/>
                <w:szCs w:val="20"/>
              </w:rPr>
            </w:pPr>
            <w:r>
              <w:rPr>
                <w:rFonts w:ascii="Calibri" w:eastAsia="Calibri" w:hAnsi="Calibri" w:cs="Calibri"/>
                <w:b/>
                <w:bCs/>
                <w:color w:val="FFFFFF" w:themeColor="background1"/>
                <w:sz w:val="20"/>
                <w:szCs w:val="20"/>
              </w:rPr>
              <w:t>Score</w:t>
            </w:r>
          </w:p>
        </w:tc>
      </w:tr>
      <w:tr w:rsidR="1660CAE6" w14:paraId="04230766" w14:textId="77777777" w:rsidTr="1660CAE6">
        <w:trPr>
          <w:trHeight w:val="15"/>
        </w:trPr>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AAC693" w14:textId="231315DB" w:rsidR="1660CAE6" w:rsidRDefault="1660CAE6" w:rsidP="00E56BDD">
            <w:pPr>
              <w:spacing w:before="120" w:after="120" w:line="252" w:lineRule="auto"/>
              <w:rPr>
                <w:rFonts w:ascii="Calibri" w:eastAsia="Calibri" w:hAnsi="Calibri" w:cs="Calibri"/>
                <w:b/>
                <w:bCs/>
                <w:sz w:val="20"/>
                <w:szCs w:val="20"/>
              </w:rPr>
            </w:pPr>
            <w:r>
              <w:rPr>
                <w:rFonts w:ascii="Calibri" w:eastAsia="Calibri" w:hAnsi="Calibri" w:cs="Calibri"/>
                <w:b/>
                <w:bCs/>
                <w:sz w:val="20"/>
                <w:szCs w:val="20"/>
              </w:rPr>
              <w:t>Outstanding</w:t>
            </w:r>
          </w:p>
        </w:tc>
        <w:tc>
          <w:tcPr>
            <w:tcW w:w="5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0D55F3" w14:textId="1CC08A1F" w:rsidR="1660CAE6" w:rsidRDefault="1660CAE6" w:rsidP="00E56BDD">
            <w:pPr>
              <w:spacing w:before="120" w:after="120" w:line="252" w:lineRule="auto"/>
              <w:rPr>
                <w:rFonts w:ascii="Calibri" w:eastAsia="Calibri" w:hAnsi="Calibri" w:cs="Calibri"/>
                <w:sz w:val="20"/>
                <w:szCs w:val="20"/>
              </w:rPr>
            </w:pPr>
            <w:r>
              <w:rPr>
                <w:rFonts w:ascii="Calibri" w:eastAsia="Calibri" w:hAnsi="Calibri" w:cs="Calibri"/>
                <w:b/>
                <w:bCs/>
                <w:sz w:val="20"/>
                <w:szCs w:val="20"/>
              </w:rPr>
              <w:t>Exceeds</w:t>
            </w:r>
            <w:r>
              <w:rPr>
                <w:rFonts w:ascii="Calibri" w:eastAsia="Calibri" w:hAnsi="Calibri" w:cs="Calibri"/>
                <w:sz w:val="20"/>
                <w:szCs w:val="20"/>
              </w:rPr>
              <w:t xml:space="preserve"> the requirement with significant additional benefits. </w:t>
            </w:r>
          </w:p>
          <w:p w14:paraId="657277DF" w14:textId="257BEDF4" w:rsidR="1660CAE6" w:rsidRDefault="1660CAE6" w:rsidP="00E56BDD">
            <w:pPr>
              <w:spacing w:before="120" w:after="120" w:line="252" w:lineRule="auto"/>
              <w:rPr>
                <w:rFonts w:ascii="Calibri" w:eastAsia="Calibri" w:hAnsi="Calibri" w:cs="Calibri"/>
                <w:sz w:val="20"/>
                <w:szCs w:val="20"/>
              </w:rPr>
            </w:pPr>
            <w:r>
              <w:rPr>
                <w:rFonts w:ascii="Calibri" w:eastAsia="Calibri" w:hAnsi="Calibri" w:cs="Calibri"/>
                <w:sz w:val="20"/>
                <w:szCs w:val="20"/>
              </w:rPr>
              <w:t>In addition to demonstration by the Bidder of the relevant ability, flexibility, understanding, skills, resource and quality measures required to provide the services, the response identifies factors that will offer significant potential added value.  Significant evidence provided to support the response.</w:t>
            </w:r>
          </w:p>
        </w:tc>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0261BB" w14:textId="197CE453" w:rsidR="1660CAE6" w:rsidRDefault="1660CAE6" w:rsidP="00E56BDD">
            <w:pPr>
              <w:spacing w:before="120" w:after="120" w:line="252" w:lineRule="auto"/>
              <w:jc w:val="center"/>
              <w:rPr>
                <w:rFonts w:ascii="Calibri" w:eastAsia="Calibri" w:hAnsi="Calibri" w:cs="Calibri"/>
                <w:b/>
                <w:bCs/>
                <w:sz w:val="20"/>
                <w:szCs w:val="20"/>
              </w:rPr>
            </w:pPr>
            <w:r>
              <w:rPr>
                <w:rFonts w:ascii="Calibri" w:eastAsia="Calibri" w:hAnsi="Calibri" w:cs="Calibri"/>
                <w:b/>
                <w:bCs/>
                <w:sz w:val="20"/>
                <w:szCs w:val="20"/>
              </w:rPr>
              <w:t>10</w:t>
            </w:r>
          </w:p>
        </w:tc>
      </w:tr>
      <w:tr w:rsidR="1660CAE6" w14:paraId="0D0447F6" w14:textId="77777777" w:rsidTr="1660CAE6">
        <w:trPr>
          <w:trHeight w:val="15"/>
        </w:trPr>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68C22C" w14:textId="4F1F1E47" w:rsidR="1660CAE6" w:rsidRDefault="1660CAE6" w:rsidP="00E56BDD">
            <w:pPr>
              <w:spacing w:before="120" w:after="120" w:line="252" w:lineRule="auto"/>
              <w:rPr>
                <w:rFonts w:ascii="Calibri" w:eastAsia="Calibri" w:hAnsi="Calibri" w:cs="Calibri"/>
                <w:b/>
                <w:bCs/>
                <w:sz w:val="20"/>
                <w:szCs w:val="20"/>
              </w:rPr>
            </w:pPr>
            <w:r>
              <w:rPr>
                <w:rFonts w:ascii="Calibri" w:eastAsia="Calibri" w:hAnsi="Calibri" w:cs="Calibri"/>
                <w:b/>
                <w:bCs/>
                <w:sz w:val="20"/>
                <w:szCs w:val="20"/>
              </w:rPr>
              <w:t>Excellent</w:t>
            </w:r>
          </w:p>
        </w:tc>
        <w:tc>
          <w:tcPr>
            <w:tcW w:w="5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F1A786" w14:textId="39813577" w:rsidR="1660CAE6" w:rsidRDefault="1660CAE6" w:rsidP="00E56BDD">
            <w:pPr>
              <w:spacing w:before="120" w:after="120" w:line="252" w:lineRule="auto"/>
              <w:rPr>
                <w:rFonts w:ascii="Calibri" w:eastAsia="Calibri" w:hAnsi="Calibri" w:cs="Calibri"/>
                <w:sz w:val="20"/>
                <w:szCs w:val="20"/>
              </w:rPr>
            </w:pPr>
            <w:r>
              <w:rPr>
                <w:rFonts w:ascii="Calibri" w:eastAsia="Calibri" w:hAnsi="Calibri" w:cs="Calibri"/>
                <w:sz w:val="20"/>
                <w:szCs w:val="20"/>
              </w:rPr>
              <w:t xml:space="preserve">Response meets all requirements while providing full evidence to support the response with additional value and benefits and a high level of confidence. </w:t>
            </w:r>
          </w:p>
        </w:tc>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5A5D91" w14:textId="10234CC1" w:rsidR="1660CAE6" w:rsidRDefault="1660CAE6" w:rsidP="00E56BDD">
            <w:pPr>
              <w:spacing w:before="120" w:after="120" w:line="252" w:lineRule="auto"/>
              <w:jc w:val="center"/>
              <w:rPr>
                <w:rFonts w:ascii="Calibri" w:eastAsia="Calibri" w:hAnsi="Calibri" w:cs="Calibri"/>
                <w:b/>
                <w:bCs/>
                <w:sz w:val="20"/>
                <w:szCs w:val="20"/>
              </w:rPr>
            </w:pPr>
            <w:r>
              <w:rPr>
                <w:rFonts w:ascii="Calibri" w:eastAsia="Calibri" w:hAnsi="Calibri" w:cs="Calibri"/>
                <w:b/>
                <w:bCs/>
                <w:sz w:val="20"/>
                <w:szCs w:val="20"/>
              </w:rPr>
              <w:t>9</w:t>
            </w:r>
          </w:p>
        </w:tc>
      </w:tr>
      <w:tr w:rsidR="1660CAE6" w14:paraId="7386BAF5" w14:textId="77777777" w:rsidTr="1660CAE6">
        <w:trPr>
          <w:trHeight w:val="15"/>
        </w:trPr>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18AAF1" w14:textId="48ADCF80" w:rsidR="1660CAE6" w:rsidRDefault="1660CAE6" w:rsidP="00E56BDD">
            <w:pPr>
              <w:spacing w:before="120" w:after="120" w:line="252" w:lineRule="auto"/>
              <w:rPr>
                <w:rFonts w:ascii="Calibri" w:eastAsia="Calibri" w:hAnsi="Calibri" w:cs="Calibri"/>
                <w:b/>
                <w:bCs/>
                <w:sz w:val="20"/>
                <w:szCs w:val="20"/>
              </w:rPr>
            </w:pPr>
            <w:r>
              <w:rPr>
                <w:rFonts w:ascii="Calibri" w:eastAsia="Calibri" w:hAnsi="Calibri" w:cs="Calibri"/>
                <w:b/>
                <w:bCs/>
                <w:sz w:val="20"/>
                <w:szCs w:val="20"/>
              </w:rPr>
              <w:t>Very Good</w:t>
            </w:r>
          </w:p>
        </w:tc>
        <w:tc>
          <w:tcPr>
            <w:tcW w:w="5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381BA3" w14:textId="1737E06A" w:rsidR="1660CAE6" w:rsidRDefault="1660CAE6" w:rsidP="00E56BDD">
            <w:pPr>
              <w:spacing w:before="120" w:after="120" w:line="252" w:lineRule="auto"/>
              <w:rPr>
                <w:rFonts w:ascii="Calibri" w:eastAsia="Calibri" w:hAnsi="Calibri" w:cs="Calibri"/>
                <w:sz w:val="20"/>
                <w:szCs w:val="20"/>
              </w:rPr>
            </w:pPr>
            <w:r>
              <w:rPr>
                <w:rFonts w:ascii="Calibri" w:eastAsia="Calibri" w:hAnsi="Calibri" w:cs="Calibri"/>
                <w:sz w:val="20"/>
                <w:szCs w:val="20"/>
              </w:rPr>
              <w:t xml:space="preserve">Response meets all requirements with </w:t>
            </w:r>
            <w:proofErr w:type="gramStart"/>
            <w:r>
              <w:rPr>
                <w:rFonts w:ascii="Calibri" w:eastAsia="Calibri" w:hAnsi="Calibri" w:cs="Calibri"/>
                <w:sz w:val="20"/>
                <w:szCs w:val="20"/>
              </w:rPr>
              <w:t>a good evidence</w:t>
            </w:r>
            <w:proofErr w:type="gramEnd"/>
            <w:r>
              <w:rPr>
                <w:rFonts w:ascii="Calibri" w:eastAsia="Calibri" w:hAnsi="Calibri" w:cs="Calibri"/>
                <w:sz w:val="20"/>
                <w:szCs w:val="20"/>
              </w:rPr>
              <w:t xml:space="preserve"> base and some added benefits.</w:t>
            </w:r>
          </w:p>
        </w:tc>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34C58C" w14:textId="7D57155D" w:rsidR="1660CAE6" w:rsidRDefault="1660CAE6" w:rsidP="00E56BDD">
            <w:pPr>
              <w:spacing w:before="120" w:after="120" w:line="252" w:lineRule="auto"/>
              <w:jc w:val="center"/>
              <w:rPr>
                <w:rFonts w:ascii="Calibri" w:eastAsia="Calibri" w:hAnsi="Calibri" w:cs="Calibri"/>
                <w:b/>
                <w:bCs/>
                <w:sz w:val="20"/>
                <w:szCs w:val="20"/>
              </w:rPr>
            </w:pPr>
            <w:r>
              <w:rPr>
                <w:rFonts w:ascii="Calibri" w:eastAsia="Calibri" w:hAnsi="Calibri" w:cs="Calibri"/>
                <w:b/>
                <w:bCs/>
                <w:sz w:val="20"/>
                <w:szCs w:val="20"/>
              </w:rPr>
              <w:t>8</w:t>
            </w:r>
          </w:p>
        </w:tc>
      </w:tr>
      <w:tr w:rsidR="1660CAE6" w14:paraId="24319BB6" w14:textId="77777777" w:rsidTr="1660CAE6">
        <w:trPr>
          <w:trHeight w:val="15"/>
        </w:trPr>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94E488" w14:textId="5117C9D4" w:rsidR="1660CAE6" w:rsidRDefault="1660CAE6" w:rsidP="00E56BDD">
            <w:pPr>
              <w:spacing w:before="120" w:after="120" w:line="252" w:lineRule="auto"/>
              <w:rPr>
                <w:rFonts w:ascii="Calibri" w:eastAsia="Calibri" w:hAnsi="Calibri" w:cs="Calibri"/>
                <w:b/>
                <w:bCs/>
                <w:sz w:val="20"/>
                <w:szCs w:val="20"/>
              </w:rPr>
            </w:pPr>
            <w:r>
              <w:rPr>
                <w:rFonts w:ascii="Calibri" w:eastAsia="Calibri" w:hAnsi="Calibri" w:cs="Calibri"/>
                <w:b/>
                <w:bCs/>
                <w:sz w:val="20"/>
                <w:szCs w:val="20"/>
              </w:rPr>
              <w:t>Good</w:t>
            </w:r>
          </w:p>
        </w:tc>
        <w:tc>
          <w:tcPr>
            <w:tcW w:w="5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6C930F" w14:textId="11DEC208" w:rsidR="1660CAE6" w:rsidRDefault="1660CAE6" w:rsidP="00E56BDD">
            <w:pPr>
              <w:spacing w:before="120" w:after="120" w:line="252" w:lineRule="auto"/>
              <w:rPr>
                <w:rFonts w:ascii="Calibri" w:eastAsia="Calibri" w:hAnsi="Calibri" w:cs="Calibri"/>
                <w:sz w:val="20"/>
                <w:szCs w:val="20"/>
              </w:rPr>
            </w:pPr>
            <w:r>
              <w:rPr>
                <w:rFonts w:ascii="Calibri" w:eastAsia="Calibri" w:hAnsi="Calibri" w:cs="Calibri"/>
                <w:sz w:val="20"/>
                <w:szCs w:val="20"/>
              </w:rPr>
              <w:t>Response meets all requirements to the minimal level required. No concerns.</w:t>
            </w:r>
          </w:p>
        </w:tc>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2BFB01" w14:textId="66D5EF5E" w:rsidR="1660CAE6" w:rsidRDefault="1660CAE6" w:rsidP="00E56BDD">
            <w:pPr>
              <w:spacing w:before="120" w:after="120" w:line="252" w:lineRule="auto"/>
              <w:jc w:val="center"/>
              <w:rPr>
                <w:rFonts w:ascii="Calibri" w:eastAsia="Calibri" w:hAnsi="Calibri" w:cs="Calibri"/>
                <w:b/>
                <w:bCs/>
                <w:sz w:val="20"/>
                <w:szCs w:val="20"/>
              </w:rPr>
            </w:pPr>
            <w:r>
              <w:rPr>
                <w:rFonts w:ascii="Calibri" w:eastAsia="Calibri" w:hAnsi="Calibri" w:cs="Calibri"/>
                <w:b/>
                <w:bCs/>
                <w:sz w:val="20"/>
                <w:szCs w:val="20"/>
              </w:rPr>
              <w:t>7</w:t>
            </w:r>
          </w:p>
        </w:tc>
      </w:tr>
      <w:tr w:rsidR="1660CAE6" w14:paraId="7E98BA52" w14:textId="77777777" w:rsidTr="1660CAE6">
        <w:trPr>
          <w:trHeight w:val="15"/>
        </w:trPr>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FD90EF" w14:textId="3C72695D" w:rsidR="1660CAE6" w:rsidRDefault="1660CAE6" w:rsidP="00E56BDD">
            <w:pPr>
              <w:spacing w:before="120" w:after="120" w:line="252" w:lineRule="auto"/>
              <w:rPr>
                <w:rFonts w:ascii="Calibri" w:eastAsia="Calibri" w:hAnsi="Calibri" w:cs="Calibri"/>
                <w:b/>
                <w:bCs/>
                <w:sz w:val="20"/>
                <w:szCs w:val="20"/>
              </w:rPr>
            </w:pPr>
            <w:r>
              <w:rPr>
                <w:rFonts w:ascii="Calibri" w:eastAsia="Calibri" w:hAnsi="Calibri" w:cs="Calibri"/>
                <w:b/>
                <w:bCs/>
                <w:sz w:val="20"/>
                <w:szCs w:val="20"/>
              </w:rPr>
              <w:t>Competent</w:t>
            </w:r>
          </w:p>
        </w:tc>
        <w:tc>
          <w:tcPr>
            <w:tcW w:w="5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527C44" w14:textId="6AB5556F" w:rsidR="1660CAE6" w:rsidRDefault="1660CAE6" w:rsidP="00E56BDD">
            <w:pPr>
              <w:spacing w:before="120" w:after="120" w:line="252" w:lineRule="auto"/>
              <w:rPr>
                <w:rFonts w:ascii="Calibri" w:eastAsia="Calibri" w:hAnsi="Calibri" w:cs="Calibri"/>
                <w:sz w:val="20"/>
                <w:szCs w:val="20"/>
              </w:rPr>
            </w:pPr>
            <w:r>
              <w:rPr>
                <w:rFonts w:ascii="Calibri" w:eastAsia="Calibri" w:hAnsi="Calibri" w:cs="Calibri"/>
                <w:sz w:val="20"/>
                <w:szCs w:val="20"/>
              </w:rPr>
              <w:t>Response is complete and meets all minimum requirements. Some minor concerns.</w:t>
            </w:r>
          </w:p>
        </w:tc>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518FFF" w14:textId="5E2B5541" w:rsidR="1660CAE6" w:rsidRDefault="1660CAE6" w:rsidP="00E56BDD">
            <w:pPr>
              <w:spacing w:before="120" w:after="120" w:line="252" w:lineRule="auto"/>
              <w:jc w:val="center"/>
              <w:rPr>
                <w:rFonts w:ascii="Calibri" w:eastAsia="Calibri" w:hAnsi="Calibri" w:cs="Calibri"/>
                <w:b/>
                <w:bCs/>
                <w:sz w:val="20"/>
                <w:szCs w:val="20"/>
              </w:rPr>
            </w:pPr>
            <w:r>
              <w:rPr>
                <w:rFonts w:ascii="Calibri" w:eastAsia="Calibri" w:hAnsi="Calibri" w:cs="Calibri"/>
                <w:b/>
                <w:bCs/>
                <w:sz w:val="20"/>
                <w:szCs w:val="20"/>
              </w:rPr>
              <w:t>6</w:t>
            </w:r>
          </w:p>
        </w:tc>
      </w:tr>
      <w:tr w:rsidR="1660CAE6" w14:paraId="3EE3F9C9" w14:textId="77777777" w:rsidTr="1660CAE6">
        <w:trPr>
          <w:trHeight w:val="15"/>
        </w:trPr>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6BE848" w14:textId="43B0BA4E" w:rsidR="1660CAE6" w:rsidRDefault="1660CAE6" w:rsidP="00E56BDD">
            <w:pPr>
              <w:spacing w:before="120" w:after="120" w:line="252" w:lineRule="auto"/>
              <w:rPr>
                <w:rFonts w:ascii="Calibri" w:eastAsia="Calibri" w:hAnsi="Calibri" w:cs="Calibri"/>
                <w:b/>
                <w:bCs/>
                <w:sz w:val="20"/>
                <w:szCs w:val="20"/>
              </w:rPr>
            </w:pPr>
            <w:r>
              <w:rPr>
                <w:rFonts w:ascii="Calibri" w:eastAsia="Calibri" w:hAnsi="Calibri" w:cs="Calibri"/>
                <w:b/>
                <w:bCs/>
                <w:sz w:val="20"/>
                <w:szCs w:val="20"/>
              </w:rPr>
              <w:t>Acceptable</w:t>
            </w:r>
          </w:p>
        </w:tc>
        <w:tc>
          <w:tcPr>
            <w:tcW w:w="5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494792" w14:textId="3C77BA06" w:rsidR="1660CAE6" w:rsidRDefault="1660CAE6" w:rsidP="00E56BDD">
            <w:pPr>
              <w:spacing w:before="120" w:after="120" w:line="252" w:lineRule="auto"/>
              <w:rPr>
                <w:rFonts w:ascii="Calibri" w:eastAsia="Calibri" w:hAnsi="Calibri" w:cs="Calibri"/>
                <w:sz w:val="20"/>
                <w:szCs w:val="20"/>
              </w:rPr>
            </w:pPr>
            <w:r>
              <w:rPr>
                <w:rFonts w:ascii="Calibri" w:eastAsia="Calibri" w:hAnsi="Calibri" w:cs="Calibri"/>
                <w:sz w:val="20"/>
                <w:szCs w:val="20"/>
              </w:rPr>
              <w:t>Response meets all minimum requirements, but with concerns.</w:t>
            </w:r>
          </w:p>
        </w:tc>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FDBA5D" w14:textId="0700797B" w:rsidR="1660CAE6" w:rsidRDefault="1660CAE6" w:rsidP="00E56BDD">
            <w:pPr>
              <w:spacing w:before="120" w:after="120" w:line="252" w:lineRule="auto"/>
              <w:jc w:val="center"/>
              <w:rPr>
                <w:rFonts w:ascii="Calibri" w:eastAsia="Calibri" w:hAnsi="Calibri" w:cs="Calibri"/>
                <w:b/>
                <w:bCs/>
                <w:sz w:val="20"/>
                <w:szCs w:val="20"/>
              </w:rPr>
            </w:pPr>
            <w:r>
              <w:rPr>
                <w:rFonts w:ascii="Calibri" w:eastAsia="Calibri" w:hAnsi="Calibri" w:cs="Calibri"/>
                <w:b/>
                <w:bCs/>
                <w:sz w:val="20"/>
                <w:szCs w:val="20"/>
              </w:rPr>
              <w:t>5</w:t>
            </w:r>
          </w:p>
        </w:tc>
      </w:tr>
      <w:tr w:rsidR="1660CAE6" w14:paraId="42D87305" w14:textId="77777777" w:rsidTr="1660CAE6">
        <w:trPr>
          <w:trHeight w:val="15"/>
        </w:trPr>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0D7669" w14:textId="1BF9BE1D" w:rsidR="1660CAE6" w:rsidRDefault="1660CAE6" w:rsidP="00E56BDD">
            <w:pPr>
              <w:spacing w:before="120" w:after="120" w:line="252" w:lineRule="auto"/>
              <w:rPr>
                <w:rFonts w:ascii="Calibri" w:eastAsia="Calibri" w:hAnsi="Calibri" w:cs="Calibri"/>
                <w:b/>
                <w:bCs/>
                <w:sz w:val="20"/>
                <w:szCs w:val="20"/>
              </w:rPr>
            </w:pPr>
            <w:r>
              <w:rPr>
                <w:rFonts w:ascii="Calibri" w:eastAsia="Calibri" w:hAnsi="Calibri" w:cs="Calibri"/>
                <w:b/>
                <w:bCs/>
                <w:sz w:val="20"/>
                <w:szCs w:val="20"/>
              </w:rPr>
              <w:t>Satisfactory</w:t>
            </w:r>
          </w:p>
        </w:tc>
        <w:tc>
          <w:tcPr>
            <w:tcW w:w="5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F79CDE" w14:textId="3FA2C84D" w:rsidR="1660CAE6" w:rsidRDefault="1660CAE6" w:rsidP="00E56BDD">
            <w:pPr>
              <w:spacing w:before="120" w:after="120" w:line="252" w:lineRule="auto"/>
              <w:rPr>
                <w:rFonts w:ascii="Calibri" w:eastAsia="Calibri" w:hAnsi="Calibri" w:cs="Calibri"/>
                <w:sz w:val="20"/>
                <w:szCs w:val="20"/>
              </w:rPr>
            </w:pPr>
            <w:r>
              <w:rPr>
                <w:rFonts w:ascii="Calibri" w:eastAsia="Calibri" w:hAnsi="Calibri" w:cs="Calibri"/>
                <w:sz w:val="20"/>
                <w:szCs w:val="20"/>
              </w:rPr>
              <w:t xml:space="preserve">Response is complete but fails to provide adequate evidence that all minimum requirements can be satisfied. </w:t>
            </w:r>
          </w:p>
        </w:tc>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54D5B8" w14:textId="05B0EFDD" w:rsidR="1660CAE6" w:rsidRDefault="1660CAE6" w:rsidP="00E56BDD">
            <w:pPr>
              <w:spacing w:before="120" w:after="120" w:line="252" w:lineRule="auto"/>
              <w:jc w:val="center"/>
              <w:rPr>
                <w:rFonts w:ascii="Calibri" w:eastAsia="Calibri" w:hAnsi="Calibri" w:cs="Calibri"/>
                <w:b/>
                <w:bCs/>
                <w:sz w:val="20"/>
                <w:szCs w:val="20"/>
              </w:rPr>
            </w:pPr>
            <w:r>
              <w:rPr>
                <w:rFonts w:ascii="Calibri" w:eastAsia="Calibri" w:hAnsi="Calibri" w:cs="Calibri"/>
                <w:b/>
                <w:bCs/>
                <w:sz w:val="20"/>
                <w:szCs w:val="20"/>
              </w:rPr>
              <w:t>4</w:t>
            </w:r>
          </w:p>
        </w:tc>
      </w:tr>
      <w:tr w:rsidR="1660CAE6" w14:paraId="5F420F47" w14:textId="77777777" w:rsidTr="1660CAE6">
        <w:trPr>
          <w:trHeight w:val="15"/>
        </w:trPr>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71A128" w14:textId="4DD7F0B7" w:rsidR="1660CAE6" w:rsidRDefault="1660CAE6" w:rsidP="00E56BDD">
            <w:pPr>
              <w:spacing w:before="120" w:after="120" w:line="252" w:lineRule="auto"/>
              <w:rPr>
                <w:rFonts w:ascii="Calibri" w:eastAsia="Calibri" w:hAnsi="Calibri" w:cs="Calibri"/>
                <w:b/>
                <w:bCs/>
                <w:sz w:val="20"/>
                <w:szCs w:val="20"/>
              </w:rPr>
            </w:pPr>
            <w:r>
              <w:rPr>
                <w:rFonts w:ascii="Calibri" w:eastAsia="Calibri" w:hAnsi="Calibri" w:cs="Calibri"/>
                <w:b/>
                <w:bCs/>
                <w:sz w:val="20"/>
                <w:szCs w:val="20"/>
              </w:rPr>
              <w:t>Less than Satisfactory</w:t>
            </w:r>
          </w:p>
        </w:tc>
        <w:tc>
          <w:tcPr>
            <w:tcW w:w="5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171C68" w14:textId="00A9BEBE" w:rsidR="1660CAE6" w:rsidRDefault="1660CAE6" w:rsidP="00E56BDD">
            <w:pPr>
              <w:spacing w:before="120" w:after="120" w:line="252" w:lineRule="auto"/>
              <w:rPr>
                <w:rFonts w:ascii="Calibri" w:eastAsia="Calibri" w:hAnsi="Calibri" w:cs="Calibri"/>
                <w:b/>
                <w:bCs/>
                <w:sz w:val="20"/>
                <w:szCs w:val="20"/>
              </w:rPr>
            </w:pPr>
            <w:r>
              <w:rPr>
                <w:rFonts w:ascii="Calibri" w:eastAsia="Calibri" w:hAnsi="Calibri" w:cs="Calibri"/>
                <w:sz w:val="20"/>
                <w:szCs w:val="20"/>
              </w:rPr>
              <w:t>Response is complete but fails to satisfy all minimum requirements and fails to provide adequate evidence that these requirements can be satisfied.</w:t>
            </w:r>
            <w:r>
              <w:rPr>
                <w:rFonts w:ascii="Calibri" w:eastAsia="Calibri" w:hAnsi="Calibri" w:cs="Calibri"/>
                <w:b/>
                <w:bCs/>
                <w:sz w:val="20"/>
                <w:szCs w:val="20"/>
              </w:rPr>
              <w:t xml:space="preserve"> </w:t>
            </w:r>
          </w:p>
        </w:tc>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AC3EAE3" w14:textId="0918650E" w:rsidR="1660CAE6" w:rsidRDefault="1660CAE6" w:rsidP="00E56BDD">
            <w:pPr>
              <w:spacing w:before="120" w:after="120" w:line="252" w:lineRule="auto"/>
              <w:jc w:val="center"/>
              <w:rPr>
                <w:rFonts w:ascii="Calibri" w:eastAsia="Calibri" w:hAnsi="Calibri" w:cs="Calibri"/>
                <w:b/>
                <w:bCs/>
                <w:sz w:val="20"/>
                <w:szCs w:val="20"/>
              </w:rPr>
            </w:pPr>
            <w:r>
              <w:rPr>
                <w:rFonts w:ascii="Calibri" w:eastAsia="Calibri" w:hAnsi="Calibri" w:cs="Calibri"/>
                <w:b/>
                <w:bCs/>
                <w:sz w:val="20"/>
                <w:szCs w:val="20"/>
              </w:rPr>
              <w:t>3</w:t>
            </w:r>
          </w:p>
        </w:tc>
      </w:tr>
      <w:tr w:rsidR="1660CAE6" w14:paraId="1B2C9E0E" w14:textId="77777777" w:rsidTr="1660CAE6">
        <w:trPr>
          <w:trHeight w:val="15"/>
        </w:trPr>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6B61E6" w14:textId="68B0F670" w:rsidR="1660CAE6" w:rsidRDefault="1660CAE6" w:rsidP="00E56BDD">
            <w:pPr>
              <w:spacing w:before="120" w:after="120" w:line="252" w:lineRule="auto"/>
              <w:rPr>
                <w:rFonts w:ascii="Calibri" w:eastAsia="Calibri" w:hAnsi="Calibri" w:cs="Calibri"/>
                <w:b/>
                <w:bCs/>
                <w:sz w:val="20"/>
                <w:szCs w:val="20"/>
              </w:rPr>
            </w:pPr>
            <w:r>
              <w:rPr>
                <w:rFonts w:ascii="Calibri" w:eastAsia="Calibri" w:hAnsi="Calibri" w:cs="Calibri"/>
                <w:b/>
                <w:bCs/>
                <w:sz w:val="20"/>
                <w:szCs w:val="20"/>
              </w:rPr>
              <w:t>Inadequate</w:t>
            </w:r>
          </w:p>
        </w:tc>
        <w:tc>
          <w:tcPr>
            <w:tcW w:w="5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1933F1" w14:textId="12940AC7" w:rsidR="1660CAE6" w:rsidRDefault="1660CAE6" w:rsidP="00E56BDD">
            <w:pPr>
              <w:spacing w:before="120" w:after="120" w:line="252" w:lineRule="auto"/>
              <w:rPr>
                <w:rFonts w:ascii="Calibri" w:eastAsia="Calibri" w:hAnsi="Calibri" w:cs="Calibri"/>
                <w:sz w:val="20"/>
                <w:szCs w:val="20"/>
              </w:rPr>
            </w:pPr>
            <w:r>
              <w:rPr>
                <w:rFonts w:ascii="Calibri" w:eastAsia="Calibri" w:hAnsi="Calibri" w:cs="Calibri"/>
                <w:sz w:val="20"/>
                <w:szCs w:val="20"/>
              </w:rPr>
              <w:t>Response is partly complete, some non-compliance and fails to meet some minimum requirements.</w:t>
            </w:r>
          </w:p>
        </w:tc>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F6309D" w14:textId="5B1E5B7D" w:rsidR="1660CAE6" w:rsidRDefault="1660CAE6" w:rsidP="00E56BDD">
            <w:pPr>
              <w:spacing w:before="120" w:after="120" w:line="252" w:lineRule="auto"/>
              <w:jc w:val="center"/>
              <w:rPr>
                <w:rFonts w:ascii="Calibri" w:eastAsia="Calibri" w:hAnsi="Calibri" w:cs="Calibri"/>
                <w:b/>
                <w:bCs/>
                <w:sz w:val="20"/>
                <w:szCs w:val="20"/>
              </w:rPr>
            </w:pPr>
            <w:r>
              <w:rPr>
                <w:rFonts w:ascii="Calibri" w:eastAsia="Calibri" w:hAnsi="Calibri" w:cs="Calibri"/>
                <w:b/>
                <w:bCs/>
                <w:sz w:val="20"/>
                <w:szCs w:val="20"/>
              </w:rPr>
              <w:t>2</w:t>
            </w:r>
          </w:p>
        </w:tc>
      </w:tr>
      <w:tr w:rsidR="1660CAE6" w14:paraId="5106292B" w14:textId="77777777" w:rsidTr="1660CAE6">
        <w:trPr>
          <w:trHeight w:val="15"/>
        </w:trPr>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E1EA84" w14:textId="342BA781" w:rsidR="1660CAE6" w:rsidRDefault="1660CAE6" w:rsidP="00E56BDD">
            <w:pPr>
              <w:spacing w:before="120" w:after="120" w:line="252" w:lineRule="auto"/>
              <w:rPr>
                <w:rFonts w:ascii="Calibri" w:eastAsia="Calibri" w:hAnsi="Calibri" w:cs="Calibri"/>
                <w:b/>
                <w:bCs/>
                <w:sz w:val="20"/>
                <w:szCs w:val="20"/>
              </w:rPr>
            </w:pPr>
            <w:r>
              <w:rPr>
                <w:rFonts w:ascii="Calibri" w:eastAsia="Calibri" w:hAnsi="Calibri" w:cs="Calibri"/>
                <w:b/>
                <w:bCs/>
                <w:sz w:val="20"/>
                <w:szCs w:val="20"/>
              </w:rPr>
              <w:t>Unacceptable</w:t>
            </w:r>
          </w:p>
        </w:tc>
        <w:tc>
          <w:tcPr>
            <w:tcW w:w="5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D247DC" w14:textId="581B0693" w:rsidR="1660CAE6" w:rsidRDefault="1660CAE6" w:rsidP="00E56BDD">
            <w:pPr>
              <w:spacing w:before="120" w:after="120" w:line="252" w:lineRule="auto"/>
              <w:rPr>
                <w:rFonts w:ascii="Calibri" w:eastAsia="Calibri" w:hAnsi="Calibri" w:cs="Calibri"/>
                <w:sz w:val="20"/>
                <w:szCs w:val="20"/>
              </w:rPr>
            </w:pPr>
            <w:r>
              <w:rPr>
                <w:rFonts w:ascii="Calibri" w:eastAsia="Calibri" w:hAnsi="Calibri" w:cs="Calibri"/>
                <w:sz w:val="20"/>
                <w:szCs w:val="20"/>
              </w:rPr>
              <w:t xml:space="preserve">Response is incomplete, non-compliant, fails to meet any minimum requirements and provides no evidence base. </w:t>
            </w:r>
          </w:p>
        </w:tc>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95AE19" w14:textId="223763A5" w:rsidR="1660CAE6" w:rsidRDefault="1660CAE6" w:rsidP="00E56BDD">
            <w:pPr>
              <w:spacing w:before="120" w:after="120" w:line="252" w:lineRule="auto"/>
              <w:jc w:val="center"/>
              <w:rPr>
                <w:rFonts w:ascii="Calibri" w:eastAsia="Calibri" w:hAnsi="Calibri" w:cs="Calibri"/>
                <w:b/>
                <w:bCs/>
                <w:sz w:val="20"/>
                <w:szCs w:val="20"/>
              </w:rPr>
            </w:pPr>
            <w:r>
              <w:rPr>
                <w:rFonts w:ascii="Calibri" w:eastAsia="Calibri" w:hAnsi="Calibri" w:cs="Calibri"/>
                <w:b/>
                <w:bCs/>
                <w:sz w:val="20"/>
                <w:szCs w:val="20"/>
              </w:rPr>
              <w:t>1</w:t>
            </w:r>
          </w:p>
        </w:tc>
      </w:tr>
      <w:tr w:rsidR="1660CAE6" w14:paraId="7F25086A" w14:textId="77777777" w:rsidTr="1660CAE6">
        <w:trPr>
          <w:trHeight w:val="15"/>
        </w:trPr>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D25A09" w14:textId="6D4E226C" w:rsidR="1660CAE6" w:rsidRDefault="1660CAE6" w:rsidP="00E56BDD">
            <w:pPr>
              <w:spacing w:before="120" w:after="120" w:line="252" w:lineRule="auto"/>
              <w:rPr>
                <w:rFonts w:ascii="Calibri" w:eastAsia="Calibri" w:hAnsi="Calibri" w:cs="Calibri"/>
                <w:b/>
                <w:bCs/>
                <w:sz w:val="20"/>
                <w:szCs w:val="20"/>
              </w:rPr>
            </w:pPr>
            <w:r>
              <w:rPr>
                <w:rFonts w:ascii="Calibri" w:eastAsia="Calibri" w:hAnsi="Calibri" w:cs="Calibri"/>
                <w:b/>
                <w:bCs/>
                <w:sz w:val="20"/>
                <w:szCs w:val="20"/>
              </w:rPr>
              <w:t>No Response</w:t>
            </w:r>
          </w:p>
        </w:tc>
        <w:tc>
          <w:tcPr>
            <w:tcW w:w="5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E7338D" w14:textId="16E9BF25" w:rsidR="1660CAE6" w:rsidRDefault="1660CAE6" w:rsidP="00E56BDD">
            <w:pPr>
              <w:spacing w:before="120" w:after="120" w:line="252" w:lineRule="auto"/>
              <w:rPr>
                <w:rFonts w:ascii="Calibri" w:eastAsia="Calibri" w:hAnsi="Calibri" w:cs="Calibri"/>
                <w:sz w:val="20"/>
                <w:szCs w:val="20"/>
              </w:rPr>
            </w:pPr>
            <w:r>
              <w:rPr>
                <w:rFonts w:ascii="Calibri" w:eastAsia="Calibri" w:hAnsi="Calibri" w:cs="Calibri"/>
                <w:sz w:val="20"/>
                <w:szCs w:val="20"/>
              </w:rPr>
              <w:t xml:space="preserve">No submission was made. </w:t>
            </w:r>
          </w:p>
        </w:tc>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CE84CD" w14:textId="46B83284" w:rsidR="1660CAE6" w:rsidRDefault="1660CAE6" w:rsidP="00E56BDD">
            <w:pPr>
              <w:spacing w:before="120" w:after="120" w:line="252" w:lineRule="auto"/>
              <w:jc w:val="center"/>
              <w:rPr>
                <w:rFonts w:ascii="Calibri" w:eastAsia="Calibri" w:hAnsi="Calibri" w:cs="Calibri"/>
                <w:b/>
                <w:bCs/>
                <w:sz w:val="20"/>
                <w:szCs w:val="20"/>
              </w:rPr>
            </w:pPr>
            <w:r>
              <w:rPr>
                <w:rFonts w:ascii="Calibri" w:eastAsia="Calibri" w:hAnsi="Calibri" w:cs="Calibri"/>
                <w:b/>
                <w:bCs/>
                <w:sz w:val="20"/>
                <w:szCs w:val="20"/>
              </w:rPr>
              <w:t>0</w:t>
            </w:r>
          </w:p>
        </w:tc>
      </w:tr>
    </w:tbl>
    <w:p w14:paraId="6369F48F" w14:textId="3655B51D" w:rsidR="003C04CC" w:rsidRDefault="003C04CC" w:rsidP="005E296C">
      <w:pPr>
        <w:pStyle w:val="Heading1"/>
        <w:numPr>
          <w:ilvl w:val="0"/>
          <w:numId w:val="0"/>
        </w:numPr>
        <w:rPr>
          <w:rFonts w:eastAsia="Calibri"/>
        </w:rPr>
      </w:pPr>
    </w:p>
    <w:p w14:paraId="1111F613" w14:textId="77777777" w:rsidR="003C04CC" w:rsidRDefault="003C04CC">
      <w:pPr>
        <w:rPr>
          <w:rFonts w:eastAsia="Calibri" w:cstheme="minorHAnsi"/>
          <w:b/>
          <w:bCs/>
          <w:sz w:val="24"/>
          <w:szCs w:val="24"/>
        </w:rPr>
      </w:pPr>
      <w:r>
        <w:rPr>
          <w:rFonts w:eastAsia="Calibri"/>
        </w:rPr>
        <w:br w:type="page"/>
      </w:r>
    </w:p>
    <w:p w14:paraId="137D677E" w14:textId="26C80B65" w:rsidR="3B676073" w:rsidRDefault="3B676073" w:rsidP="005E296C">
      <w:pPr>
        <w:pStyle w:val="Heading1"/>
        <w:rPr>
          <w:rFonts w:eastAsia="Calibri"/>
        </w:rPr>
      </w:pPr>
      <w:bookmarkStart w:id="70" w:name="_Toc233962891"/>
      <w:r>
        <w:rPr>
          <w:rFonts w:eastAsia="Calibri"/>
        </w:rPr>
        <w:lastRenderedPageBreak/>
        <w:t>Appendix A - Quality Submission Questions</w:t>
      </w:r>
      <w:bookmarkEnd w:id="70"/>
      <w:r>
        <w:rPr>
          <w:rFonts w:eastAsia="Calibri"/>
        </w:rPr>
        <w:t xml:space="preserve"> </w:t>
      </w:r>
    </w:p>
    <w:p w14:paraId="4667219A" w14:textId="55EE0A5E" w:rsidR="3B676073" w:rsidRDefault="3B676073" w:rsidP="005E296C">
      <w:r>
        <w:t>Weightings for the quality of the submission will be applied in accordance with the table below;</w:t>
      </w:r>
    </w:p>
    <w:p w14:paraId="4326F6CB" w14:textId="13BEEBFA" w:rsidR="3B676073" w:rsidRDefault="3B676073" w:rsidP="005E296C">
      <w:pPr>
        <w:rPr>
          <w:i/>
          <w:iCs/>
        </w:rPr>
      </w:pPr>
      <w:r>
        <w:t xml:space="preserve">You are required to address the following issues by the number and in the order in which they are presented above.  </w:t>
      </w:r>
      <w:r>
        <w:rPr>
          <w:i/>
          <w:iCs/>
        </w:rPr>
        <w:t>Please note failure to comply with this request may impact on the evaluation of your submission.</w:t>
      </w:r>
    </w:p>
    <w:p w14:paraId="0C035EA3" w14:textId="5F09D0FB" w:rsidR="3B676073" w:rsidRDefault="3B676073" w:rsidP="005E296C">
      <w:pPr>
        <w:rPr>
          <w:color w:val="FF0000"/>
        </w:rPr>
      </w:pPr>
      <w:r>
        <w:rPr>
          <w:color w:val="FF0000"/>
        </w:rPr>
        <w:t>When completing your responses, please refrain from sending generic or marketing materials. The College expects written response, responding directly to the specified evaluation criteria.</w:t>
      </w:r>
    </w:p>
    <w:p w14:paraId="7E687617" w14:textId="39FBBDC4" w:rsidR="00EC3B92" w:rsidRDefault="00EC3B92" w:rsidP="005E296C">
      <w:pPr>
        <w:rPr>
          <w:color w:val="FF0000"/>
        </w:rPr>
      </w:pPr>
      <w:r>
        <w:rPr>
          <w:color w:val="FF0000"/>
        </w:rPr>
        <w:t xml:space="preserve">As </w:t>
      </w:r>
      <w:r w:rsidRPr="00EC3B92">
        <w:rPr>
          <w:color w:val="FF0000"/>
        </w:rPr>
        <w:t>this opportunity is divided into multiple Lots, bidders must ensure responses clearly differentiate between Lots where products, services, supply chains or delivery models differ. Generic responses across all Lots without distinction may result in reduced scoring.</w:t>
      </w:r>
    </w:p>
    <w:tbl>
      <w:tblPr>
        <w:tblW w:w="9491" w:type="dxa"/>
        <w:tblInd w:w="-10" w:type="dxa"/>
        <w:tblLayout w:type="fixed"/>
        <w:tblLook w:val="0400" w:firstRow="0" w:lastRow="0" w:firstColumn="0" w:lastColumn="0" w:noHBand="0" w:noVBand="1"/>
      </w:tblPr>
      <w:tblGrid>
        <w:gridCol w:w="10"/>
        <w:gridCol w:w="746"/>
        <w:gridCol w:w="4754"/>
        <w:gridCol w:w="19"/>
        <w:gridCol w:w="1701"/>
        <w:gridCol w:w="1134"/>
        <w:gridCol w:w="1127"/>
      </w:tblGrid>
      <w:tr w:rsidR="1660CAE6" w:rsidRPr="00AC3E8D" w14:paraId="4EC670F7" w14:textId="77777777" w:rsidTr="002A7E41">
        <w:trPr>
          <w:gridBefore w:val="1"/>
          <w:wBefore w:w="10" w:type="dxa"/>
          <w:trHeight w:val="300"/>
        </w:trPr>
        <w:tc>
          <w:tcPr>
            <w:tcW w:w="72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vAlign w:val="center"/>
          </w:tcPr>
          <w:p w14:paraId="45C0983E" w14:textId="46A35A91" w:rsidR="1660CAE6" w:rsidRPr="00AC3E8D" w:rsidRDefault="1660CAE6" w:rsidP="1660CAE6">
            <w:pPr>
              <w:spacing w:after="0" w:line="257" w:lineRule="auto"/>
              <w:rPr>
                <w:rFonts w:eastAsia="Calibri" w:cstheme="minorHAnsi"/>
                <w:b/>
                <w:bCs/>
                <w:color w:val="000000" w:themeColor="text1"/>
                <w:sz w:val="20"/>
                <w:szCs w:val="20"/>
              </w:rPr>
            </w:pPr>
            <w:r>
              <w:rPr>
                <w:rFonts w:eastAsia="Calibri" w:cstheme="minorHAnsi"/>
                <w:b/>
                <w:bCs/>
                <w:color w:val="000000" w:themeColor="text1"/>
                <w:sz w:val="20"/>
                <w:szCs w:val="20"/>
              </w:rPr>
              <w:t>Capability and Capacity Evaluation</w:t>
            </w:r>
          </w:p>
        </w:tc>
        <w:tc>
          <w:tcPr>
            <w:tcW w:w="1134" w:type="dxa"/>
            <w:tcBorders>
              <w:top w:val="single" w:sz="8" w:space="0" w:color="000000" w:themeColor="text1"/>
              <w:left w:val="nil"/>
              <w:bottom w:val="single" w:sz="8" w:space="0" w:color="000000" w:themeColor="text1"/>
              <w:right w:val="single" w:sz="8" w:space="0" w:color="000000" w:themeColor="text1"/>
            </w:tcBorders>
            <w:shd w:val="clear" w:color="auto" w:fill="BFBFBF" w:themeFill="background1" w:themeFillShade="BF"/>
            <w:tcMar>
              <w:left w:w="108" w:type="dxa"/>
              <w:right w:w="108" w:type="dxa"/>
            </w:tcMar>
            <w:vAlign w:val="center"/>
          </w:tcPr>
          <w:p w14:paraId="599E647F" w14:textId="51B60494" w:rsidR="1660CAE6" w:rsidRPr="00AC3E8D" w:rsidRDefault="1660CAE6" w:rsidP="1660CAE6">
            <w:pPr>
              <w:spacing w:after="0" w:line="257" w:lineRule="auto"/>
              <w:rPr>
                <w:rFonts w:eastAsia="Calibri" w:cstheme="minorHAnsi"/>
                <w:b/>
                <w:bCs/>
                <w:color w:val="000000" w:themeColor="text1"/>
                <w:sz w:val="20"/>
                <w:szCs w:val="20"/>
              </w:rPr>
            </w:pPr>
            <w:r>
              <w:rPr>
                <w:rFonts w:eastAsia="Calibri" w:cstheme="minorHAnsi"/>
                <w:b/>
                <w:bCs/>
                <w:color w:val="000000" w:themeColor="text1"/>
                <w:sz w:val="20"/>
                <w:szCs w:val="20"/>
              </w:rPr>
              <w:t>Weighting</w:t>
            </w:r>
          </w:p>
        </w:tc>
        <w:tc>
          <w:tcPr>
            <w:tcW w:w="1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vAlign w:val="center"/>
          </w:tcPr>
          <w:p w14:paraId="6A445A90" w14:textId="4F1A9712" w:rsidR="1660CAE6" w:rsidRPr="002A7E41" w:rsidRDefault="1660CAE6" w:rsidP="1660CAE6">
            <w:pPr>
              <w:rPr>
                <w:rFonts w:eastAsia="Calibri" w:cstheme="minorHAnsi"/>
                <w:b/>
                <w:bCs/>
                <w:color w:val="000000" w:themeColor="text1"/>
                <w:sz w:val="20"/>
                <w:szCs w:val="20"/>
              </w:rPr>
            </w:pPr>
            <w:r w:rsidRPr="002A7E41">
              <w:rPr>
                <w:rFonts w:eastAsia="Calibri" w:cstheme="minorHAnsi"/>
                <w:b/>
                <w:bCs/>
                <w:color w:val="000000" w:themeColor="text1"/>
                <w:sz w:val="20"/>
                <w:szCs w:val="20"/>
              </w:rPr>
              <w:t>Sub-weighting</w:t>
            </w:r>
          </w:p>
        </w:tc>
      </w:tr>
      <w:tr w:rsidR="000F1F08" w:rsidRPr="00AC3E8D" w14:paraId="35D6A302" w14:textId="77777777" w:rsidTr="002A7E41">
        <w:trPr>
          <w:trHeight w:val="1343"/>
        </w:trPr>
        <w:tc>
          <w:tcPr>
            <w:tcW w:w="7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CBAC"/>
            <w:tcMar>
              <w:left w:w="108" w:type="dxa"/>
              <w:right w:w="108" w:type="dxa"/>
            </w:tcMar>
            <w:vAlign w:val="center"/>
          </w:tcPr>
          <w:p w14:paraId="41544A12" w14:textId="77777777" w:rsidR="000F1F08" w:rsidRPr="00AC3E8D" w:rsidRDefault="000F1F08" w:rsidP="000F32F9">
            <w:pPr>
              <w:spacing w:line="257" w:lineRule="auto"/>
              <w:rPr>
                <w:rFonts w:eastAsia="Calibri" w:cstheme="minorHAnsi"/>
                <w:b/>
                <w:bCs/>
                <w:color w:val="000000" w:themeColor="text1"/>
                <w:sz w:val="20"/>
                <w:szCs w:val="20"/>
              </w:rPr>
            </w:pPr>
            <w:bookmarkStart w:id="71" w:name="_Hlk233885164"/>
            <w:r>
              <w:rPr>
                <w:rFonts w:eastAsia="Calibri" w:cstheme="minorHAnsi"/>
                <w:b/>
                <w:bCs/>
                <w:color w:val="000000" w:themeColor="text1"/>
                <w:sz w:val="20"/>
                <w:szCs w:val="20"/>
              </w:rPr>
              <w:t>PQ1</w:t>
            </w:r>
          </w:p>
        </w:tc>
        <w:tc>
          <w:tcPr>
            <w:tcW w:w="6474" w:type="dxa"/>
            <w:gridSpan w:val="3"/>
            <w:tcBorders>
              <w:top w:val="nil"/>
              <w:left w:val="single" w:sz="8" w:space="0" w:color="000000" w:themeColor="text1"/>
              <w:bottom w:val="single" w:sz="8" w:space="0" w:color="000000" w:themeColor="text1"/>
              <w:right w:val="single" w:sz="8" w:space="0" w:color="000000" w:themeColor="text1"/>
            </w:tcBorders>
            <w:shd w:val="clear" w:color="auto" w:fill="F7CAAC" w:themeFill="accent2" w:themeFillTint="66"/>
            <w:tcMar>
              <w:left w:w="108" w:type="dxa"/>
              <w:right w:w="108" w:type="dxa"/>
            </w:tcMar>
            <w:vAlign w:val="center"/>
          </w:tcPr>
          <w:p w14:paraId="59AA6204" w14:textId="77777777" w:rsidR="000F1F08" w:rsidRPr="00AC3E8D" w:rsidRDefault="000F1F08" w:rsidP="000F32F9">
            <w:pPr>
              <w:spacing w:line="257" w:lineRule="auto"/>
              <w:rPr>
                <w:rFonts w:eastAsia="Calibri" w:cstheme="minorHAnsi"/>
                <w:b/>
                <w:bCs/>
                <w:color w:val="000000" w:themeColor="text1"/>
                <w:sz w:val="20"/>
                <w:szCs w:val="20"/>
              </w:rPr>
            </w:pPr>
            <w:r>
              <w:rPr>
                <w:rFonts w:eastAsia="Calibri" w:cstheme="minorHAnsi"/>
                <w:b/>
                <w:bCs/>
                <w:color w:val="000000" w:themeColor="text1"/>
                <w:sz w:val="20"/>
                <w:szCs w:val="20"/>
              </w:rPr>
              <w:t>SUPPLIER SUSTAINABILITY ACTION PLAN.</w:t>
            </w:r>
          </w:p>
          <w:p w14:paraId="787F063F" w14:textId="77777777" w:rsidR="000F1F08" w:rsidRPr="00AC3E8D" w:rsidRDefault="000F1F08" w:rsidP="000F32F9">
            <w:pPr>
              <w:spacing w:line="257" w:lineRule="auto"/>
              <w:rPr>
                <w:rFonts w:eastAsia="Calibri" w:cstheme="minorHAnsi"/>
                <w:color w:val="000000" w:themeColor="text1"/>
                <w:sz w:val="20"/>
                <w:szCs w:val="20"/>
              </w:rPr>
            </w:pPr>
            <w:r>
              <w:rPr>
                <w:rFonts w:eastAsia="Calibri" w:cstheme="minorHAnsi"/>
                <w:color w:val="000000" w:themeColor="text1"/>
                <w:sz w:val="20"/>
                <w:szCs w:val="20"/>
              </w:rPr>
              <w:t>Bidders who are awarded a contract will be required to commit to signing up to the NET positives tool within 6 months of contract award.</w:t>
            </w:r>
          </w:p>
        </w:tc>
        <w:tc>
          <w:tcPr>
            <w:tcW w:w="2261" w:type="dxa"/>
            <w:gridSpan w:val="2"/>
            <w:vMerge w:val="restart"/>
            <w:tcBorders>
              <w:top w:val="single" w:sz="8" w:space="0" w:color="000000" w:themeColor="text1"/>
              <w:left w:val="nil"/>
              <w:right w:val="single" w:sz="8" w:space="0" w:color="000000" w:themeColor="text1"/>
            </w:tcBorders>
            <w:shd w:val="clear" w:color="auto" w:fill="F7CBAC"/>
            <w:tcMar>
              <w:left w:w="108" w:type="dxa"/>
              <w:right w:w="108" w:type="dxa"/>
            </w:tcMar>
            <w:vAlign w:val="center"/>
          </w:tcPr>
          <w:p w14:paraId="3C1F9413" w14:textId="77777777" w:rsidR="000F1F08" w:rsidRPr="00AC3E8D" w:rsidRDefault="000F1F08" w:rsidP="000F32F9">
            <w:pPr>
              <w:rPr>
                <w:rFonts w:eastAsia="Calibri" w:cstheme="minorHAnsi"/>
                <w:b/>
                <w:bCs/>
                <w:color w:val="000000" w:themeColor="text1"/>
                <w:sz w:val="20"/>
                <w:szCs w:val="20"/>
              </w:rPr>
            </w:pPr>
            <w:r>
              <w:rPr>
                <w:rFonts w:eastAsia="Calibri" w:cstheme="minorHAnsi"/>
                <w:b/>
                <w:bCs/>
                <w:color w:val="000000" w:themeColor="text1"/>
                <w:sz w:val="20"/>
                <w:szCs w:val="20"/>
              </w:rPr>
              <w:t>INFO ONLY</w:t>
            </w:r>
          </w:p>
          <w:p w14:paraId="22807A0A" w14:textId="77777777" w:rsidR="000F1F08" w:rsidRPr="00AC3E8D" w:rsidRDefault="000F1F08" w:rsidP="000F32F9">
            <w:pPr>
              <w:rPr>
                <w:rFonts w:eastAsia="Calibri" w:cstheme="minorHAnsi"/>
                <w:b/>
                <w:bCs/>
                <w:color w:val="000000" w:themeColor="text1"/>
                <w:sz w:val="20"/>
                <w:szCs w:val="20"/>
              </w:rPr>
            </w:pPr>
            <w:r>
              <w:rPr>
                <w:rFonts w:eastAsia="Calibri" w:cstheme="minorHAnsi"/>
                <w:b/>
                <w:bCs/>
                <w:color w:val="000000" w:themeColor="text1"/>
                <w:sz w:val="20"/>
                <w:szCs w:val="20"/>
              </w:rPr>
              <w:t xml:space="preserve">(Add </w:t>
            </w:r>
            <w:r>
              <w:rPr>
                <w:rFonts w:ascii="Segoe UI Symbol" w:eastAsia="Segoe UI Symbol" w:hAnsi="Segoe UI Symbol" w:cs="Segoe UI Symbol"/>
                <w:b/>
                <w:bCs/>
                <w:color w:val="000000" w:themeColor="text1"/>
                <w:sz w:val="20"/>
                <w:szCs w:val="20"/>
              </w:rPr>
              <w:t>✓</w:t>
            </w:r>
            <w:r>
              <w:rPr>
                <w:rFonts w:eastAsia="Calibri" w:cstheme="minorHAnsi"/>
                <w:b/>
                <w:bCs/>
                <w:color w:val="000000" w:themeColor="text1"/>
                <w:sz w:val="20"/>
                <w:szCs w:val="20"/>
              </w:rPr>
              <w:t xml:space="preserve"> or X to confirm your answer)</w:t>
            </w:r>
          </w:p>
        </w:tc>
      </w:tr>
      <w:tr w:rsidR="000F1F08" w:rsidRPr="00AC3E8D" w14:paraId="6938A6FE" w14:textId="77777777" w:rsidTr="002A7E41">
        <w:trPr>
          <w:trHeight w:val="90"/>
        </w:trPr>
        <w:tc>
          <w:tcPr>
            <w:tcW w:w="7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CBAC"/>
            <w:tcMar>
              <w:left w:w="108" w:type="dxa"/>
              <w:right w:w="108" w:type="dxa"/>
            </w:tcMar>
            <w:vAlign w:val="center"/>
          </w:tcPr>
          <w:p w14:paraId="6707B258" w14:textId="77777777" w:rsidR="000F1F08" w:rsidRDefault="000F1F08" w:rsidP="000F32F9">
            <w:pPr>
              <w:spacing w:line="257" w:lineRule="auto"/>
              <w:rPr>
                <w:rFonts w:eastAsia="Calibri" w:cstheme="minorHAnsi"/>
                <w:b/>
                <w:bCs/>
                <w:color w:val="000000" w:themeColor="text1"/>
                <w:sz w:val="20"/>
                <w:szCs w:val="20"/>
              </w:rPr>
            </w:pPr>
          </w:p>
        </w:tc>
        <w:tc>
          <w:tcPr>
            <w:tcW w:w="4773" w:type="dxa"/>
            <w:gridSpan w:val="2"/>
            <w:tcBorders>
              <w:top w:val="nil"/>
              <w:left w:val="single" w:sz="8" w:space="0" w:color="000000" w:themeColor="text1"/>
              <w:bottom w:val="single" w:sz="8" w:space="0" w:color="000000" w:themeColor="text1"/>
              <w:right w:val="single" w:sz="8" w:space="0" w:color="000000" w:themeColor="text1"/>
            </w:tcBorders>
            <w:shd w:val="clear" w:color="auto" w:fill="F7CAAC" w:themeFill="accent2" w:themeFillTint="66"/>
            <w:tcMar>
              <w:left w:w="108" w:type="dxa"/>
              <w:right w:w="108" w:type="dxa"/>
            </w:tcMar>
            <w:vAlign w:val="center"/>
          </w:tcPr>
          <w:p w14:paraId="550B599C" w14:textId="5F8F0F8C" w:rsidR="000F1F08" w:rsidRDefault="000F1F08" w:rsidP="000F32F9">
            <w:pPr>
              <w:spacing w:line="257" w:lineRule="auto"/>
              <w:rPr>
                <w:rFonts w:eastAsia="Calibri" w:cstheme="minorHAnsi"/>
                <w:b/>
                <w:bCs/>
                <w:color w:val="000000" w:themeColor="text1"/>
                <w:sz w:val="20"/>
                <w:szCs w:val="20"/>
              </w:rPr>
            </w:pPr>
            <w:r>
              <w:rPr>
                <w:rFonts w:eastAsia="Calibri" w:cstheme="minorHAnsi"/>
                <w:b/>
                <w:bCs/>
                <w:color w:val="000000" w:themeColor="text1"/>
                <w:sz w:val="20"/>
                <w:szCs w:val="20"/>
              </w:rPr>
              <w:t>Tick to confirm commitment to complete</w:t>
            </w:r>
          </w:p>
        </w:tc>
        <w:tc>
          <w:tcPr>
            <w:tcW w:w="1701"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2D51B575" w14:textId="62B857C0" w:rsidR="000F1F08" w:rsidRDefault="000F1F08" w:rsidP="000F32F9">
            <w:pPr>
              <w:spacing w:line="257" w:lineRule="auto"/>
              <w:rPr>
                <w:rFonts w:eastAsia="Calibri" w:cstheme="minorHAnsi"/>
                <w:b/>
                <w:bCs/>
                <w:color w:val="000000" w:themeColor="text1"/>
                <w:sz w:val="20"/>
                <w:szCs w:val="20"/>
              </w:rPr>
            </w:pPr>
          </w:p>
        </w:tc>
        <w:tc>
          <w:tcPr>
            <w:tcW w:w="2261" w:type="dxa"/>
            <w:gridSpan w:val="2"/>
            <w:vMerge/>
            <w:tcBorders>
              <w:left w:val="nil"/>
              <w:bottom w:val="single" w:sz="8" w:space="0" w:color="000000" w:themeColor="text1"/>
              <w:right w:val="single" w:sz="8" w:space="0" w:color="000000" w:themeColor="text1"/>
            </w:tcBorders>
            <w:shd w:val="clear" w:color="auto" w:fill="F7CBAC"/>
            <w:tcMar>
              <w:left w:w="108" w:type="dxa"/>
              <w:right w:w="108" w:type="dxa"/>
            </w:tcMar>
            <w:vAlign w:val="center"/>
          </w:tcPr>
          <w:p w14:paraId="32AB1B07" w14:textId="77777777" w:rsidR="000F1F08" w:rsidRDefault="000F1F08" w:rsidP="000F32F9">
            <w:pPr>
              <w:rPr>
                <w:rFonts w:eastAsia="Calibri" w:cstheme="minorHAnsi"/>
                <w:b/>
                <w:bCs/>
                <w:color w:val="000000" w:themeColor="text1"/>
                <w:sz w:val="20"/>
                <w:szCs w:val="20"/>
              </w:rPr>
            </w:pPr>
          </w:p>
        </w:tc>
      </w:tr>
      <w:tr w:rsidR="1660CAE6" w:rsidRPr="00AC3E8D" w14:paraId="376BEF4D" w14:textId="77777777" w:rsidTr="002A7E41">
        <w:trPr>
          <w:gridBefore w:val="1"/>
          <w:wBefore w:w="10" w:type="dxa"/>
          <w:trHeight w:val="90"/>
        </w:trPr>
        <w:tc>
          <w:tcPr>
            <w:tcW w:w="74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CBAC"/>
            <w:tcMar>
              <w:left w:w="108" w:type="dxa"/>
              <w:right w:w="108" w:type="dxa"/>
            </w:tcMar>
            <w:vAlign w:val="center"/>
          </w:tcPr>
          <w:p w14:paraId="414A1AE3" w14:textId="077D3918" w:rsidR="1660CAE6" w:rsidRPr="00AC3E8D" w:rsidRDefault="1660CAE6" w:rsidP="1660CAE6">
            <w:pPr>
              <w:spacing w:line="257" w:lineRule="auto"/>
              <w:rPr>
                <w:rFonts w:eastAsia="Calibri" w:cstheme="minorHAnsi"/>
                <w:b/>
                <w:bCs/>
                <w:color w:val="000000" w:themeColor="text1"/>
                <w:sz w:val="20"/>
                <w:szCs w:val="20"/>
              </w:rPr>
            </w:pPr>
            <w:r>
              <w:rPr>
                <w:rFonts w:eastAsia="Calibri" w:cstheme="minorHAnsi"/>
                <w:b/>
                <w:bCs/>
                <w:color w:val="000000" w:themeColor="text1"/>
                <w:sz w:val="20"/>
                <w:szCs w:val="20"/>
              </w:rPr>
              <w:t>PQ</w:t>
            </w:r>
            <w:r w:rsidR="000F1F08">
              <w:rPr>
                <w:rFonts w:eastAsia="Calibri" w:cstheme="minorHAnsi"/>
                <w:b/>
                <w:bCs/>
                <w:color w:val="000000" w:themeColor="text1"/>
                <w:sz w:val="20"/>
                <w:szCs w:val="20"/>
              </w:rPr>
              <w:t>2</w:t>
            </w:r>
          </w:p>
        </w:tc>
        <w:tc>
          <w:tcPr>
            <w:tcW w:w="6474" w:type="dxa"/>
            <w:gridSpan w:val="3"/>
            <w:tcBorders>
              <w:top w:val="nil"/>
              <w:left w:val="single" w:sz="8" w:space="0" w:color="000000" w:themeColor="text1"/>
              <w:bottom w:val="single" w:sz="8" w:space="0" w:color="000000" w:themeColor="text1"/>
              <w:right w:val="single" w:sz="8" w:space="0" w:color="000000" w:themeColor="text1"/>
            </w:tcBorders>
            <w:shd w:val="clear" w:color="auto" w:fill="F7CBAC"/>
            <w:tcMar>
              <w:left w:w="108" w:type="dxa"/>
              <w:right w:w="108" w:type="dxa"/>
            </w:tcMar>
            <w:vAlign w:val="center"/>
          </w:tcPr>
          <w:p w14:paraId="06083C13" w14:textId="7C912C85" w:rsidR="1660CAE6" w:rsidRPr="00AC3E8D" w:rsidRDefault="000F1F08" w:rsidP="1660CAE6">
            <w:pPr>
              <w:spacing w:line="257" w:lineRule="auto"/>
              <w:rPr>
                <w:rFonts w:eastAsia="Calibri" w:cstheme="minorHAnsi"/>
                <w:b/>
                <w:bCs/>
                <w:color w:val="000000" w:themeColor="text1"/>
                <w:sz w:val="20"/>
                <w:szCs w:val="20"/>
              </w:rPr>
            </w:pPr>
            <w:r>
              <w:rPr>
                <w:rFonts w:eastAsia="Calibri" w:cstheme="minorHAnsi"/>
                <w:b/>
                <w:bCs/>
                <w:color w:val="000000" w:themeColor="text1"/>
                <w:sz w:val="20"/>
                <w:szCs w:val="20"/>
              </w:rPr>
              <w:t xml:space="preserve">Ethical Employment in the supply chain </w:t>
            </w:r>
          </w:p>
          <w:p w14:paraId="1ACD77F6" w14:textId="77777777" w:rsidR="002A7E41" w:rsidRPr="002A7E41" w:rsidRDefault="002A7E41" w:rsidP="002A7E41">
            <w:pPr>
              <w:spacing w:line="257" w:lineRule="auto"/>
              <w:rPr>
                <w:rFonts w:eastAsia="Calibri" w:cstheme="minorHAnsi"/>
                <w:color w:val="000000" w:themeColor="text1"/>
                <w:sz w:val="20"/>
                <w:szCs w:val="20"/>
              </w:rPr>
            </w:pPr>
            <w:r w:rsidRPr="002A7E41">
              <w:rPr>
                <w:rFonts w:eastAsia="Calibri" w:cstheme="minorHAnsi"/>
                <w:color w:val="000000" w:themeColor="text1"/>
                <w:sz w:val="20"/>
                <w:szCs w:val="20"/>
              </w:rPr>
              <w:t>Pembrokeshire College has signed up to the Welsh Governments Code of Practice on ‘Ethical Employment in Supply Chains’.  Within this code are 12 commitments designed to support ethical employment practices.  Please refer to webpage for further information;</w:t>
            </w:r>
          </w:p>
          <w:p w14:paraId="577FD06A" w14:textId="77777777" w:rsidR="002A7E41" w:rsidRPr="002A7E41" w:rsidRDefault="00000000" w:rsidP="002A7E41">
            <w:pPr>
              <w:spacing w:line="257" w:lineRule="auto"/>
              <w:rPr>
                <w:rFonts w:eastAsia="Calibri" w:cstheme="minorHAnsi"/>
                <w:color w:val="000000" w:themeColor="text1"/>
                <w:sz w:val="20"/>
                <w:szCs w:val="20"/>
              </w:rPr>
            </w:pPr>
            <w:hyperlink r:id="rId10" w:tgtFrame="_blank" w:tooltip="gov.wales" w:history="1">
              <w:r w:rsidR="002A7E41" w:rsidRPr="002A7E41">
                <w:rPr>
                  <w:rStyle w:val="Hyperlink"/>
                  <w:rFonts w:eastAsia="Calibri" w:cstheme="minorHAnsi"/>
                  <w:sz w:val="20"/>
                  <w:szCs w:val="20"/>
                </w:rPr>
                <w:t>https://gov.wales/ethical-employment-supply-chains-code-practice</w:t>
              </w:r>
            </w:hyperlink>
          </w:p>
          <w:p w14:paraId="509A5A39" w14:textId="151859B5" w:rsidR="1660CAE6" w:rsidRPr="00AC3E8D" w:rsidRDefault="1660CAE6" w:rsidP="1660CAE6">
            <w:pPr>
              <w:spacing w:line="257" w:lineRule="auto"/>
              <w:rPr>
                <w:rFonts w:eastAsia="Calibri" w:cstheme="minorHAnsi"/>
                <w:color w:val="000000" w:themeColor="text1"/>
                <w:sz w:val="20"/>
                <w:szCs w:val="20"/>
              </w:rPr>
            </w:pPr>
          </w:p>
        </w:tc>
        <w:tc>
          <w:tcPr>
            <w:tcW w:w="2261" w:type="dxa"/>
            <w:gridSpan w:val="2"/>
            <w:vMerge w:val="restart"/>
            <w:tcBorders>
              <w:top w:val="single" w:sz="8" w:space="0" w:color="000000" w:themeColor="text1"/>
              <w:left w:val="nil"/>
              <w:bottom w:val="single" w:sz="8" w:space="0" w:color="000000" w:themeColor="text1"/>
              <w:right w:val="single" w:sz="8" w:space="0" w:color="000000" w:themeColor="text1"/>
            </w:tcBorders>
            <w:shd w:val="clear" w:color="auto" w:fill="F7CBAC"/>
            <w:tcMar>
              <w:left w:w="108" w:type="dxa"/>
              <w:right w:w="108" w:type="dxa"/>
            </w:tcMar>
            <w:vAlign w:val="center"/>
          </w:tcPr>
          <w:p w14:paraId="3049725B" w14:textId="4AC83C5D" w:rsidR="1660CAE6" w:rsidRPr="00AC3E8D" w:rsidRDefault="1660CAE6" w:rsidP="1660CAE6">
            <w:pPr>
              <w:rPr>
                <w:rFonts w:eastAsia="Calibri" w:cstheme="minorHAnsi"/>
                <w:b/>
                <w:bCs/>
                <w:color w:val="000000" w:themeColor="text1"/>
                <w:sz w:val="20"/>
                <w:szCs w:val="20"/>
              </w:rPr>
            </w:pPr>
            <w:r>
              <w:rPr>
                <w:rFonts w:eastAsia="Calibri" w:cstheme="minorHAnsi"/>
                <w:b/>
                <w:bCs/>
                <w:color w:val="000000" w:themeColor="text1"/>
                <w:sz w:val="20"/>
                <w:szCs w:val="20"/>
              </w:rPr>
              <w:t>INFO ONLY</w:t>
            </w:r>
          </w:p>
          <w:p w14:paraId="439210E7" w14:textId="04BA6533" w:rsidR="1660CAE6" w:rsidRPr="00AC3E8D" w:rsidRDefault="1660CAE6" w:rsidP="1660CAE6">
            <w:pPr>
              <w:rPr>
                <w:rFonts w:eastAsia="Calibri" w:cstheme="minorHAnsi"/>
                <w:b/>
                <w:bCs/>
                <w:color w:val="000000" w:themeColor="text1"/>
                <w:sz w:val="20"/>
                <w:szCs w:val="20"/>
              </w:rPr>
            </w:pPr>
            <w:r>
              <w:rPr>
                <w:rFonts w:eastAsia="Calibri" w:cstheme="minorHAnsi"/>
                <w:b/>
                <w:bCs/>
                <w:color w:val="000000" w:themeColor="text1"/>
                <w:sz w:val="20"/>
                <w:szCs w:val="20"/>
              </w:rPr>
              <w:t xml:space="preserve">(Add </w:t>
            </w:r>
            <w:r>
              <w:rPr>
                <w:rFonts w:ascii="Segoe UI Symbol" w:eastAsia="Segoe UI Symbol" w:hAnsi="Segoe UI Symbol" w:cs="Segoe UI Symbol"/>
                <w:b/>
                <w:bCs/>
                <w:color w:val="000000" w:themeColor="text1"/>
                <w:sz w:val="20"/>
                <w:szCs w:val="20"/>
              </w:rPr>
              <w:t>✓</w:t>
            </w:r>
            <w:r>
              <w:rPr>
                <w:rFonts w:eastAsia="Calibri" w:cstheme="minorHAnsi"/>
                <w:b/>
                <w:bCs/>
                <w:color w:val="000000" w:themeColor="text1"/>
                <w:sz w:val="20"/>
                <w:szCs w:val="20"/>
              </w:rPr>
              <w:t xml:space="preserve"> or X to confirm your answer)</w:t>
            </w:r>
          </w:p>
        </w:tc>
      </w:tr>
      <w:bookmarkEnd w:id="71"/>
      <w:tr w:rsidR="1660CAE6" w:rsidRPr="00AC3E8D" w14:paraId="3D241E89" w14:textId="77777777" w:rsidTr="002A7E41">
        <w:trPr>
          <w:gridBefore w:val="1"/>
          <w:wBefore w:w="10" w:type="dxa"/>
          <w:trHeight w:val="450"/>
        </w:trPr>
        <w:tc>
          <w:tcPr>
            <w:tcW w:w="746" w:type="dxa"/>
            <w:vMerge/>
            <w:tcBorders>
              <w:left w:val="single" w:sz="0" w:space="0" w:color="000000" w:themeColor="text1"/>
              <w:bottom w:val="single" w:sz="4" w:space="0" w:color="auto"/>
              <w:right w:val="single" w:sz="0" w:space="0" w:color="000000" w:themeColor="text1"/>
            </w:tcBorders>
            <w:vAlign w:val="center"/>
          </w:tcPr>
          <w:p w14:paraId="5E85521F" w14:textId="77777777" w:rsidR="00913F5A" w:rsidRPr="00AC3E8D" w:rsidRDefault="00913F5A">
            <w:pPr>
              <w:rPr>
                <w:rFonts w:cstheme="minorHAnsi"/>
              </w:rPr>
            </w:pPr>
          </w:p>
        </w:tc>
        <w:tc>
          <w:tcPr>
            <w:tcW w:w="4754" w:type="dxa"/>
            <w:tcBorders>
              <w:top w:val="single" w:sz="8" w:space="0" w:color="000000" w:themeColor="text1"/>
              <w:left w:val="nil"/>
              <w:bottom w:val="single" w:sz="4" w:space="0" w:color="auto"/>
              <w:right w:val="single" w:sz="8" w:space="0" w:color="000000" w:themeColor="text1"/>
            </w:tcBorders>
            <w:shd w:val="clear" w:color="auto" w:fill="F7CBAC"/>
            <w:tcMar>
              <w:left w:w="108" w:type="dxa"/>
              <w:right w:w="108" w:type="dxa"/>
            </w:tcMar>
            <w:vAlign w:val="center"/>
          </w:tcPr>
          <w:p w14:paraId="361BE843" w14:textId="0A4D62ED" w:rsidR="1660CAE6" w:rsidRPr="002A7E41" w:rsidRDefault="002A7E41" w:rsidP="00E56BDD">
            <w:pPr>
              <w:spacing w:line="257" w:lineRule="auto"/>
              <w:rPr>
                <w:rFonts w:eastAsia="Calibri" w:cstheme="minorHAnsi"/>
                <w:b/>
                <w:bCs/>
                <w:color w:val="000000" w:themeColor="text1"/>
                <w:sz w:val="20"/>
                <w:szCs w:val="20"/>
              </w:rPr>
            </w:pPr>
            <w:r>
              <w:rPr>
                <w:b/>
                <w:bCs/>
              </w:rPr>
              <w:t>T</w:t>
            </w:r>
            <w:r w:rsidRPr="002A7E41">
              <w:rPr>
                <w:b/>
                <w:bCs/>
              </w:rPr>
              <w:t>ick to confirm that you have signed up to the Code of Practice.</w:t>
            </w:r>
          </w:p>
        </w:tc>
        <w:tc>
          <w:tcPr>
            <w:tcW w:w="1720" w:type="dxa"/>
            <w:gridSpan w:val="2"/>
            <w:tcBorders>
              <w:top w:val="nil"/>
              <w:left w:val="single" w:sz="8" w:space="0" w:color="000000" w:themeColor="text1"/>
              <w:bottom w:val="single" w:sz="4" w:space="0" w:color="auto"/>
              <w:right w:val="single" w:sz="8" w:space="0" w:color="000000" w:themeColor="text1"/>
            </w:tcBorders>
            <w:shd w:val="clear" w:color="auto" w:fill="FFFF00"/>
            <w:tcMar>
              <w:left w:w="108" w:type="dxa"/>
              <w:right w:w="108" w:type="dxa"/>
            </w:tcMar>
            <w:vAlign w:val="center"/>
          </w:tcPr>
          <w:p w14:paraId="0D08EA39" w14:textId="534DB52A" w:rsidR="1660CAE6" w:rsidRPr="00AC3E8D" w:rsidRDefault="1660CAE6" w:rsidP="00E56BDD">
            <w:pPr>
              <w:spacing w:line="257" w:lineRule="auto"/>
              <w:rPr>
                <w:rFonts w:eastAsia="Calibri" w:cstheme="minorHAnsi"/>
                <w:b/>
                <w:bCs/>
                <w:sz w:val="20"/>
                <w:szCs w:val="20"/>
              </w:rPr>
            </w:pPr>
            <w:r>
              <w:rPr>
                <w:rFonts w:eastAsia="Calibri" w:cstheme="minorHAnsi"/>
                <w:b/>
                <w:bCs/>
                <w:sz w:val="20"/>
                <w:szCs w:val="20"/>
              </w:rPr>
              <w:t xml:space="preserve"> </w:t>
            </w:r>
          </w:p>
        </w:tc>
        <w:tc>
          <w:tcPr>
            <w:tcW w:w="2261" w:type="dxa"/>
            <w:gridSpan w:val="2"/>
            <w:vMerge/>
            <w:tcBorders>
              <w:left w:val="nil"/>
              <w:bottom w:val="single" w:sz="4" w:space="0" w:color="auto"/>
              <w:right w:val="single" w:sz="0" w:space="0" w:color="000000" w:themeColor="text1"/>
            </w:tcBorders>
            <w:vAlign w:val="center"/>
          </w:tcPr>
          <w:p w14:paraId="3940A484" w14:textId="77777777" w:rsidR="00913F5A" w:rsidRPr="00AC3E8D" w:rsidRDefault="00913F5A">
            <w:pPr>
              <w:rPr>
                <w:rFonts w:cstheme="minorHAnsi"/>
              </w:rPr>
            </w:pPr>
          </w:p>
        </w:tc>
      </w:tr>
      <w:tr w:rsidR="003C04CC" w:rsidRPr="00AC3E8D" w14:paraId="2700365B" w14:textId="77777777" w:rsidTr="002A7E41">
        <w:trPr>
          <w:gridBefore w:val="1"/>
          <w:wBefore w:w="10" w:type="dxa"/>
          <w:trHeight w:val="90"/>
        </w:trPr>
        <w:tc>
          <w:tcPr>
            <w:tcW w:w="746"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6560A8" w14:textId="4ADD5E50" w:rsidR="003C04CC" w:rsidRPr="00AC3E8D" w:rsidRDefault="003C04CC" w:rsidP="00E56BDD">
            <w:pPr>
              <w:spacing w:after="0" w:line="257" w:lineRule="auto"/>
              <w:rPr>
                <w:rFonts w:eastAsia="Calibri" w:cstheme="minorHAnsi"/>
                <w:b/>
                <w:bCs/>
                <w:sz w:val="20"/>
                <w:szCs w:val="20"/>
              </w:rPr>
            </w:pPr>
            <w:r>
              <w:rPr>
                <w:rFonts w:eastAsia="Calibri" w:cstheme="minorHAnsi"/>
                <w:b/>
                <w:bCs/>
                <w:sz w:val="20"/>
                <w:szCs w:val="20"/>
              </w:rPr>
              <w:t>Q1</w:t>
            </w:r>
          </w:p>
        </w:tc>
        <w:tc>
          <w:tcPr>
            <w:tcW w:w="647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C4B10E" w14:textId="2685B1C4" w:rsidR="003C04CC" w:rsidRPr="00B1670F" w:rsidRDefault="00B1670F" w:rsidP="00E56BDD">
            <w:pPr>
              <w:spacing w:after="0" w:line="257" w:lineRule="auto"/>
              <w:rPr>
                <w:rFonts w:eastAsia="Calibri" w:cstheme="minorHAnsi"/>
                <w:b/>
                <w:bCs/>
                <w:sz w:val="20"/>
                <w:szCs w:val="20"/>
              </w:rPr>
            </w:pPr>
            <w:r>
              <w:rPr>
                <w:rFonts w:cstheme="minorHAnsi"/>
                <w:b/>
                <w:bCs/>
              </w:rPr>
              <w:t>Relevant Experience and Contract Delivery</w:t>
            </w:r>
          </w:p>
        </w:tc>
        <w:tc>
          <w:tcPr>
            <w:tcW w:w="1134"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BD97DB" w14:textId="72003921" w:rsidR="003C04CC" w:rsidRPr="00AC3E8D" w:rsidRDefault="006E7956" w:rsidP="00E56BDD">
            <w:pPr>
              <w:spacing w:after="0" w:line="257" w:lineRule="auto"/>
              <w:jc w:val="center"/>
              <w:rPr>
                <w:rFonts w:eastAsia="Calibri" w:cstheme="minorHAnsi"/>
                <w:b/>
                <w:bCs/>
                <w:sz w:val="20"/>
                <w:szCs w:val="20"/>
              </w:rPr>
            </w:pPr>
            <w:r>
              <w:rPr>
                <w:rFonts w:eastAsia="Calibri" w:cstheme="minorHAnsi"/>
                <w:b/>
                <w:bCs/>
                <w:sz w:val="20"/>
                <w:szCs w:val="20"/>
              </w:rPr>
              <w:t>30%</w:t>
            </w:r>
          </w:p>
        </w:tc>
        <w:tc>
          <w:tcPr>
            <w:tcW w:w="1127"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35CAFF" w14:textId="64AD02FE" w:rsidR="003C04CC" w:rsidRPr="00AC3E8D" w:rsidRDefault="003C04CC" w:rsidP="00E56BDD">
            <w:pPr>
              <w:spacing w:after="0" w:line="257" w:lineRule="auto"/>
              <w:jc w:val="center"/>
              <w:rPr>
                <w:rFonts w:eastAsia="Calibri" w:cstheme="minorHAnsi"/>
                <w:b/>
                <w:bCs/>
                <w:color w:val="FF0000"/>
                <w:sz w:val="20"/>
                <w:szCs w:val="20"/>
              </w:rPr>
            </w:pPr>
            <w:r>
              <w:rPr>
                <w:rFonts w:eastAsia="Calibri" w:cstheme="minorHAnsi"/>
                <w:b/>
                <w:bCs/>
                <w:color w:val="FF0000"/>
                <w:sz w:val="20"/>
                <w:szCs w:val="20"/>
              </w:rPr>
              <w:t>100%</w:t>
            </w:r>
          </w:p>
        </w:tc>
      </w:tr>
      <w:tr w:rsidR="003C04CC" w:rsidRPr="002A7E41" w14:paraId="3F924E4B" w14:textId="77777777" w:rsidTr="002A7E41">
        <w:trPr>
          <w:gridBefore w:val="1"/>
          <w:wBefore w:w="10" w:type="dxa"/>
          <w:trHeight w:val="75"/>
        </w:trPr>
        <w:tc>
          <w:tcPr>
            <w:tcW w:w="746" w:type="dxa"/>
            <w:vMerge/>
            <w:tcBorders>
              <w:top w:val="single" w:sz="4" w:space="0" w:color="auto"/>
              <w:left w:val="single" w:sz="8" w:space="0" w:color="000000" w:themeColor="text1"/>
              <w:bottom w:val="single" w:sz="4" w:space="0" w:color="auto"/>
              <w:right w:val="single" w:sz="8" w:space="0" w:color="000000" w:themeColor="text1"/>
            </w:tcBorders>
            <w:vAlign w:val="center"/>
          </w:tcPr>
          <w:p w14:paraId="7E7682B8" w14:textId="77777777" w:rsidR="003C04CC" w:rsidRPr="002A7E41" w:rsidRDefault="003C04CC">
            <w:pPr>
              <w:rPr>
                <w:rFonts w:cstheme="minorHAnsi"/>
                <w:sz w:val="20"/>
                <w:szCs w:val="20"/>
              </w:rPr>
            </w:pPr>
          </w:p>
        </w:tc>
        <w:tc>
          <w:tcPr>
            <w:tcW w:w="6474" w:type="dxa"/>
            <w:gridSpan w:val="3"/>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E45574" w14:textId="77777777" w:rsidR="00B1670F" w:rsidRPr="002A7E41" w:rsidRDefault="00B1670F" w:rsidP="00463A94">
            <w:pPr>
              <w:rPr>
                <w:rFonts w:cstheme="minorHAnsi"/>
                <w:sz w:val="20"/>
                <w:szCs w:val="20"/>
                <w:lang w:eastAsia="en-GB"/>
              </w:rPr>
            </w:pPr>
            <w:r w:rsidRPr="002A7E41">
              <w:rPr>
                <w:rFonts w:cstheme="minorHAnsi"/>
                <w:sz w:val="20"/>
                <w:szCs w:val="20"/>
                <w:lang w:eastAsia="en-GB"/>
              </w:rPr>
              <w:t>Please provide an overview of your organisation, including your experience in supplying engineering consumables, tools and PPE to Further Education, Higher Education, public-sector or other comparable customers.</w:t>
            </w:r>
          </w:p>
          <w:p w14:paraId="56AF2AD7" w14:textId="77777777" w:rsidR="00B1670F" w:rsidRPr="002A7E41" w:rsidRDefault="00B1670F" w:rsidP="00463A94">
            <w:pPr>
              <w:rPr>
                <w:rFonts w:cstheme="minorHAnsi"/>
                <w:sz w:val="20"/>
                <w:szCs w:val="20"/>
                <w:lang w:eastAsia="en-GB"/>
              </w:rPr>
            </w:pPr>
            <w:r w:rsidRPr="002A7E41">
              <w:rPr>
                <w:rFonts w:cstheme="minorHAnsi"/>
                <w:sz w:val="20"/>
                <w:szCs w:val="20"/>
                <w:lang w:eastAsia="en-GB"/>
              </w:rPr>
              <w:t>Your response should include:</w:t>
            </w:r>
          </w:p>
          <w:p w14:paraId="606272C6" w14:textId="192FD7E4" w:rsidR="000F491E" w:rsidRPr="002A7E41" w:rsidRDefault="000F491E" w:rsidP="00546FF1">
            <w:pPr>
              <w:pStyle w:val="ListParagraph"/>
              <w:numPr>
                <w:ilvl w:val="0"/>
                <w:numId w:val="5"/>
              </w:numPr>
              <w:spacing w:after="0" w:line="240" w:lineRule="auto"/>
              <w:jc w:val="left"/>
              <w:rPr>
                <w:rFonts w:eastAsia="Times New Roman" w:cstheme="minorHAnsi"/>
                <w:sz w:val="20"/>
                <w:szCs w:val="20"/>
                <w:lang w:val="en-US"/>
              </w:rPr>
            </w:pPr>
            <w:r w:rsidRPr="002A7E41">
              <w:rPr>
                <w:rFonts w:eastAsia="Times New Roman" w:cstheme="minorHAnsi"/>
                <w:sz w:val="20"/>
                <w:szCs w:val="20"/>
                <w:lang w:val="en-US"/>
              </w:rPr>
              <w:t xml:space="preserve">Experience supplying educational engineering workshops and training environments. </w:t>
            </w:r>
          </w:p>
          <w:p w14:paraId="3BD9F9A9" w14:textId="33EDFE14" w:rsidR="000F491E" w:rsidRPr="002A7E41" w:rsidRDefault="000F491E" w:rsidP="00546FF1">
            <w:pPr>
              <w:pStyle w:val="ListParagraph"/>
              <w:numPr>
                <w:ilvl w:val="0"/>
                <w:numId w:val="5"/>
              </w:numPr>
              <w:spacing w:after="0" w:line="240" w:lineRule="auto"/>
              <w:jc w:val="left"/>
              <w:rPr>
                <w:rFonts w:eastAsia="Times New Roman" w:cstheme="minorHAnsi"/>
                <w:sz w:val="20"/>
                <w:szCs w:val="20"/>
                <w:lang w:val="en-US"/>
              </w:rPr>
            </w:pPr>
            <w:r w:rsidRPr="002A7E41">
              <w:rPr>
                <w:rFonts w:eastAsia="Times New Roman" w:cstheme="minorHAnsi"/>
                <w:sz w:val="20"/>
                <w:szCs w:val="20"/>
                <w:lang w:val="en-US"/>
              </w:rPr>
              <w:t xml:space="preserve">Ability to maintain stock availability across a broad range of engineering consumables. </w:t>
            </w:r>
          </w:p>
          <w:p w14:paraId="344B992B" w14:textId="2A300E3E" w:rsidR="000F491E" w:rsidRPr="002A7E41" w:rsidRDefault="000F491E" w:rsidP="00546FF1">
            <w:pPr>
              <w:pStyle w:val="ListParagraph"/>
              <w:numPr>
                <w:ilvl w:val="0"/>
                <w:numId w:val="5"/>
              </w:numPr>
              <w:spacing w:after="0" w:line="240" w:lineRule="auto"/>
              <w:jc w:val="left"/>
              <w:rPr>
                <w:rFonts w:eastAsia="Times New Roman" w:cstheme="minorHAnsi"/>
                <w:sz w:val="20"/>
                <w:szCs w:val="20"/>
                <w:lang w:val="en-US"/>
              </w:rPr>
            </w:pPr>
            <w:r w:rsidRPr="002A7E41">
              <w:rPr>
                <w:rFonts w:eastAsia="Times New Roman" w:cstheme="minorHAnsi"/>
                <w:sz w:val="20"/>
                <w:szCs w:val="20"/>
                <w:lang w:val="en-US"/>
              </w:rPr>
              <w:t xml:space="preserve">Experience managing manufacturer relationships and supply chain disruptions. </w:t>
            </w:r>
          </w:p>
          <w:p w14:paraId="59590FA3" w14:textId="5538F58E" w:rsidR="000F491E" w:rsidRPr="002A7E41" w:rsidRDefault="000F491E" w:rsidP="00546FF1">
            <w:pPr>
              <w:pStyle w:val="ListParagraph"/>
              <w:numPr>
                <w:ilvl w:val="0"/>
                <w:numId w:val="5"/>
              </w:numPr>
              <w:rPr>
                <w:rFonts w:cstheme="minorHAnsi"/>
                <w:sz w:val="20"/>
                <w:szCs w:val="20"/>
                <w:lang w:eastAsia="en-GB"/>
              </w:rPr>
            </w:pPr>
            <w:r w:rsidRPr="002A7E41">
              <w:rPr>
                <w:rFonts w:eastAsia="Times New Roman" w:cstheme="minorHAnsi"/>
                <w:sz w:val="20"/>
                <w:szCs w:val="20"/>
                <w:lang w:val="en-US"/>
              </w:rPr>
              <w:t>Examples of delivering value for money and cost control.</w:t>
            </w:r>
          </w:p>
          <w:p w14:paraId="38400D6E" w14:textId="1F9F86DD" w:rsidR="00AC3E8D" w:rsidRPr="002A7E41" w:rsidRDefault="007A066B" w:rsidP="00463A94">
            <w:pPr>
              <w:rPr>
                <w:rFonts w:cstheme="minorHAnsi"/>
                <w:sz w:val="20"/>
                <w:szCs w:val="20"/>
                <w:lang w:eastAsia="en-GB"/>
              </w:rPr>
            </w:pPr>
            <w:r w:rsidRPr="002A7E41">
              <w:rPr>
                <w:rFonts w:cstheme="minorHAnsi"/>
                <w:color w:val="FF0000"/>
                <w:sz w:val="20"/>
                <w:szCs w:val="20"/>
              </w:rPr>
              <w:t xml:space="preserve">Bidders who are </w:t>
            </w:r>
            <w:r w:rsidRPr="002A7E41">
              <w:rPr>
                <w:rFonts w:cstheme="minorHAnsi"/>
                <w:color w:val="FF0000"/>
                <w:sz w:val="20"/>
                <w:szCs w:val="20"/>
                <w:lang w:eastAsia="en-GB"/>
              </w:rPr>
              <w:t>applying for multiple Lots must ensure their response is clearly structured, and include relevant contract examples, supply chain arrangements and stockholding capability specific to each Lot.</w:t>
            </w:r>
          </w:p>
        </w:tc>
        <w:tc>
          <w:tcPr>
            <w:tcW w:w="1134" w:type="dxa"/>
            <w:vMerge/>
            <w:tcBorders>
              <w:top w:val="single" w:sz="4" w:space="0" w:color="auto"/>
              <w:left w:val="nil"/>
              <w:bottom w:val="single" w:sz="0" w:space="0" w:color="000000" w:themeColor="text1"/>
              <w:right w:val="single" w:sz="0" w:space="0" w:color="000000" w:themeColor="text1"/>
            </w:tcBorders>
            <w:vAlign w:val="center"/>
          </w:tcPr>
          <w:p w14:paraId="09E03882" w14:textId="77777777" w:rsidR="003C04CC" w:rsidRPr="002A7E41" w:rsidRDefault="003C04CC">
            <w:pPr>
              <w:rPr>
                <w:rFonts w:cstheme="minorHAnsi"/>
                <w:sz w:val="20"/>
                <w:szCs w:val="20"/>
              </w:rPr>
            </w:pPr>
          </w:p>
        </w:tc>
        <w:tc>
          <w:tcPr>
            <w:tcW w:w="1127" w:type="dxa"/>
            <w:vMerge/>
            <w:tcBorders>
              <w:top w:val="single" w:sz="4" w:space="0" w:color="auto"/>
              <w:left w:val="single" w:sz="0" w:space="0" w:color="000000" w:themeColor="text1"/>
              <w:bottom w:val="single" w:sz="0" w:space="0" w:color="000000" w:themeColor="text1"/>
              <w:right w:val="single" w:sz="0" w:space="0" w:color="000000" w:themeColor="text1"/>
            </w:tcBorders>
            <w:vAlign w:val="center"/>
          </w:tcPr>
          <w:p w14:paraId="10378C1F" w14:textId="77777777" w:rsidR="003C04CC" w:rsidRPr="002A7E41" w:rsidRDefault="003C04CC">
            <w:pPr>
              <w:rPr>
                <w:rFonts w:cstheme="minorHAnsi"/>
                <w:sz w:val="20"/>
                <w:szCs w:val="20"/>
              </w:rPr>
            </w:pPr>
          </w:p>
        </w:tc>
      </w:tr>
      <w:tr w:rsidR="003C04CC" w:rsidRPr="002A7E41" w14:paraId="28ADE161" w14:textId="77777777" w:rsidTr="002A7E41">
        <w:trPr>
          <w:gridBefore w:val="1"/>
          <w:wBefore w:w="10" w:type="dxa"/>
          <w:trHeight w:val="75"/>
        </w:trPr>
        <w:tc>
          <w:tcPr>
            <w:tcW w:w="746"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C536DC" w14:textId="6EAE51D1" w:rsidR="003C04CC" w:rsidRPr="002A7E41" w:rsidRDefault="003C04CC" w:rsidP="1660CAE6">
            <w:pPr>
              <w:spacing w:after="0" w:line="257" w:lineRule="auto"/>
              <w:rPr>
                <w:rFonts w:eastAsia="Calibri" w:cstheme="minorHAnsi"/>
                <w:b/>
                <w:bCs/>
                <w:sz w:val="20"/>
                <w:szCs w:val="20"/>
              </w:rPr>
            </w:pPr>
            <w:r w:rsidRPr="002A7E41">
              <w:rPr>
                <w:rFonts w:eastAsia="Calibri" w:cstheme="minorHAnsi"/>
                <w:b/>
                <w:bCs/>
                <w:sz w:val="20"/>
                <w:szCs w:val="20"/>
              </w:rPr>
              <w:lastRenderedPageBreak/>
              <w:t>Q2</w:t>
            </w:r>
          </w:p>
        </w:tc>
        <w:tc>
          <w:tcPr>
            <w:tcW w:w="6474" w:type="dxa"/>
            <w:gridSpan w:val="3"/>
            <w:tcBorders>
              <w:top w:val="single" w:sz="8" w:space="0" w:color="000000" w:themeColor="text1"/>
              <w:left w:val="single" w:sz="4" w:space="0" w:color="auto"/>
              <w:bottom w:val="single" w:sz="8" w:space="0" w:color="000000" w:themeColor="text1"/>
              <w:right w:val="single" w:sz="8" w:space="0" w:color="000000" w:themeColor="text1"/>
            </w:tcBorders>
            <w:tcMar>
              <w:left w:w="108" w:type="dxa"/>
              <w:right w:w="108" w:type="dxa"/>
            </w:tcMar>
            <w:vAlign w:val="center"/>
          </w:tcPr>
          <w:p w14:paraId="099A1826" w14:textId="79F92B65" w:rsidR="003C04CC" w:rsidRPr="002A7E41" w:rsidRDefault="00B1670F" w:rsidP="1660CAE6">
            <w:pPr>
              <w:spacing w:after="0" w:line="257" w:lineRule="auto"/>
              <w:rPr>
                <w:rFonts w:eastAsia="Calibri" w:cstheme="minorHAnsi"/>
                <w:b/>
                <w:bCs/>
                <w:sz w:val="20"/>
                <w:szCs w:val="20"/>
              </w:rPr>
            </w:pPr>
            <w:r w:rsidRPr="002A7E41">
              <w:rPr>
                <w:rFonts w:cstheme="minorHAnsi"/>
                <w:b/>
                <w:bCs/>
                <w:sz w:val="20"/>
                <w:szCs w:val="20"/>
              </w:rPr>
              <w:t>Account Management</w:t>
            </w:r>
          </w:p>
        </w:tc>
        <w:tc>
          <w:tcPr>
            <w:tcW w:w="1134" w:type="dxa"/>
            <w:vMerge w:val="restart"/>
            <w:tcBorders>
              <w:top w:val="nil"/>
              <w:left w:val="nil"/>
              <w:bottom w:val="single" w:sz="8" w:space="0" w:color="000000" w:themeColor="text1"/>
              <w:right w:val="single" w:sz="8" w:space="0" w:color="000000" w:themeColor="text1"/>
            </w:tcBorders>
            <w:tcMar>
              <w:left w:w="108" w:type="dxa"/>
              <w:right w:w="108" w:type="dxa"/>
            </w:tcMar>
            <w:vAlign w:val="center"/>
          </w:tcPr>
          <w:p w14:paraId="1A470B68" w14:textId="76B98DBF" w:rsidR="003C04CC" w:rsidRPr="002A7E41" w:rsidRDefault="00FC3960" w:rsidP="1660CAE6">
            <w:pPr>
              <w:spacing w:after="0" w:line="257" w:lineRule="auto"/>
              <w:jc w:val="center"/>
              <w:rPr>
                <w:rFonts w:eastAsia="Calibri" w:cstheme="minorHAnsi"/>
                <w:b/>
                <w:bCs/>
                <w:sz w:val="20"/>
                <w:szCs w:val="20"/>
              </w:rPr>
            </w:pPr>
            <w:r w:rsidRPr="002A7E41">
              <w:rPr>
                <w:rFonts w:eastAsia="Calibri" w:cstheme="minorHAnsi"/>
                <w:b/>
                <w:bCs/>
                <w:sz w:val="20"/>
                <w:szCs w:val="20"/>
              </w:rPr>
              <w:t>30%</w:t>
            </w:r>
          </w:p>
        </w:tc>
        <w:tc>
          <w:tcPr>
            <w:tcW w:w="1127" w:type="dxa"/>
            <w:vMerge w:val="restar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AFF8AAD" w14:textId="7D7CE47C" w:rsidR="003C04CC" w:rsidRPr="002A7E41" w:rsidRDefault="003C04CC" w:rsidP="1660CAE6">
            <w:pPr>
              <w:spacing w:after="0" w:line="257" w:lineRule="auto"/>
              <w:jc w:val="center"/>
              <w:rPr>
                <w:rFonts w:eastAsia="Calibri" w:cstheme="minorHAnsi"/>
                <w:b/>
                <w:bCs/>
                <w:color w:val="FF0000"/>
                <w:sz w:val="20"/>
                <w:szCs w:val="20"/>
              </w:rPr>
            </w:pPr>
            <w:r w:rsidRPr="002A7E41">
              <w:rPr>
                <w:rFonts w:eastAsia="Calibri" w:cstheme="minorHAnsi"/>
                <w:b/>
                <w:bCs/>
                <w:color w:val="FF0000"/>
                <w:sz w:val="20"/>
                <w:szCs w:val="20"/>
              </w:rPr>
              <w:t>100%</w:t>
            </w:r>
          </w:p>
        </w:tc>
      </w:tr>
      <w:tr w:rsidR="003C04CC" w:rsidRPr="002A7E41" w14:paraId="5926699C" w14:textId="77777777" w:rsidTr="002A7E41">
        <w:trPr>
          <w:gridBefore w:val="1"/>
          <w:wBefore w:w="10" w:type="dxa"/>
          <w:trHeight w:val="90"/>
        </w:trPr>
        <w:tc>
          <w:tcPr>
            <w:tcW w:w="746" w:type="dxa"/>
            <w:vMerge/>
            <w:tcBorders>
              <w:top w:val="single" w:sz="4" w:space="0" w:color="auto"/>
              <w:left w:val="single" w:sz="4" w:space="0" w:color="auto"/>
              <w:bottom w:val="single" w:sz="4" w:space="0" w:color="auto"/>
              <w:right w:val="single" w:sz="4" w:space="0" w:color="auto"/>
            </w:tcBorders>
            <w:vAlign w:val="center"/>
          </w:tcPr>
          <w:p w14:paraId="63A3293D" w14:textId="77777777" w:rsidR="003C04CC" w:rsidRPr="002A7E41" w:rsidRDefault="003C04CC">
            <w:pPr>
              <w:rPr>
                <w:rFonts w:cstheme="minorHAnsi"/>
                <w:sz w:val="20"/>
                <w:szCs w:val="20"/>
              </w:rPr>
            </w:pPr>
          </w:p>
        </w:tc>
        <w:tc>
          <w:tcPr>
            <w:tcW w:w="6474" w:type="dxa"/>
            <w:gridSpan w:val="3"/>
            <w:tcBorders>
              <w:top w:val="single" w:sz="8" w:space="0" w:color="000000" w:themeColor="text1"/>
              <w:left w:val="single" w:sz="4" w:space="0" w:color="auto"/>
              <w:bottom w:val="single" w:sz="8" w:space="0" w:color="000000" w:themeColor="text1"/>
              <w:right w:val="single" w:sz="8" w:space="0" w:color="000000" w:themeColor="text1"/>
            </w:tcBorders>
            <w:tcMar>
              <w:left w:w="108" w:type="dxa"/>
              <w:right w:w="108" w:type="dxa"/>
            </w:tcMar>
            <w:vAlign w:val="center"/>
          </w:tcPr>
          <w:p w14:paraId="687B4113" w14:textId="77777777" w:rsidR="00DB40D9" w:rsidRPr="002A7E41" w:rsidRDefault="00DB40D9" w:rsidP="00DB40D9">
            <w:p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Please describe your proposed account management and customer support arrangements for this contract.</w:t>
            </w:r>
          </w:p>
          <w:p w14:paraId="5B7C6E76" w14:textId="77777777" w:rsidR="00DB40D9" w:rsidRPr="002A7E41" w:rsidRDefault="00DB40D9" w:rsidP="00DB40D9">
            <w:p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Your response should include:</w:t>
            </w:r>
          </w:p>
          <w:p w14:paraId="4FA688AC" w14:textId="77777777" w:rsidR="00DB40D9" w:rsidRPr="002A7E41" w:rsidRDefault="00DB40D9" w:rsidP="0020639B">
            <w:pPr>
              <w:numPr>
                <w:ilvl w:val="0"/>
                <w:numId w:val="9"/>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 xml:space="preserve">Your account management structure and key contacts. </w:t>
            </w:r>
          </w:p>
          <w:p w14:paraId="42D6063A" w14:textId="77777777" w:rsidR="00DB40D9" w:rsidRPr="002A7E41" w:rsidRDefault="00DB40D9" w:rsidP="0020639B">
            <w:pPr>
              <w:numPr>
                <w:ilvl w:val="0"/>
                <w:numId w:val="9"/>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 xml:space="preserve">Customer support and escalation arrangements. </w:t>
            </w:r>
          </w:p>
          <w:p w14:paraId="27B9AD72" w14:textId="77777777" w:rsidR="00DB40D9" w:rsidRPr="002A7E41" w:rsidRDefault="00DB40D9" w:rsidP="0020639B">
            <w:pPr>
              <w:numPr>
                <w:ilvl w:val="0"/>
                <w:numId w:val="9"/>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 xml:space="preserve">How you will manage urgent requests, supply shortages and discontinued products. </w:t>
            </w:r>
          </w:p>
          <w:p w14:paraId="193FC81B" w14:textId="77777777" w:rsidR="00DB40D9" w:rsidRPr="002A7E41" w:rsidRDefault="00DB40D9" w:rsidP="0020639B">
            <w:pPr>
              <w:numPr>
                <w:ilvl w:val="0"/>
                <w:numId w:val="9"/>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 xml:space="preserve">How you will monitor and manage contract performance. </w:t>
            </w:r>
          </w:p>
          <w:p w14:paraId="3EEC778B" w14:textId="77777777" w:rsidR="00DB40D9" w:rsidRPr="002A7E41" w:rsidRDefault="00DB40D9" w:rsidP="0020639B">
            <w:pPr>
              <w:numPr>
                <w:ilvl w:val="0"/>
                <w:numId w:val="9"/>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 xml:space="preserve">The management information and reporting you can provide, including spend analysis and KPI reporting. </w:t>
            </w:r>
          </w:p>
          <w:p w14:paraId="10B2F122" w14:textId="77777777" w:rsidR="00DB40D9" w:rsidRPr="002A7E41" w:rsidRDefault="00DB40D9" w:rsidP="0020639B">
            <w:pPr>
              <w:numPr>
                <w:ilvl w:val="0"/>
                <w:numId w:val="9"/>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 xml:space="preserve">How you will identify opportunities for cost savings and added value. </w:t>
            </w:r>
          </w:p>
          <w:p w14:paraId="3BD94C77" w14:textId="77777777" w:rsidR="00DB40D9" w:rsidRPr="002A7E41" w:rsidRDefault="00DB40D9" w:rsidP="0020639B">
            <w:pPr>
              <w:numPr>
                <w:ilvl w:val="0"/>
                <w:numId w:val="9"/>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 xml:space="preserve">Examples of management information reports. </w:t>
            </w:r>
          </w:p>
          <w:p w14:paraId="1A574407" w14:textId="77777777" w:rsidR="00DB40D9" w:rsidRPr="002A7E41" w:rsidRDefault="00DB40D9" w:rsidP="0020639B">
            <w:pPr>
              <w:numPr>
                <w:ilvl w:val="0"/>
                <w:numId w:val="9"/>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 xml:space="preserve">Any sustainability or social value reporting available. </w:t>
            </w:r>
          </w:p>
          <w:p w14:paraId="25E47BA4" w14:textId="77777777" w:rsidR="007A066B" w:rsidRPr="002A7E41" w:rsidRDefault="007A066B" w:rsidP="007A066B">
            <w:pPr>
              <w:spacing w:before="100" w:beforeAutospacing="1" w:after="0" w:line="240" w:lineRule="auto"/>
              <w:jc w:val="left"/>
              <w:rPr>
                <w:rFonts w:eastAsia="Times New Roman" w:cstheme="minorHAnsi"/>
                <w:color w:val="FF0000"/>
                <w:sz w:val="20"/>
                <w:szCs w:val="20"/>
                <w:lang w:val="en-US"/>
              </w:rPr>
            </w:pPr>
            <w:r w:rsidRPr="002A7E41">
              <w:rPr>
                <w:rFonts w:eastAsia="Times New Roman" w:cstheme="minorHAnsi"/>
                <w:color w:val="FF0000"/>
                <w:sz w:val="20"/>
                <w:szCs w:val="20"/>
                <w:lang w:val="en-US"/>
              </w:rPr>
              <w:t>Bidders who are applying for multiple Lots must clearly outline whether account management arrangements are shared across Lots or differentiated per Lot, including any variations in service levels, escalation routes, and reporting.</w:t>
            </w:r>
          </w:p>
          <w:p w14:paraId="3B0E0A47" w14:textId="7A03921A" w:rsidR="007A066B" w:rsidRPr="002A7E41" w:rsidRDefault="007A066B" w:rsidP="007A066B">
            <w:pPr>
              <w:spacing w:after="0" w:line="240" w:lineRule="auto"/>
              <w:jc w:val="left"/>
              <w:rPr>
                <w:rFonts w:eastAsia="Times New Roman" w:cstheme="minorHAnsi"/>
                <w:sz w:val="20"/>
                <w:szCs w:val="20"/>
                <w:lang w:val="en-US"/>
              </w:rPr>
            </w:pPr>
          </w:p>
        </w:tc>
        <w:tc>
          <w:tcPr>
            <w:tcW w:w="1134" w:type="dxa"/>
            <w:vMerge/>
            <w:tcBorders>
              <w:left w:val="nil"/>
              <w:bottom w:val="single" w:sz="0" w:space="0" w:color="000000" w:themeColor="text1"/>
              <w:right w:val="single" w:sz="0" w:space="0" w:color="000000" w:themeColor="text1"/>
            </w:tcBorders>
            <w:vAlign w:val="center"/>
          </w:tcPr>
          <w:p w14:paraId="0605D2CD" w14:textId="77777777" w:rsidR="003C04CC" w:rsidRPr="002A7E41" w:rsidRDefault="003C04CC">
            <w:pPr>
              <w:rPr>
                <w:rFonts w:cstheme="minorHAnsi"/>
                <w:sz w:val="20"/>
                <w:szCs w:val="20"/>
              </w:rPr>
            </w:pPr>
          </w:p>
        </w:tc>
        <w:tc>
          <w:tcPr>
            <w:tcW w:w="1127" w:type="dxa"/>
            <w:vMerge/>
            <w:tcBorders>
              <w:left w:val="single" w:sz="0" w:space="0" w:color="000000" w:themeColor="text1"/>
              <w:bottom w:val="single" w:sz="0" w:space="0" w:color="000000" w:themeColor="text1"/>
              <w:right w:val="single" w:sz="0" w:space="0" w:color="000000" w:themeColor="text1"/>
            </w:tcBorders>
            <w:vAlign w:val="center"/>
          </w:tcPr>
          <w:p w14:paraId="0205FB99" w14:textId="77777777" w:rsidR="003C04CC" w:rsidRPr="002A7E41" w:rsidRDefault="003C04CC">
            <w:pPr>
              <w:rPr>
                <w:rFonts w:cstheme="minorHAnsi"/>
                <w:sz w:val="20"/>
                <w:szCs w:val="20"/>
              </w:rPr>
            </w:pPr>
          </w:p>
        </w:tc>
      </w:tr>
      <w:tr w:rsidR="003C04CC" w:rsidRPr="002A7E41" w14:paraId="0EC46EFF" w14:textId="77777777" w:rsidTr="002A7E41">
        <w:trPr>
          <w:gridBefore w:val="1"/>
          <w:wBefore w:w="10" w:type="dxa"/>
          <w:trHeight w:val="75"/>
        </w:trPr>
        <w:tc>
          <w:tcPr>
            <w:tcW w:w="746" w:type="dxa"/>
            <w:vMerge w:val="restart"/>
            <w:tcBorders>
              <w:top w:val="single" w:sz="4" w:space="0" w:color="auto"/>
              <w:left w:val="single" w:sz="8" w:space="0" w:color="000000" w:themeColor="text1"/>
              <w:right w:val="single" w:sz="8" w:space="0" w:color="000000" w:themeColor="text1"/>
            </w:tcBorders>
            <w:tcMar>
              <w:left w:w="108" w:type="dxa"/>
              <w:right w:w="108" w:type="dxa"/>
            </w:tcMar>
            <w:vAlign w:val="center"/>
          </w:tcPr>
          <w:p w14:paraId="0B4C8658" w14:textId="27654515" w:rsidR="003C04CC" w:rsidRPr="002A7E41" w:rsidRDefault="003C04CC" w:rsidP="00E56BDD">
            <w:pPr>
              <w:spacing w:after="0" w:line="257" w:lineRule="auto"/>
              <w:rPr>
                <w:rFonts w:eastAsia="Calibri" w:cstheme="minorHAnsi"/>
                <w:b/>
                <w:bCs/>
                <w:sz w:val="20"/>
                <w:szCs w:val="20"/>
              </w:rPr>
            </w:pPr>
            <w:r w:rsidRPr="002A7E41">
              <w:rPr>
                <w:rFonts w:eastAsia="Calibri" w:cstheme="minorHAnsi"/>
                <w:b/>
                <w:bCs/>
                <w:sz w:val="20"/>
                <w:szCs w:val="20"/>
              </w:rPr>
              <w:t>Q3</w:t>
            </w:r>
          </w:p>
        </w:tc>
        <w:tc>
          <w:tcPr>
            <w:tcW w:w="647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52AC24" w14:textId="60CDB3F6" w:rsidR="003C04CC" w:rsidRPr="002A7E41" w:rsidRDefault="00B1670F" w:rsidP="00463A94">
            <w:pPr>
              <w:spacing w:before="100" w:beforeAutospacing="1" w:after="100" w:afterAutospacing="1" w:line="240" w:lineRule="auto"/>
              <w:outlineLvl w:val="2"/>
              <w:rPr>
                <w:rFonts w:eastAsia="Times New Roman" w:cstheme="minorHAnsi"/>
                <w:b/>
                <w:bCs/>
                <w:sz w:val="20"/>
                <w:szCs w:val="20"/>
                <w:lang w:eastAsia="en-GB"/>
              </w:rPr>
            </w:pPr>
            <w:bookmarkStart w:id="72" w:name="_Toc233962892"/>
            <w:r w:rsidRPr="002A7E41">
              <w:rPr>
                <w:rFonts w:eastAsia="Times New Roman" w:cstheme="minorHAnsi"/>
                <w:b/>
                <w:bCs/>
                <w:sz w:val="20"/>
                <w:szCs w:val="20"/>
                <w:lang w:eastAsia="en-GB"/>
              </w:rPr>
              <w:t>Ordering, Delivery, Returns and Warranty Arrangements</w:t>
            </w:r>
            <w:bookmarkEnd w:id="72"/>
          </w:p>
        </w:tc>
        <w:tc>
          <w:tcPr>
            <w:tcW w:w="1134" w:type="dxa"/>
            <w:tcBorders>
              <w:top w:val="nil"/>
              <w:left w:val="nil"/>
              <w:bottom w:val="single" w:sz="8" w:space="0" w:color="000000" w:themeColor="text1"/>
              <w:right w:val="single" w:sz="8" w:space="0" w:color="000000" w:themeColor="text1"/>
            </w:tcBorders>
            <w:tcMar>
              <w:left w:w="108" w:type="dxa"/>
              <w:right w:w="108" w:type="dxa"/>
            </w:tcMar>
            <w:vAlign w:val="center"/>
          </w:tcPr>
          <w:p w14:paraId="70EE520C" w14:textId="567D7DDA" w:rsidR="003C04CC" w:rsidRPr="002A7E41" w:rsidRDefault="003C04CC" w:rsidP="00E56BDD">
            <w:pPr>
              <w:spacing w:after="0" w:line="257" w:lineRule="auto"/>
              <w:jc w:val="center"/>
              <w:rPr>
                <w:rFonts w:eastAsia="Calibri" w:cstheme="minorHAnsi"/>
                <w:b/>
                <w:bCs/>
                <w:sz w:val="20"/>
                <w:szCs w:val="20"/>
              </w:rPr>
            </w:pPr>
          </w:p>
        </w:tc>
        <w:tc>
          <w:tcPr>
            <w:tcW w:w="1127"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E78F83" w14:textId="5A632997" w:rsidR="003C04CC" w:rsidRPr="002A7E41" w:rsidRDefault="003C04CC" w:rsidP="00E56BDD">
            <w:pPr>
              <w:spacing w:after="0" w:line="257" w:lineRule="auto"/>
              <w:jc w:val="center"/>
              <w:rPr>
                <w:rFonts w:eastAsia="Calibri" w:cstheme="minorHAnsi"/>
                <w:b/>
                <w:bCs/>
                <w:color w:val="FF0000"/>
                <w:sz w:val="20"/>
                <w:szCs w:val="20"/>
              </w:rPr>
            </w:pPr>
            <w:r w:rsidRPr="002A7E41">
              <w:rPr>
                <w:rFonts w:eastAsia="Calibri" w:cstheme="minorHAnsi"/>
                <w:b/>
                <w:bCs/>
                <w:color w:val="FF0000"/>
                <w:sz w:val="20"/>
                <w:szCs w:val="20"/>
              </w:rPr>
              <w:t xml:space="preserve"> </w:t>
            </w:r>
          </w:p>
        </w:tc>
      </w:tr>
      <w:tr w:rsidR="003C04CC" w:rsidRPr="002A7E41" w14:paraId="08AD16BF" w14:textId="77777777" w:rsidTr="002A7E41">
        <w:trPr>
          <w:gridBefore w:val="1"/>
          <w:wBefore w:w="10" w:type="dxa"/>
          <w:trHeight w:val="75"/>
        </w:trPr>
        <w:tc>
          <w:tcPr>
            <w:tcW w:w="746" w:type="dxa"/>
            <w:vMerge/>
            <w:tcBorders>
              <w:left w:val="single" w:sz="8" w:space="0" w:color="000000" w:themeColor="text1"/>
              <w:bottom w:val="single" w:sz="4" w:space="0" w:color="auto"/>
              <w:right w:val="single" w:sz="8" w:space="0" w:color="000000" w:themeColor="text1"/>
            </w:tcBorders>
            <w:tcMar>
              <w:left w:w="108" w:type="dxa"/>
              <w:right w:w="108" w:type="dxa"/>
            </w:tcMar>
            <w:vAlign w:val="center"/>
          </w:tcPr>
          <w:p w14:paraId="6D5EAD9D" w14:textId="3FB49B24" w:rsidR="003C04CC" w:rsidRPr="002A7E41" w:rsidRDefault="003C04CC" w:rsidP="00E56BDD">
            <w:pPr>
              <w:spacing w:after="0" w:line="257" w:lineRule="auto"/>
              <w:rPr>
                <w:rFonts w:eastAsia="Calibri" w:cstheme="minorHAnsi"/>
                <w:b/>
                <w:bCs/>
                <w:sz w:val="20"/>
                <w:szCs w:val="20"/>
              </w:rPr>
            </w:pPr>
          </w:p>
        </w:tc>
        <w:tc>
          <w:tcPr>
            <w:tcW w:w="6474" w:type="dxa"/>
            <w:gridSpan w:val="3"/>
            <w:tcBorders>
              <w:top w:val="single" w:sz="8" w:space="0" w:color="000000" w:themeColor="text1"/>
              <w:left w:val="single" w:sz="8" w:space="0" w:color="000000" w:themeColor="text1"/>
              <w:bottom w:val="single" w:sz="4" w:space="0" w:color="auto"/>
              <w:right w:val="single" w:sz="8" w:space="0" w:color="000000" w:themeColor="text1"/>
            </w:tcBorders>
            <w:tcMar>
              <w:left w:w="108" w:type="dxa"/>
              <w:right w:w="108" w:type="dxa"/>
            </w:tcMar>
            <w:vAlign w:val="center"/>
          </w:tcPr>
          <w:p w14:paraId="2AEC3364" w14:textId="77777777" w:rsidR="00BF228A" w:rsidRPr="00BF228A" w:rsidRDefault="00BF228A" w:rsidP="00BF228A">
            <w:pPr>
              <w:spacing w:before="100" w:beforeAutospacing="1" w:after="100" w:afterAutospacing="1" w:line="240" w:lineRule="auto"/>
              <w:jc w:val="left"/>
              <w:rPr>
                <w:rFonts w:eastAsia="Times New Roman" w:cstheme="minorHAnsi"/>
                <w:sz w:val="20"/>
                <w:szCs w:val="20"/>
                <w:lang w:eastAsia="en-GB"/>
              </w:rPr>
            </w:pPr>
            <w:r w:rsidRPr="00BF228A">
              <w:rPr>
                <w:rFonts w:eastAsia="Times New Roman" w:cstheme="minorHAnsi"/>
                <w:b/>
                <w:bCs/>
                <w:sz w:val="20"/>
                <w:szCs w:val="20"/>
                <w:lang w:eastAsia="en-GB"/>
              </w:rPr>
              <w:t>Please describe your ordering, delivery, returns and warranty arrangements for this contract.</w:t>
            </w:r>
          </w:p>
          <w:p w14:paraId="427C4C9C" w14:textId="77777777" w:rsidR="00BF228A" w:rsidRPr="00BF228A" w:rsidRDefault="00BF228A" w:rsidP="00BF228A">
            <w:pPr>
              <w:spacing w:before="100" w:beforeAutospacing="1" w:after="100" w:afterAutospacing="1" w:line="240" w:lineRule="auto"/>
              <w:jc w:val="left"/>
              <w:rPr>
                <w:rFonts w:eastAsia="Times New Roman" w:cstheme="minorHAnsi"/>
                <w:sz w:val="20"/>
                <w:szCs w:val="20"/>
                <w:lang w:eastAsia="en-GB"/>
              </w:rPr>
            </w:pPr>
            <w:r w:rsidRPr="00BF228A">
              <w:rPr>
                <w:rFonts w:eastAsia="Times New Roman" w:cstheme="minorHAnsi"/>
                <w:sz w:val="20"/>
                <w:szCs w:val="20"/>
                <w:lang w:eastAsia="en-GB"/>
              </w:rPr>
              <w:t>Your response should include:</w:t>
            </w:r>
          </w:p>
          <w:p w14:paraId="3593C8E0" w14:textId="77777777" w:rsidR="00BF228A" w:rsidRPr="00BF228A" w:rsidRDefault="00BF228A" w:rsidP="00BF228A">
            <w:pPr>
              <w:numPr>
                <w:ilvl w:val="0"/>
                <w:numId w:val="29"/>
              </w:numPr>
              <w:spacing w:before="100" w:beforeAutospacing="1" w:after="100" w:afterAutospacing="1" w:line="240" w:lineRule="auto"/>
              <w:jc w:val="left"/>
              <w:rPr>
                <w:rFonts w:eastAsia="Times New Roman" w:cstheme="minorHAnsi"/>
                <w:sz w:val="20"/>
                <w:szCs w:val="20"/>
                <w:lang w:eastAsia="en-GB"/>
              </w:rPr>
            </w:pPr>
            <w:r w:rsidRPr="00BF228A">
              <w:rPr>
                <w:rFonts w:eastAsia="Times New Roman" w:cstheme="minorHAnsi"/>
                <w:sz w:val="20"/>
                <w:szCs w:val="20"/>
                <w:lang w:eastAsia="en-GB"/>
              </w:rPr>
              <w:t xml:space="preserve">Available ordering methods and any online ordering facilities. </w:t>
            </w:r>
          </w:p>
          <w:p w14:paraId="018E08CE" w14:textId="77777777" w:rsidR="00BF228A" w:rsidRPr="00BF228A" w:rsidRDefault="00BF228A" w:rsidP="00BF228A">
            <w:pPr>
              <w:numPr>
                <w:ilvl w:val="0"/>
                <w:numId w:val="29"/>
              </w:numPr>
              <w:spacing w:before="100" w:beforeAutospacing="1" w:after="100" w:afterAutospacing="1" w:line="240" w:lineRule="auto"/>
              <w:jc w:val="left"/>
              <w:rPr>
                <w:rFonts w:eastAsia="Times New Roman" w:cstheme="minorHAnsi"/>
                <w:sz w:val="20"/>
                <w:szCs w:val="20"/>
                <w:lang w:eastAsia="en-GB"/>
              </w:rPr>
            </w:pPr>
            <w:r w:rsidRPr="00BF228A">
              <w:rPr>
                <w:rFonts w:eastAsia="Times New Roman" w:cstheme="minorHAnsi"/>
                <w:sz w:val="20"/>
                <w:szCs w:val="20"/>
                <w:lang w:eastAsia="en-GB"/>
              </w:rPr>
              <w:t xml:space="preserve">Delivery arrangements, lead times, stock availability, and your delivery charging policy, including any minimum order value for free delivery and any charges for expedited deliveries. </w:t>
            </w:r>
          </w:p>
          <w:p w14:paraId="40F468A1" w14:textId="77777777" w:rsidR="00BF228A" w:rsidRPr="00BF228A" w:rsidRDefault="00BF228A" w:rsidP="00BF228A">
            <w:pPr>
              <w:numPr>
                <w:ilvl w:val="0"/>
                <w:numId w:val="29"/>
              </w:numPr>
              <w:spacing w:before="100" w:beforeAutospacing="1" w:after="100" w:afterAutospacing="1" w:line="240" w:lineRule="auto"/>
              <w:jc w:val="left"/>
              <w:rPr>
                <w:rFonts w:eastAsia="Times New Roman" w:cstheme="minorHAnsi"/>
                <w:sz w:val="20"/>
                <w:szCs w:val="20"/>
                <w:lang w:eastAsia="en-GB"/>
              </w:rPr>
            </w:pPr>
            <w:r w:rsidRPr="00BF228A">
              <w:rPr>
                <w:rFonts w:eastAsia="Times New Roman" w:cstheme="minorHAnsi"/>
                <w:sz w:val="20"/>
                <w:szCs w:val="20"/>
                <w:lang w:eastAsia="en-GB"/>
              </w:rPr>
              <w:t xml:space="preserve">How you will manage urgent orders and minimise delivery disruptions. </w:t>
            </w:r>
          </w:p>
          <w:p w14:paraId="7B5EBF41" w14:textId="77777777" w:rsidR="00BF228A" w:rsidRPr="00BF228A" w:rsidRDefault="00BF228A" w:rsidP="00BF228A">
            <w:pPr>
              <w:numPr>
                <w:ilvl w:val="0"/>
                <w:numId w:val="29"/>
              </w:numPr>
              <w:spacing w:before="100" w:beforeAutospacing="1" w:after="100" w:afterAutospacing="1" w:line="240" w:lineRule="auto"/>
              <w:jc w:val="left"/>
              <w:rPr>
                <w:rFonts w:eastAsia="Times New Roman" w:cstheme="minorHAnsi"/>
                <w:sz w:val="20"/>
                <w:szCs w:val="20"/>
                <w:lang w:eastAsia="en-GB"/>
              </w:rPr>
            </w:pPr>
            <w:r w:rsidRPr="00BF228A">
              <w:rPr>
                <w:rFonts w:eastAsia="Times New Roman" w:cstheme="minorHAnsi"/>
                <w:sz w:val="20"/>
                <w:szCs w:val="20"/>
                <w:lang w:eastAsia="en-GB"/>
              </w:rPr>
              <w:t xml:space="preserve">Your approach to back orders, unavailable products and alternative product recommendations. </w:t>
            </w:r>
          </w:p>
          <w:p w14:paraId="7CDC12F3" w14:textId="77777777" w:rsidR="00BF228A" w:rsidRPr="00BF228A" w:rsidRDefault="00BF228A" w:rsidP="00BF228A">
            <w:pPr>
              <w:numPr>
                <w:ilvl w:val="0"/>
                <w:numId w:val="29"/>
              </w:numPr>
              <w:spacing w:before="100" w:beforeAutospacing="1" w:after="100" w:afterAutospacing="1" w:line="240" w:lineRule="auto"/>
              <w:jc w:val="left"/>
              <w:rPr>
                <w:rFonts w:eastAsia="Times New Roman" w:cstheme="minorHAnsi"/>
                <w:sz w:val="20"/>
                <w:szCs w:val="20"/>
                <w:lang w:eastAsia="en-GB"/>
              </w:rPr>
            </w:pPr>
            <w:r w:rsidRPr="00BF228A">
              <w:rPr>
                <w:rFonts w:eastAsia="Times New Roman" w:cstheme="minorHAnsi"/>
                <w:sz w:val="20"/>
                <w:szCs w:val="20"/>
                <w:lang w:eastAsia="en-GB"/>
              </w:rPr>
              <w:t xml:space="preserve">Returns, replacement and warranty support arrangements. </w:t>
            </w:r>
          </w:p>
          <w:p w14:paraId="21CFFBAD" w14:textId="77777777" w:rsidR="00BF228A" w:rsidRPr="00BF228A" w:rsidRDefault="00BF228A" w:rsidP="00BF228A">
            <w:pPr>
              <w:numPr>
                <w:ilvl w:val="0"/>
                <w:numId w:val="29"/>
              </w:numPr>
              <w:spacing w:before="100" w:beforeAutospacing="1" w:after="100" w:afterAutospacing="1" w:line="240" w:lineRule="auto"/>
              <w:jc w:val="left"/>
              <w:rPr>
                <w:rFonts w:eastAsia="Times New Roman" w:cstheme="minorHAnsi"/>
                <w:sz w:val="20"/>
                <w:szCs w:val="20"/>
                <w:lang w:eastAsia="en-GB"/>
              </w:rPr>
            </w:pPr>
            <w:r w:rsidRPr="00BF228A">
              <w:rPr>
                <w:rFonts w:eastAsia="Times New Roman" w:cstheme="minorHAnsi"/>
                <w:sz w:val="20"/>
                <w:szCs w:val="20"/>
                <w:lang w:eastAsia="en-GB"/>
              </w:rPr>
              <w:t xml:space="preserve">How issues and complaints will be managed and escalated where necessary. </w:t>
            </w:r>
          </w:p>
          <w:p w14:paraId="42F6D804" w14:textId="77777777" w:rsidR="00BF228A" w:rsidRPr="00BF228A" w:rsidRDefault="00BF228A" w:rsidP="00BF228A">
            <w:pPr>
              <w:numPr>
                <w:ilvl w:val="0"/>
                <w:numId w:val="29"/>
              </w:numPr>
              <w:spacing w:before="100" w:beforeAutospacing="1" w:after="100" w:afterAutospacing="1" w:line="240" w:lineRule="auto"/>
              <w:jc w:val="left"/>
              <w:rPr>
                <w:rFonts w:eastAsia="Times New Roman" w:cstheme="minorHAnsi"/>
                <w:sz w:val="20"/>
                <w:szCs w:val="20"/>
                <w:lang w:eastAsia="en-GB"/>
              </w:rPr>
            </w:pPr>
            <w:r w:rsidRPr="00BF228A">
              <w:rPr>
                <w:rFonts w:eastAsia="Times New Roman" w:cstheme="minorHAnsi"/>
                <w:sz w:val="20"/>
                <w:szCs w:val="20"/>
                <w:lang w:eastAsia="en-GB"/>
              </w:rPr>
              <w:t>Any measures to improve efficiency, such as delivery consolidation.</w:t>
            </w:r>
          </w:p>
          <w:p w14:paraId="16C7C2F8" w14:textId="69ED74F3" w:rsidR="003C04CC" w:rsidRPr="002A7E41" w:rsidRDefault="00EC3B92" w:rsidP="00DB40D9">
            <w:pPr>
              <w:spacing w:before="100" w:beforeAutospacing="1" w:after="100" w:afterAutospacing="1" w:line="240" w:lineRule="auto"/>
              <w:rPr>
                <w:rFonts w:eastAsia="Calibri" w:cstheme="minorHAnsi"/>
                <w:color w:val="FF0000"/>
                <w:sz w:val="20"/>
                <w:szCs w:val="20"/>
              </w:rPr>
            </w:pPr>
            <w:r w:rsidRPr="002A7E41">
              <w:rPr>
                <w:rFonts w:eastAsia="Calibri" w:cstheme="minorHAnsi"/>
                <w:color w:val="FF0000"/>
                <w:sz w:val="20"/>
                <w:szCs w:val="20"/>
              </w:rPr>
              <w:t>Where applicable, bidders must specify any Lot-specific differences in delivery lead times, stock availability, returns processes, and warranty arrangements.</w:t>
            </w:r>
          </w:p>
          <w:p w14:paraId="3FBC3D1A" w14:textId="3BA6ECFE" w:rsidR="00EC3B92" w:rsidRPr="002A7E41" w:rsidRDefault="00EC3B92" w:rsidP="00DB40D9">
            <w:pPr>
              <w:spacing w:before="100" w:beforeAutospacing="1" w:after="100" w:afterAutospacing="1" w:line="240" w:lineRule="auto"/>
              <w:rPr>
                <w:rFonts w:eastAsia="Calibri" w:cstheme="minorHAnsi"/>
                <w:sz w:val="20"/>
                <w:szCs w:val="20"/>
              </w:rPr>
            </w:pPr>
          </w:p>
        </w:tc>
        <w:tc>
          <w:tcPr>
            <w:tcW w:w="1134" w:type="dxa"/>
            <w:tcBorders>
              <w:left w:val="nil"/>
              <w:bottom w:val="single" w:sz="0" w:space="0" w:color="000000" w:themeColor="text1"/>
              <w:right w:val="single" w:sz="0" w:space="0" w:color="000000" w:themeColor="text1"/>
            </w:tcBorders>
            <w:vAlign w:val="center"/>
          </w:tcPr>
          <w:p w14:paraId="587A1208" w14:textId="3CBAA86C" w:rsidR="003C04CC" w:rsidRPr="002A7E41" w:rsidRDefault="00AC3E8D" w:rsidP="00AC3E8D">
            <w:pPr>
              <w:jc w:val="center"/>
              <w:rPr>
                <w:rFonts w:cstheme="minorHAnsi"/>
                <w:b/>
                <w:bCs/>
                <w:sz w:val="20"/>
                <w:szCs w:val="20"/>
              </w:rPr>
            </w:pPr>
            <w:r w:rsidRPr="002A7E41">
              <w:rPr>
                <w:rFonts w:cstheme="minorHAnsi"/>
                <w:b/>
                <w:bCs/>
                <w:sz w:val="20"/>
                <w:szCs w:val="20"/>
              </w:rPr>
              <w:t>15%</w:t>
            </w:r>
          </w:p>
        </w:tc>
        <w:tc>
          <w:tcPr>
            <w:tcW w:w="1127"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0E5A4C40" w14:textId="05904EED" w:rsidR="003C04CC" w:rsidRPr="002A7E41" w:rsidRDefault="003C04CC" w:rsidP="1660CAE6">
            <w:pPr>
              <w:spacing w:after="0" w:line="257" w:lineRule="auto"/>
              <w:jc w:val="center"/>
              <w:rPr>
                <w:rFonts w:eastAsia="Calibri" w:cstheme="minorHAnsi"/>
                <w:b/>
                <w:bCs/>
                <w:color w:val="FF0000"/>
                <w:sz w:val="20"/>
                <w:szCs w:val="20"/>
              </w:rPr>
            </w:pPr>
            <w:r w:rsidRPr="002A7E41">
              <w:rPr>
                <w:rFonts w:eastAsia="Calibri" w:cstheme="minorHAnsi"/>
                <w:b/>
                <w:bCs/>
                <w:color w:val="FF0000"/>
                <w:sz w:val="20"/>
                <w:szCs w:val="20"/>
              </w:rPr>
              <w:t>100%</w:t>
            </w:r>
          </w:p>
        </w:tc>
      </w:tr>
      <w:tr w:rsidR="00AC3E8D" w:rsidRPr="002A7E41" w14:paraId="6724988A" w14:textId="77777777" w:rsidTr="002A7E41">
        <w:trPr>
          <w:gridBefore w:val="1"/>
          <w:wBefore w:w="10" w:type="dxa"/>
          <w:trHeight w:val="60"/>
        </w:trPr>
        <w:tc>
          <w:tcPr>
            <w:tcW w:w="746"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719146" w14:textId="4CFCA20D" w:rsidR="00AC3E8D" w:rsidRPr="002A7E41" w:rsidRDefault="00AC3E8D" w:rsidP="000F491E">
            <w:pPr>
              <w:spacing w:after="0" w:line="257" w:lineRule="auto"/>
              <w:rPr>
                <w:rFonts w:eastAsia="Calibri" w:cstheme="minorHAnsi"/>
                <w:b/>
                <w:bCs/>
                <w:sz w:val="20"/>
                <w:szCs w:val="20"/>
              </w:rPr>
            </w:pPr>
            <w:r w:rsidRPr="002A7E41">
              <w:rPr>
                <w:rFonts w:eastAsia="Calibri" w:cstheme="minorHAnsi"/>
                <w:b/>
                <w:bCs/>
                <w:sz w:val="20"/>
                <w:szCs w:val="20"/>
              </w:rPr>
              <w:t>Q</w:t>
            </w:r>
            <w:r w:rsidR="007A066B" w:rsidRPr="002A7E41">
              <w:rPr>
                <w:rFonts w:eastAsia="Calibri" w:cstheme="minorHAnsi"/>
                <w:b/>
                <w:bCs/>
                <w:sz w:val="20"/>
                <w:szCs w:val="20"/>
              </w:rPr>
              <w:t>4</w:t>
            </w:r>
          </w:p>
        </w:tc>
        <w:tc>
          <w:tcPr>
            <w:tcW w:w="647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DF041E" w14:textId="3411D80D" w:rsidR="00AC3E8D" w:rsidRPr="002A7E41" w:rsidRDefault="00DB40D9" w:rsidP="00463A94">
            <w:pPr>
              <w:spacing w:before="100" w:beforeAutospacing="1" w:after="100" w:afterAutospacing="1" w:line="240" w:lineRule="auto"/>
              <w:rPr>
                <w:rFonts w:eastAsia="Times New Roman" w:cstheme="minorHAnsi"/>
                <w:b/>
                <w:bCs/>
                <w:sz w:val="20"/>
                <w:szCs w:val="20"/>
                <w:lang w:eastAsia="en-GB"/>
              </w:rPr>
            </w:pPr>
            <w:r w:rsidRPr="002A7E41">
              <w:rPr>
                <w:rFonts w:cstheme="minorHAnsi"/>
                <w:b/>
                <w:sz w:val="20"/>
                <w:szCs w:val="20"/>
              </w:rPr>
              <w:t>Commercial Management and Value for Money</w:t>
            </w:r>
          </w:p>
        </w:tc>
        <w:tc>
          <w:tcPr>
            <w:tcW w:w="1134" w:type="dxa"/>
            <w:tcBorders>
              <w:left w:val="single" w:sz="4" w:space="0" w:color="auto"/>
              <w:bottom w:val="single" w:sz="4" w:space="0" w:color="auto"/>
              <w:right w:val="single" w:sz="0" w:space="0" w:color="000000" w:themeColor="text1"/>
            </w:tcBorders>
            <w:vAlign w:val="center"/>
          </w:tcPr>
          <w:p w14:paraId="65ADDCFF" w14:textId="7D2C62FF" w:rsidR="00AC3E8D" w:rsidRPr="002A7E41" w:rsidRDefault="00AC3E8D" w:rsidP="00AC3E8D">
            <w:pPr>
              <w:spacing w:after="0" w:line="257" w:lineRule="auto"/>
              <w:rPr>
                <w:rFonts w:eastAsia="Calibri" w:cstheme="minorHAnsi"/>
                <w:b/>
                <w:bCs/>
                <w:sz w:val="20"/>
                <w:szCs w:val="20"/>
              </w:rPr>
            </w:pPr>
          </w:p>
        </w:tc>
        <w:tc>
          <w:tcPr>
            <w:tcW w:w="1127"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5A040444" w14:textId="77777777" w:rsidR="00AC3E8D" w:rsidRPr="002A7E41" w:rsidRDefault="00AC3E8D" w:rsidP="00AC3E8D">
            <w:pPr>
              <w:spacing w:after="0" w:line="257" w:lineRule="auto"/>
              <w:rPr>
                <w:rFonts w:eastAsia="Calibri" w:cstheme="minorHAnsi"/>
                <w:b/>
                <w:bCs/>
                <w:sz w:val="20"/>
                <w:szCs w:val="20"/>
              </w:rPr>
            </w:pPr>
            <w:r w:rsidRPr="002A7E41">
              <w:rPr>
                <w:rFonts w:eastAsia="Calibri" w:cstheme="minorHAnsi"/>
                <w:b/>
                <w:bCs/>
                <w:sz w:val="20"/>
                <w:szCs w:val="20"/>
              </w:rPr>
              <w:t xml:space="preserve"> </w:t>
            </w:r>
          </w:p>
        </w:tc>
      </w:tr>
      <w:tr w:rsidR="00AC3E8D" w:rsidRPr="002A7E41" w14:paraId="7AFCC5D9" w14:textId="77777777" w:rsidTr="002A7E41">
        <w:trPr>
          <w:gridBefore w:val="1"/>
          <w:wBefore w:w="10" w:type="dxa"/>
          <w:trHeight w:val="75"/>
        </w:trPr>
        <w:tc>
          <w:tcPr>
            <w:tcW w:w="74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FCDF4C" w14:textId="77777777" w:rsidR="00AC3E8D" w:rsidRPr="002A7E41" w:rsidRDefault="00AC3E8D" w:rsidP="000F491E">
            <w:pPr>
              <w:spacing w:after="0" w:line="257" w:lineRule="auto"/>
              <w:rPr>
                <w:rFonts w:eastAsia="Calibri" w:cstheme="minorHAnsi"/>
                <w:b/>
                <w:bCs/>
                <w:sz w:val="20"/>
                <w:szCs w:val="20"/>
              </w:rPr>
            </w:pPr>
          </w:p>
        </w:tc>
        <w:tc>
          <w:tcPr>
            <w:tcW w:w="647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9277FC" w14:textId="77777777" w:rsidR="00DB40D9" w:rsidRPr="002A7E41" w:rsidRDefault="00DB40D9" w:rsidP="00DB40D9">
            <w:pPr>
              <w:spacing w:before="100" w:beforeAutospacing="1" w:after="100" w:afterAutospacing="1" w:line="240" w:lineRule="auto"/>
              <w:rPr>
                <w:rFonts w:eastAsia="Times New Roman" w:cstheme="minorHAnsi"/>
                <w:sz w:val="20"/>
                <w:szCs w:val="20"/>
                <w:lang w:val="en-US" w:eastAsia="en-GB"/>
              </w:rPr>
            </w:pPr>
            <w:r w:rsidRPr="002A7E41">
              <w:rPr>
                <w:rFonts w:eastAsia="Times New Roman" w:cstheme="minorHAnsi"/>
                <w:sz w:val="20"/>
                <w:szCs w:val="20"/>
                <w:lang w:val="en-US" w:eastAsia="en-GB"/>
              </w:rPr>
              <w:t>Please describe how you will deliver ongoing value for money throughout the contract.</w:t>
            </w:r>
          </w:p>
          <w:p w14:paraId="0411ECC5" w14:textId="77777777" w:rsidR="00DB40D9" w:rsidRPr="002A7E41" w:rsidRDefault="00DB40D9" w:rsidP="00DB40D9">
            <w:pPr>
              <w:spacing w:before="100" w:beforeAutospacing="1" w:after="100" w:afterAutospacing="1" w:line="240" w:lineRule="auto"/>
              <w:rPr>
                <w:rFonts w:eastAsia="Times New Roman" w:cstheme="minorHAnsi"/>
                <w:sz w:val="20"/>
                <w:szCs w:val="20"/>
                <w:lang w:val="en-US" w:eastAsia="en-GB"/>
              </w:rPr>
            </w:pPr>
            <w:r w:rsidRPr="002A7E41">
              <w:rPr>
                <w:rFonts w:eastAsia="Times New Roman" w:cstheme="minorHAnsi"/>
                <w:sz w:val="20"/>
                <w:szCs w:val="20"/>
                <w:lang w:val="en-US" w:eastAsia="en-GB"/>
              </w:rPr>
              <w:t>Your response should include:</w:t>
            </w:r>
          </w:p>
          <w:p w14:paraId="3EB4FC89" w14:textId="77777777" w:rsidR="00DB40D9" w:rsidRPr="002A7E41" w:rsidRDefault="00DB40D9" w:rsidP="00546FF1">
            <w:pPr>
              <w:numPr>
                <w:ilvl w:val="0"/>
                <w:numId w:val="11"/>
              </w:numPr>
              <w:spacing w:before="100" w:beforeAutospacing="1" w:after="100" w:afterAutospacing="1" w:line="240" w:lineRule="auto"/>
              <w:rPr>
                <w:rFonts w:eastAsia="Times New Roman" w:cstheme="minorHAnsi"/>
                <w:sz w:val="20"/>
                <w:szCs w:val="20"/>
                <w:lang w:val="en-US" w:eastAsia="en-GB"/>
              </w:rPr>
            </w:pPr>
            <w:r w:rsidRPr="002A7E41">
              <w:rPr>
                <w:rFonts w:eastAsia="Times New Roman" w:cstheme="minorHAnsi"/>
                <w:sz w:val="20"/>
                <w:szCs w:val="20"/>
                <w:lang w:val="en-US" w:eastAsia="en-GB"/>
              </w:rPr>
              <w:t>Your approach to maintaining competitive pricing.</w:t>
            </w:r>
          </w:p>
          <w:p w14:paraId="4048EBBC" w14:textId="77777777" w:rsidR="00DB40D9" w:rsidRPr="002A7E41" w:rsidRDefault="00DB40D9" w:rsidP="00546FF1">
            <w:pPr>
              <w:numPr>
                <w:ilvl w:val="0"/>
                <w:numId w:val="11"/>
              </w:numPr>
              <w:spacing w:before="100" w:beforeAutospacing="1" w:after="100" w:afterAutospacing="1" w:line="240" w:lineRule="auto"/>
              <w:rPr>
                <w:rFonts w:eastAsia="Times New Roman" w:cstheme="minorHAnsi"/>
                <w:sz w:val="20"/>
                <w:szCs w:val="20"/>
                <w:lang w:val="en-US" w:eastAsia="en-GB"/>
              </w:rPr>
            </w:pPr>
            <w:r w:rsidRPr="002A7E41">
              <w:rPr>
                <w:rFonts w:eastAsia="Times New Roman" w:cstheme="minorHAnsi"/>
                <w:sz w:val="20"/>
                <w:szCs w:val="20"/>
                <w:lang w:val="en-US" w:eastAsia="en-GB"/>
              </w:rPr>
              <w:t>How you benchmark and review prices.</w:t>
            </w:r>
          </w:p>
          <w:p w14:paraId="48886E94" w14:textId="77777777" w:rsidR="00DB40D9" w:rsidRPr="002A7E41" w:rsidRDefault="00DB40D9" w:rsidP="00546FF1">
            <w:pPr>
              <w:numPr>
                <w:ilvl w:val="0"/>
                <w:numId w:val="11"/>
              </w:numPr>
              <w:spacing w:before="100" w:beforeAutospacing="1" w:after="100" w:afterAutospacing="1" w:line="240" w:lineRule="auto"/>
              <w:rPr>
                <w:rFonts w:eastAsia="Times New Roman" w:cstheme="minorHAnsi"/>
                <w:sz w:val="20"/>
                <w:szCs w:val="20"/>
                <w:lang w:val="en-US" w:eastAsia="en-GB"/>
              </w:rPr>
            </w:pPr>
            <w:r w:rsidRPr="002A7E41">
              <w:rPr>
                <w:rFonts w:eastAsia="Times New Roman" w:cstheme="minorHAnsi"/>
                <w:sz w:val="20"/>
                <w:szCs w:val="20"/>
                <w:lang w:val="en-US" w:eastAsia="en-GB"/>
              </w:rPr>
              <w:lastRenderedPageBreak/>
              <w:t>How you identify alternative products or solutions that reduce cost without compromising quality or performance.</w:t>
            </w:r>
          </w:p>
          <w:p w14:paraId="3506F118" w14:textId="77777777" w:rsidR="00DB40D9" w:rsidRPr="002A7E41" w:rsidRDefault="00DB40D9" w:rsidP="00546FF1">
            <w:pPr>
              <w:numPr>
                <w:ilvl w:val="0"/>
                <w:numId w:val="11"/>
              </w:numPr>
              <w:spacing w:before="100" w:beforeAutospacing="1" w:after="100" w:afterAutospacing="1" w:line="240" w:lineRule="auto"/>
              <w:rPr>
                <w:rFonts w:eastAsia="Times New Roman" w:cstheme="minorHAnsi"/>
                <w:sz w:val="20"/>
                <w:szCs w:val="20"/>
                <w:lang w:val="en-US" w:eastAsia="en-GB"/>
              </w:rPr>
            </w:pPr>
            <w:r w:rsidRPr="002A7E41">
              <w:rPr>
                <w:rFonts w:eastAsia="Times New Roman" w:cstheme="minorHAnsi"/>
                <w:sz w:val="20"/>
                <w:szCs w:val="20"/>
                <w:lang w:val="en-US" w:eastAsia="en-GB"/>
              </w:rPr>
              <w:t xml:space="preserve">How you manage manufacturer price increases and </w:t>
            </w:r>
            <w:proofErr w:type="spellStart"/>
            <w:r w:rsidRPr="002A7E41">
              <w:rPr>
                <w:rFonts w:eastAsia="Times New Roman" w:cstheme="minorHAnsi"/>
                <w:sz w:val="20"/>
                <w:szCs w:val="20"/>
                <w:lang w:val="en-US" w:eastAsia="en-GB"/>
              </w:rPr>
              <w:t>minimise</w:t>
            </w:r>
            <w:proofErr w:type="spellEnd"/>
            <w:r w:rsidRPr="002A7E41">
              <w:rPr>
                <w:rFonts w:eastAsia="Times New Roman" w:cstheme="minorHAnsi"/>
                <w:sz w:val="20"/>
                <w:szCs w:val="20"/>
                <w:lang w:val="en-US" w:eastAsia="en-GB"/>
              </w:rPr>
              <w:t xml:space="preserve"> their impact on the College.</w:t>
            </w:r>
          </w:p>
          <w:p w14:paraId="665BEA93" w14:textId="77777777" w:rsidR="00DB40D9" w:rsidRPr="002A7E41" w:rsidRDefault="00DB40D9" w:rsidP="00546FF1">
            <w:pPr>
              <w:numPr>
                <w:ilvl w:val="0"/>
                <w:numId w:val="11"/>
              </w:numPr>
              <w:spacing w:before="100" w:beforeAutospacing="1" w:after="100" w:afterAutospacing="1" w:line="240" w:lineRule="auto"/>
              <w:rPr>
                <w:rFonts w:eastAsia="Times New Roman" w:cstheme="minorHAnsi"/>
                <w:sz w:val="20"/>
                <w:szCs w:val="20"/>
                <w:lang w:val="en-US" w:eastAsia="en-GB"/>
              </w:rPr>
            </w:pPr>
            <w:r w:rsidRPr="002A7E41">
              <w:rPr>
                <w:rFonts w:eastAsia="Times New Roman" w:cstheme="minorHAnsi"/>
                <w:sz w:val="20"/>
                <w:szCs w:val="20"/>
                <w:lang w:val="en-US" w:eastAsia="en-GB"/>
              </w:rPr>
              <w:t>Your approach to off-schedule items and pricing transparency.</w:t>
            </w:r>
          </w:p>
          <w:p w14:paraId="6F4306D4" w14:textId="77777777" w:rsidR="00DB40D9" w:rsidRPr="002A7E41" w:rsidRDefault="00DB40D9" w:rsidP="00546FF1">
            <w:pPr>
              <w:numPr>
                <w:ilvl w:val="0"/>
                <w:numId w:val="11"/>
              </w:numPr>
              <w:spacing w:before="100" w:beforeAutospacing="1" w:after="100" w:afterAutospacing="1" w:line="240" w:lineRule="auto"/>
              <w:rPr>
                <w:rFonts w:eastAsia="Times New Roman" w:cstheme="minorHAnsi"/>
                <w:sz w:val="20"/>
                <w:szCs w:val="20"/>
                <w:lang w:val="en-US" w:eastAsia="en-GB"/>
              </w:rPr>
            </w:pPr>
            <w:r w:rsidRPr="002A7E41">
              <w:rPr>
                <w:rFonts w:eastAsia="Times New Roman" w:cstheme="minorHAnsi"/>
                <w:sz w:val="20"/>
                <w:szCs w:val="20"/>
                <w:lang w:val="en-US" w:eastAsia="en-GB"/>
              </w:rPr>
              <w:t>Examples of how you have delivered savings or added value for similar customers.</w:t>
            </w:r>
          </w:p>
          <w:p w14:paraId="0C6811DC" w14:textId="13ECB487" w:rsidR="00EC3B92" w:rsidRPr="002A7E41" w:rsidRDefault="00EC3B92" w:rsidP="002A7E41">
            <w:pPr>
              <w:spacing w:before="100" w:beforeAutospacing="1" w:after="100" w:afterAutospacing="1" w:line="240" w:lineRule="auto"/>
              <w:rPr>
                <w:rFonts w:eastAsia="Times New Roman" w:cstheme="minorHAnsi"/>
                <w:color w:val="FF0000"/>
                <w:sz w:val="20"/>
                <w:szCs w:val="20"/>
                <w:lang w:val="en-US" w:eastAsia="en-GB"/>
              </w:rPr>
            </w:pPr>
            <w:r w:rsidRPr="002A7E41">
              <w:rPr>
                <w:rFonts w:eastAsia="Times New Roman" w:cstheme="minorHAnsi"/>
                <w:color w:val="FF0000"/>
                <w:sz w:val="20"/>
                <w:szCs w:val="20"/>
                <w:lang w:eastAsia="en-GB"/>
              </w:rPr>
              <w:t>Responses must distinguish between Lots where pricing structures, manufacturer arrangements or market benchmarks differ.</w:t>
            </w:r>
          </w:p>
          <w:p w14:paraId="25C202AE" w14:textId="77777777" w:rsidR="00AC3E8D" w:rsidRPr="002A7E41" w:rsidRDefault="00AC3E8D" w:rsidP="000F491E">
            <w:pPr>
              <w:spacing w:after="0" w:line="257" w:lineRule="auto"/>
              <w:rPr>
                <w:rFonts w:eastAsia="Calibr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EED8F3A" w14:textId="6829A6EC" w:rsidR="00AC3E8D" w:rsidRPr="002A7E41" w:rsidRDefault="00FC3960" w:rsidP="00FC3960">
            <w:pPr>
              <w:jc w:val="center"/>
              <w:rPr>
                <w:rFonts w:cstheme="minorHAnsi"/>
                <w:b/>
                <w:bCs/>
                <w:sz w:val="20"/>
                <w:szCs w:val="20"/>
              </w:rPr>
            </w:pPr>
            <w:r w:rsidRPr="002A7E41">
              <w:rPr>
                <w:rFonts w:cstheme="minorHAnsi"/>
                <w:b/>
                <w:bCs/>
                <w:sz w:val="20"/>
                <w:szCs w:val="20"/>
              </w:rPr>
              <w:lastRenderedPageBreak/>
              <w:t>15%</w:t>
            </w:r>
          </w:p>
        </w:tc>
        <w:tc>
          <w:tcPr>
            <w:tcW w:w="1127" w:type="dxa"/>
            <w:tcBorders>
              <w:top w:val="single" w:sz="8" w:space="0" w:color="000000" w:themeColor="text1"/>
              <w:left w:val="single" w:sz="4" w:space="0" w:color="auto"/>
              <w:bottom w:val="single" w:sz="8" w:space="0" w:color="000000" w:themeColor="text1"/>
              <w:right w:val="single" w:sz="8" w:space="0" w:color="000000" w:themeColor="text1"/>
            </w:tcBorders>
            <w:tcMar>
              <w:left w:w="108" w:type="dxa"/>
              <w:right w:w="108" w:type="dxa"/>
            </w:tcMar>
            <w:vAlign w:val="center"/>
          </w:tcPr>
          <w:p w14:paraId="1A9C5886" w14:textId="7DEBE612" w:rsidR="00AC3E8D" w:rsidRPr="002A7E41" w:rsidRDefault="00FC3960" w:rsidP="00AC3E8D">
            <w:pPr>
              <w:spacing w:after="0" w:line="257" w:lineRule="auto"/>
              <w:rPr>
                <w:rFonts w:eastAsia="Calibri" w:cstheme="minorHAnsi"/>
                <w:b/>
                <w:bCs/>
                <w:sz w:val="20"/>
                <w:szCs w:val="20"/>
              </w:rPr>
            </w:pPr>
            <w:r w:rsidRPr="002A7E41">
              <w:rPr>
                <w:rFonts w:eastAsia="Calibri" w:cstheme="minorHAnsi"/>
                <w:b/>
                <w:bCs/>
                <w:color w:val="FF0000"/>
                <w:sz w:val="20"/>
                <w:szCs w:val="20"/>
              </w:rPr>
              <w:t>100%</w:t>
            </w:r>
          </w:p>
        </w:tc>
      </w:tr>
      <w:tr w:rsidR="00FC3960" w:rsidRPr="002A7E41" w14:paraId="5F8007DC" w14:textId="77777777" w:rsidTr="002A7E41">
        <w:trPr>
          <w:trHeight w:val="75"/>
        </w:trPr>
        <w:tc>
          <w:tcPr>
            <w:tcW w:w="756" w:type="dxa"/>
            <w:gridSpan w:val="2"/>
            <w:vMerge w:val="restart"/>
            <w:tcBorders>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5C4E70" w14:textId="0B163AC7" w:rsidR="00FC3960" w:rsidRPr="002A7E41" w:rsidRDefault="00FC3960" w:rsidP="000F491E">
            <w:pPr>
              <w:spacing w:after="0" w:line="257" w:lineRule="auto"/>
              <w:rPr>
                <w:rFonts w:eastAsia="Calibri" w:cstheme="minorHAnsi"/>
                <w:b/>
                <w:bCs/>
                <w:sz w:val="20"/>
                <w:szCs w:val="20"/>
              </w:rPr>
            </w:pPr>
            <w:r w:rsidRPr="002A7E41">
              <w:rPr>
                <w:rFonts w:eastAsia="Calibri" w:cstheme="minorHAnsi"/>
                <w:b/>
                <w:bCs/>
                <w:sz w:val="20"/>
                <w:szCs w:val="20"/>
              </w:rPr>
              <w:t>Q5</w:t>
            </w:r>
          </w:p>
        </w:tc>
        <w:tc>
          <w:tcPr>
            <w:tcW w:w="647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3A19A5" w14:textId="08D66113" w:rsidR="00FC3960" w:rsidRPr="002A7E41" w:rsidRDefault="00DB40D9" w:rsidP="000F491E">
            <w:pPr>
              <w:spacing w:after="0" w:line="257" w:lineRule="auto"/>
              <w:rPr>
                <w:rFonts w:eastAsia="Calibri" w:cstheme="minorHAnsi"/>
                <w:b/>
                <w:bCs/>
                <w:sz w:val="20"/>
                <w:szCs w:val="20"/>
              </w:rPr>
            </w:pPr>
            <w:r w:rsidRPr="002A7E41">
              <w:rPr>
                <w:rFonts w:cstheme="minorHAnsi"/>
                <w:b/>
                <w:sz w:val="20"/>
                <w:szCs w:val="20"/>
              </w:rPr>
              <w:t>Sustainability and Social Value</w:t>
            </w:r>
          </w:p>
        </w:tc>
        <w:tc>
          <w:tcPr>
            <w:tcW w:w="1134" w:type="dxa"/>
            <w:tcBorders>
              <w:top w:val="single" w:sz="4" w:space="0" w:color="auto"/>
              <w:left w:val="nil"/>
              <w:bottom w:val="single" w:sz="0" w:space="0" w:color="000000" w:themeColor="text1"/>
              <w:right w:val="single" w:sz="0" w:space="0" w:color="000000" w:themeColor="text1"/>
            </w:tcBorders>
            <w:vAlign w:val="center"/>
          </w:tcPr>
          <w:p w14:paraId="28F6AB8E" w14:textId="77777777" w:rsidR="00FC3960" w:rsidRPr="002A7E41" w:rsidRDefault="00FC3960" w:rsidP="000F491E">
            <w:pPr>
              <w:spacing w:after="0" w:line="257" w:lineRule="auto"/>
              <w:rPr>
                <w:rFonts w:eastAsia="Calibri" w:cstheme="minorHAnsi"/>
                <w:b/>
                <w:bCs/>
                <w:sz w:val="20"/>
                <w:szCs w:val="20"/>
              </w:rPr>
            </w:pPr>
          </w:p>
        </w:tc>
        <w:tc>
          <w:tcPr>
            <w:tcW w:w="1127"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1A202D8C" w14:textId="77777777" w:rsidR="00FC3960" w:rsidRPr="002A7E41" w:rsidRDefault="00FC3960" w:rsidP="000F491E">
            <w:pPr>
              <w:spacing w:after="0" w:line="257" w:lineRule="auto"/>
              <w:rPr>
                <w:rFonts w:eastAsia="Calibri" w:cstheme="minorHAnsi"/>
                <w:b/>
                <w:bCs/>
                <w:sz w:val="20"/>
                <w:szCs w:val="20"/>
              </w:rPr>
            </w:pPr>
            <w:r w:rsidRPr="002A7E41">
              <w:rPr>
                <w:rFonts w:eastAsia="Calibri" w:cstheme="minorHAnsi"/>
                <w:b/>
                <w:bCs/>
                <w:sz w:val="20"/>
                <w:szCs w:val="20"/>
              </w:rPr>
              <w:t xml:space="preserve"> </w:t>
            </w:r>
          </w:p>
        </w:tc>
      </w:tr>
      <w:tr w:rsidR="00FC3960" w:rsidRPr="002A7E41" w14:paraId="61C540E3" w14:textId="77777777" w:rsidTr="002A7E41">
        <w:trPr>
          <w:trHeight w:val="75"/>
        </w:trPr>
        <w:tc>
          <w:tcPr>
            <w:tcW w:w="756" w:type="dxa"/>
            <w:gridSpan w:val="2"/>
            <w:vMerge/>
            <w:tcBorders>
              <w:left w:val="single" w:sz="8" w:space="0" w:color="000000" w:themeColor="text1"/>
              <w:bottom w:val="single" w:sz="4" w:space="0" w:color="auto"/>
              <w:right w:val="single" w:sz="8" w:space="0" w:color="000000" w:themeColor="text1"/>
            </w:tcBorders>
            <w:tcMar>
              <w:left w:w="108" w:type="dxa"/>
              <w:right w:w="108" w:type="dxa"/>
            </w:tcMar>
            <w:vAlign w:val="center"/>
          </w:tcPr>
          <w:p w14:paraId="4DBA5F02" w14:textId="77777777" w:rsidR="00FC3960" w:rsidRPr="002A7E41" w:rsidRDefault="00FC3960" w:rsidP="000F491E">
            <w:pPr>
              <w:spacing w:after="0" w:line="257" w:lineRule="auto"/>
              <w:rPr>
                <w:rFonts w:eastAsia="Calibri" w:cstheme="minorHAnsi"/>
                <w:b/>
                <w:bCs/>
                <w:sz w:val="20"/>
                <w:szCs w:val="20"/>
              </w:rPr>
            </w:pPr>
          </w:p>
        </w:tc>
        <w:tc>
          <w:tcPr>
            <w:tcW w:w="647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5D2240" w14:textId="77777777" w:rsidR="00DB40D9" w:rsidRPr="002A7E41" w:rsidRDefault="00DB40D9" w:rsidP="00DB40D9">
            <w:p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Please describe the sustainability and social value benefits you will deliver through this framework and how these will be measured and reported throughout the contract.</w:t>
            </w:r>
          </w:p>
          <w:p w14:paraId="6DF7EB88" w14:textId="77777777" w:rsidR="00DB40D9" w:rsidRPr="002A7E41" w:rsidRDefault="00DB40D9" w:rsidP="00DB40D9">
            <w:p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Your response should include:</w:t>
            </w:r>
          </w:p>
          <w:p w14:paraId="5B13AB07" w14:textId="77777777" w:rsidR="00DB40D9" w:rsidRPr="002A7E41" w:rsidRDefault="00DB40D9" w:rsidP="006E7956">
            <w:pPr>
              <w:numPr>
                <w:ilvl w:val="0"/>
                <w:numId w:val="12"/>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Measures to reduce environmental impact, including packaging reduction, recycling initiatives and delivery consolidation.</w:t>
            </w:r>
          </w:p>
          <w:p w14:paraId="1C9517AB" w14:textId="77777777" w:rsidR="00DB40D9" w:rsidRPr="002A7E41" w:rsidRDefault="00DB40D9" w:rsidP="006E7956">
            <w:pPr>
              <w:numPr>
                <w:ilvl w:val="0"/>
                <w:numId w:val="12"/>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Any environmental policies, accreditations or sustainability initiatives relevant to this contract.</w:t>
            </w:r>
          </w:p>
          <w:p w14:paraId="1EB9B2B8" w14:textId="77777777" w:rsidR="00DB40D9" w:rsidRPr="002A7E41" w:rsidRDefault="00DB40D9" w:rsidP="006E7956">
            <w:pPr>
              <w:numPr>
                <w:ilvl w:val="0"/>
                <w:numId w:val="12"/>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Support for the College and its learners, such as technical demonstrations, guest lectures, product training sessions, site visits, work experience opportunities or careers engagement activities.</w:t>
            </w:r>
          </w:p>
          <w:p w14:paraId="550A0E24" w14:textId="77777777" w:rsidR="00DB40D9" w:rsidRPr="002A7E41" w:rsidRDefault="00DB40D9" w:rsidP="006E7956">
            <w:pPr>
              <w:numPr>
                <w:ilvl w:val="0"/>
                <w:numId w:val="12"/>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Support for local employment, apprenticeships or the use of local supply chains where appropriate.</w:t>
            </w:r>
          </w:p>
          <w:p w14:paraId="7DCD57FC" w14:textId="77777777" w:rsidR="00DB40D9" w:rsidRPr="002A7E41" w:rsidRDefault="00DB40D9" w:rsidP="006E7956">
            <w:pPr>
              <w:numPr>
                <w:ilvl w:val="0"/>
                <w:numId w:val="12"/>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The measurable benefits you will deliver and how these will be monitored and reported during the contract.</w:t>
            </w:r>
          </w:p>
          <w:p w14:paraId="49B567BE" w14:textId="77777777" w:rsidR="00DB40D9" w:rsidRPr="002A7E41" w:rsidRDefault="00DB40D9" w:rsidP="00DB40D9">
            <w:p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Examples of measurable benefits may include:</w:t>
            </w:r>
          </w:p>
          <w:p w14:paraId="4F59ADFA" w14:textId="77777777" w:rsidR="00DB40D9" w:rsidRPr="002A7E41" w:rsidRDefault="00DB40D9" w:rsidP="006E7956">
            <w:pPr>
              <w:numPr>
                <w:ilvl w:val="0"/>
                <w:numId w:val="13"/>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Delivery of two technical demonstrations or product training sessions per academic year.</w:t>
            </w:r>
          </w:p>
          <w:p w14:paraId="3E743460" w14:textId="77777777" w:rsidR="00DB40D9" w:rsidRPr="002A7E41" w:rsidRDefault="00DB40D9" w:rsidP="006E7956">
            <w:pPr>
              <w:numPr>
                <w:ilvl w:val="0"/>
                <w:numId w:val="13"/>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Provision of one site visit or supplier facility visit per year for learners.</w:t>
            </w:r>
          </w:p>
          <w:p w14:paraId="0B0A1794" w14:textId="77777777" w:rsidR="00DB40D9" w:rsidRPr="002A7E41" w:rsidRDefault="00DB40D9" w:rsidP="006E7956">
            <w:pPr>
              <w:numPr>
                <w:ilvl w:val="0"/>
                <w:numId w:val="13"/>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Delivery of guest lectures, careers talks or employability workshops.</w:t>
            </w:r>
          </w:p>
          <w:p w14:paraId="1D372DEF" w14:textId="77777777" w:rsidR="00DB40D9" w:rsidRPr="002A7E41" w:rsidRDefault="00DB40D9" w:rsidP="006E7956">
            <w:pPr>
              <w:numPr>
                <w:ilvl w:val="0"/>
                <w:numId w:val="13"/>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Provision of work experience, apprenticeship or industry placement opportunities.</w:t>
            </w:r>
          </w:p>
          <w:p w14:paraId="68E9E0E5" w14:textId="77777777" w:rsidR="00DB40D9" w:rsidRPr="002A7E41" w:rsidRDefault="00DB40D9" w:rsidP="006E7956">
            <w:pPr>
              <w:numPr>
                <w:ilvl w:val="0"/>
                <w:numId w:val="13"/>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Reduction in packaging materials and increased use of recyclable packaging.</w:t>
            </w:r>
          </w:p>
          <w:p w14:paraId="6F659E6F" w14:textId="77777777" w:rsidR="00DB40D9" w:rsidRPr="002A7E41" w:rsidRDefault="00DB40D9" w:rsidP="006E7956">
            <w:pPr>
              <w:numPr>
                <w:ilvl w:val="0"/>
                <w:numId w:val="13"/>
              </w:num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lang w:val="en-US"/>
              </w:rPr>
              <w:t>Quarterly reporting on sustainability and social value commitments delivered under the contract.</w:t>
            </w:r>
          </w:p>
          <w:p w14:paraId="3DC01087" w14:textId="18551460" w:rsidR="00EC3B92" w:rsidRPr="002A7E41" w:rsidRDefault="00EC3B92" w:rsidP="002A7E41">
            <w:pPr>
              <w:spacing w:before="100" w:beforeAutospacing="1" w:after="100" w:afterAutospacing="1" w:line="240" w:lineRule="auto"/>
              <w:jc w:val="left"/>
              <w:rPr>
                <w:rFonts w:eastAsia="Times New Roman" w:cstheme="minorHAnsi"/>
                <w:sz w:val="20"/>
                <w:szCs w:val="20"/>
                <w:lang w:val="en-US"/>
              </w:rPr>
            </w:pPr>
            <w:r w:rsidRPr="002A7E41">
              <w:rPr>
                <w:rFonts w:eastAsia="Times New Roman" w:cstheme="minorHAnsi"/>
                <w:sz w:val="20"/>
                <w:szCs w:val="20"/>
              </w:rPr>
              <w:t>Where multiple Lots are being bid for, bidders should indicate any Lot-specific sustainability or social value commitments and how these will be delivered proportionately</w:t>
            </w:r>
          </w:p>
          <w:p w14:paraId="05263BA7" w14:textId="77777777" w:rsidR="00FC3960" w:rsidRPr="002A7E41" w:rsidRDefault="00FC3960" w:rsidP="006E7956">
            <w:pPr>
              <w:spacing w:before="100" w:beforeAutospacing="1" w:after="100" w:afterAutospacing="1" w:line="240" w:lineRule="auto"/>
              <w:rPr>
                <w:rFonts w:eastAsia="Calibri" w:cstheme="minorHAnsi"/>
                <w:sz w:val="20"/>
                <w:szCs w:val="20"/>
              </w:rPr>
            </w:pPr>
          </w:p>
        </w:tc>
        <w:tc>
          <w:tcPr>
            <w:tcW w:w="1134" w:type="dxa"/>
            <w:tcBorders>
              <w:left w:val="nil"/>
              <w:bottom w:val="single" w:sz="4" w:space="0" w:color="auto"/>
              <w:right w:val="single" w:sz="0" w:space="0" w:color="000000" w:themeColor="text1"/>
            </w:tcBorders>
            <w:vAlign w:val="center"/>
          </w:tcPr>
          <w:p w14:paraId="26CB2300" w14:textId="00640AE9" w:rsidR="00FC3960" w:rsidRPr="002A7E41" w:rsidRDefault="006E7956" w:rsidP="000F491E">
            <w:pPr>
              <w:jc w:val="center"/>
              <w:rPr>
                <w:rFonts w:cstheme="minorHAnsi"/>
                <w:b/>
                <w:bCs/>
                <w:sz w:val="20"/>
                <w:szCs w:val="20"/>
              </w:rPr>
            </w:pPr>
            <w:r w:rsidRPr="002A7E41">
              <w:rPr>
                <w:rFonts w:cstheme="minorHAnsi"/>
                <w:b/>
                <w:bCs/>
                <w:sz w:val="20"/>
                <w:szCs w:val="20"/>
              </w:rPr>
              <w:t>10%</w:t>
            </w:r>
          </w:p>
        </w:tc>
        <w:tc>
          <w:tcPr>
            <w:tcW w:w="1127"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5A0A8CB7" w14:textId="4DB8CD93" w:rsidR="00FC3960" w:rsidRPr="002A7E41" w:rsidRDefault="00FC3960" w:rsidP="000F491E">
            <w:pPr>
              <w:spacing w:after="0" w:line="257" w:lineRule="auto"/>
              <w:rPr>
                <w:rFonts w:eastAsia="Calibri" w:cstheme="minorHAnsi"/>
                <w:b/>
                <w:bCs/>
                <w:sz w:val="20"/>
                <w:szCs w:val="20"/>
              </w:rPr>
            </w:pPr>
            <w:r w:rsidRPr="002A7E41">
              <w:rPr>
                <w:rFonts w:eastAsia="Calibri" w:cstheme="minorHAnsi"/>
                <w:b/>
                <w:bCs/>
                <w:color w:val="FF0000"/>
                <w:sz w:val="20"/>
                <w:szCs w:val="20"/>
              </w:rPr>
              <w:t>100%</w:t>
            </w:r>
          </w:p>
        </w:tc>
      </w:tr>
      <w:tr w:rsidR="000B358B" w:rsidRPr="002A7E41" w14:paraId="07A1B0FD" w14:textId="77777777" w:rsidTr="00CF3CE1">
        <w:trPr>
          <w:trHeight w:val="285"/>
        </w:trPr>
        <w:tc>
          <w:tcPr>
            <w:tcW w:w="756" w:type="dxa"/>
            <w:gridSpan w:val="2"/>
            <w:vMerge w:val="restart"/>
            <w:tcBorders>
              <w:top w:val="single" w:sz="4" w:space="0" w:color="auto"/>
              <w:left w:val="single" w:sz="4" w:space="0" w:color="auto"/>
              <w:right w:val="single" w:sz="4" w:space="0" w:color="auto"/>
            </w:tcBorders>
            <w:tcMar>
              <w:left w:w="108" w:type="dxa"/>
              <w:right w:w="108" w:type="dxa"/>
            </w:tcMar>
            <w:vAlign w:val="center"/>
          </w:tcPr>
          <w:p w14:paraId="029A9543" w14:textId="0075F70A" w:rsidR="000B358B" w:rsidRPr="002A7E41" w:rsidRDefault="000B358B" w:rsidP="000F491E">
            <w:pPr>
              <w:spacing w:after="0" w:line="257" w:lineRule="auto"/>
              <w:rPr>
                <w:rFonts w:eastAsia="Calibri" w:cstheme="minorHAnsi"/>
                <w:b/>
                <w:bCs/>
                <w:sz w:val="20"/>
                <w:szCs w:val="20"/>
              </w:rPr>
            </w:pPr>
            <w:r w:rsidRPr="002A7E41">
              <w:rPr>
                <w:rFonts w:eastAsia="Calibri" w:cstheme="minorHAnsi"/>
                <w:b/>
                <w:bCs/>
                <w:sz w:val="20"/>
                <w:szCs w:val="20"/>
              </w:rPr>
              <w:t>Q</w:t>
            </w:r>
            <w:r>
              <w:rPr>
                <w:rFonts w:eastAsia="Calibri" w:cstheme="minorHAnsi"/>
                <w:b/>
                <w:bCs/>
                <w:sz w:val="20"/>
                <w:szCs w:val="20"/>
              </w:rPr>
              <w:t>6</w:t>
            </w:r>
          </w:p>
        </w:tc>
        <w:tc>
          <w:tcPr>
            <w:tcW w:w="6474" w:type="dxa"/>
            <w:gridSpan w:val="3"/>
            <w:tcBorders>
              <w:top w:val="single" w:sz="8" w:space="0" w:color="000000" w:themeColor="text1"/>
              <w:left w:val="single" w:sz="4" w:space="0" w:color="auto"/>
              <w:bottom w:val="single" w:sz="4" w:space="0" w:color="auto"/>
              <w:right w:val="single" w:sz="4" w:space="0" w:color="auto"/>
            </w:tcBorders>
            <w:tcMar>
              <w:left w:w="108" w:type="dxa"/>
              <w:right w:w="108" w:type="dxa"/>
            </w:tcMar>
            <w:vAlign w:val="center"/>
          </w:tcPr>
          <w:p w14:paraId="7F5CDD04" w14:textId="201DA948" w:rsidR="000B358B" w:rsidRPr="002A7E41" w:rsidRDefault="000B358B" w:rsidP="00EC3B92">
            <w:pPr>
              <w:spacing w:before="100" w:beforeAutospacing="1" w:after="100" w:afterAutospacing="1" w:line="240" w:lineRule="auto"/>
              <w:jc w:val="left"/>
              <w:rPr>
                <w:rFonts w:eastAsia="Times New Roman" w:cstheme="minorHAnsi"/>
                <w:sz w:val="20"/>
                <w:szCs w:val="20"/>
              </w:rPr>
            </w:pPr>
            <w:r w:rsidRPr="000B358B">
              <w:rPr>
                <w:rFonts w:eastAsia="Times New Roman" w:cstheme="minorHAnsi"/>
                <w:b/>
                <w:bCs/>
                <w:sz w:val="20"/>
                <w:szCs w:val="20"/>
              </w:rPr>
              <w:t>Equality, Diversity, Inclusion and Anti-Racist Practices</w:t>
            </w:r>
          </w:p>
        </w:tc>
        <w:tc>
          <w:tcPr>
            <w:tcW w:w="1134" w:type="dxa"/>
            <w:tcBorders>
              <w:top w:val="single" w:sz="4" w:space="0" w:color="auto"/>
              <w:left w:val="single" w:sz="4" w:space="0" w:color="auto"/>
              <w:bottom w:val="single" w:sz="4" w:space="0" w:color="auto"/>
              <w:right w:val="single" w:sz="4" w:space="0" w:color="auto"/>
            </w:tcBorders>
            <w:vAlign w:val="center"/>
          </w:tcPr>
          <w:p w14:paraId="2897CCB5" w14:textId="0627936B" w:rsidR="000B358B" w:rsidRPr="002A7E41" w:rsidRDefault="000B358B" w:rsidP="000F491E">
            <w:pPr>
              <w:jc w:val="center"/>
              <w:rPr>
                <w:rFonts w:cstheme="minorHAnsi"/>
                <w:b/>
                <w:bCs/>
                <w:sz w:val="20"/>
                <w:szCs w:val="20"/>
              </w:rPr>
            </w:pPr>
          </w:p>
        </w:tc>
        <w:tc>
          <w:tcPr>
            <w:tcW w:w="1127" w:type="dxa"/>
            <w:tcBorders>
              <w:top w:val="single" w:sz="8" w:space="0" w:color="000000" w:themeColor="text1"/>
              <w:left w:val="single" w:sz="4" w:space="0" w:color="auto"/>
              <w:bottom w:val="single" w:sz="4" w:space="0" w:color="auto"/>
              <w:right w:val="single" w:sz="8" w:space="0" w:color="000000" w:themeColor="text1"/>
            </w:tcBorders>
            <w:tcMar>
              <w:left w:w="108" w:type="dxa"/>
              <w:right w:w="108" w:type="dxa"/>
            </w:tcMar>
            <w:vAlign w:val="center"/>
          </w:tcPr>
          <w:p w14:paraId="6294F5AC" w14:textId="2ED6CD05" w:rsidR="000B358B" w:rsidRPr="002A7E41" w:rsidRDefault="000B358B" w:rsidP="000F491E">
            <w:pPr>
              <w:spacing w:after="0" w:line="257" w:lineRule="auto"/>
              <w:rPr>
                <w:rFonts w:eastAsia="Calibri" w:cstheme="minorHAnsi"/>
                <w:b/>
                <w:bCs/>
                <w:color w:val="FF0000"/>
                <w:sz w:val="20"/>
                <w:szCs w:val="20"/>
              </w:rPr>
            </w:pPr>
          </w:p>
        </w:tc>
      </w:tr>
      <w:tr w:rsidR="000B358B" w:rsidRPr="002A7E41" w14:paraId="3A904A1D" w14:textId="77777777" w:rsidTr="000B358B">
        <w:trPr>
          <w:trHeight w:val="1725"/>
        </w:trPr>
        <w:tc>
          <w:tcPr>
            <w:tcW w:w="756" w:type="dxa"/>
            <w:gridSpan w:val="2"/>
            <w:vMerge/>
            <w:tcBorders>
              <w:left w:val="single" w:sz="4" w:space="0" w:color="auto"/>
              <w:bottom w:val="single" w:sz="4" w:space="0" w:color="auto"/>
              <w:right w:val="single" w:sz="4" w:space="0" w:color="auto"/>
            </w:tcBorders>
            <w:tcMar>
              <w:left w:w="108" w:type="dxa"/>
              <w:right w:w="108" w:type="dxa"/>
            </w:tcMar>
            <w:vAlign w:val="center"/>
          </w:tcPr>
          <w:p w14:paraId="02103D2E" w14:textId="77777777" w:rsidR="000B358B" w:rsidRPr="002A7E41" w:rsidRDefault="000B358B" w:rsidP="000F491E">
            <w:pPr>
              <w:spacing w:after="0" w:line="257" w:lineRule="auto"/>
              <w:rPr>
                <w:rFonts w:eastAsia="Calibri" w:cstheme="minorHAnsi"/>
                <w:b/>
                <w:bCs/>
                <w:sz w:val="20"/>
                <w:szCs w:val="20"/>
              </w:rPr>
            </w:pPr>
          </w:p>
        </w:tc>
        <w:tc>
          <w:tcPr>
            <w:tcW w:w="6474" w:type="dxa"/>
            <w:gridSpan w:val="3"/>
            <w:tcBorders>
              <w:top w:val="single" w:sz="4" w:space="0" w:color="auto"/>
              <w:left w:val="single" w:sz="4" w:space="0" w:color="auto"/>
              <w:bottom w:val="single" w:sz="8" w:space="0" w:color="000000" w:themeColor="text1"/>
              <w:right w:val="single" w:sz="4" w:space="0" w:color="auto"/>
            </w:tcBorders>
            <w:tcMar>
              <w:left w:w="108" w:type="dxa"/>
              <w:right w:w="108" w:type="dxa"/>
            </w:tcMar>
            <w:vAlign w:val="center"/>
          </w:tcPr>
          <w:p w14:paraId="4971718A" w14:textId="77777777" w:rsidR="000B358B" w:rsidRPr="002A7E41" w:rsidRDefault="000B358B" w:rsidP="000B358B">
            <w:pPr>
              <w:spacing w:before="100" w:beforeAutospacing="1" w:after="100" w:afterAutospacing="1" w:line="240" w:lineRule="auto"/>
              <w:jc w:val="left"/>
              <w:rPr>
                <w:rFonts w:eastAsia="Times New Roman" w:cstheme="minorHAnsi"/>
                <w:sz w:val="20"/>
                <w:szCs w:val="20"/>
              </w:rPr>
            </w:pPr>
            <w:r w:rsidRPr="002A7E41">
              <w:rPr>
                <w:rFonts w:eastAsia="Times New Roman" w:cstheme="minorHAnsi"/>
                <w:sz w:val="20"/>
                <w:szCs w:val="20"/>
              </w:rPr>
              <w:t>Describe the measures your organisation has in place to promote equality, diversity, inclusion and anti-racist practices within your workforce and supply chain. Please provide examples of actions taken and how effectiveness is monitored.</w:t>
            </w:r>
          </w:p>
          <w:p w14:paraId="4407C143" w14:textId="77777777" w:rsidR="000B358B" w:rsidRPr="000B358B" w:rsidRDefault="000B358B" w:rsidP="00EC3B92">
            <w:pPr>
              <w:spacing w:before="100" w:beforeAutospacing="1" w:after="100" w:afterAutospacing="1" w:line="240" w:lineRule="auto"/>
              <w:jc w:val="left"/>
              <w:rPr>
                <w:rFonts w:eastAsia="Times New Roman" w:cstheme="minorHAnsi"/>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88DFFFB" w14:textId="374F19FB" w:rsidR="000B358B" w:rsidRDefault="000B358B" w:rsidP="000B358B">
            <w:pPr>
              <w:jc w:val="center"/>
              <w:rPr>
                <w:rFonts w:cstheme="minorHAnsi"/>
                <w:b/>
                <w:bCs/>
                <w:sz w:val="20"/>
                <w:szCs w:val="20"/>
              </w:rPr>
            </w:pPr>
            <w:r>
              <w:rPr>
                <w:rFonts w:cstheme="minorHAnsi"/>
                <w:b/>
                <w:bCs/>
                <w:sz w:val="20"/>
                <w:szCs w:val="20"/>
              </w:rPr>
              <w:t>Info Only</w:t>
            </w:r>
          </w:p>
        </w:tc>
        <w:tc>
          <w:tcPr>
            <w:tcW w:w="1127" w:type="dxa"/>
            <w:tcBorders>
              <w:top w:val="single" w:sz="4" w:space="0" w:color="auto"/>
              <w:left w:val="single" w:sz="4" w:space="0" w:color="auto"/>
              <w:bottom w:val="single" w:sz="8" w:space="0" w:color="000000" w:themeColor="text1"/>
              <w:right w:val="single" w:sz="8" w:space="0" w:color="000000" w:themeColor="text1"/>
            </w:tcBorders>
            <w:tcMar>
              <w:left w:w="108" w:type="dxa"/>
              <w:right w:w="108" w:type="dxa"/>
            </w:tcMar>
            <w:vAlign w:val="center"/>
          </w:tcPr>
          <w:p w14:paraId="7AA22C74" w14:textId="77777777" w:rsidR="000B358B" w:rsidRPr="002A7E41" w:rsidRDefault="000B358B" w:rsidP="000F491E">
            <w:pPr>
              <w:spacing w:after="0" w:line="257" w:lineRule="auto"/>
              <w:rPr>
                <w:rFonts w:eastAsia="Calibri" w:cstheme="minorHAnsi"/>
                <w:b/>
                <w:bCs/>
                <w:color w:val="FF0000"/>
                <w:sz w:val="20"/>
                <w:szCs w:val="20"/>
              </w:rPr>
            </w:pPr>
          </w:p>
        </w:tc>
      </w:tr>
    </w:tbl>
    <w:p w14:paraId="3DD061B4" w14:textId="77777777" w:rsidR="00AC3E8D" w:rsidRPr="002A7E41" w:rsidRDefault="00AC3E8D" w:rsidP="00AC3E8D">
      <w:pPr>
        <w:rPr>
          <w:rFonts w:cstheme="minorHAnsi"/>
          <w:sz w:val="20"/>
          <w:szCs w:val="20"/>
        </w:rPr>
      </w:pPr>
    </w:p>
    <w:p w14:paraId="4E75D40F" w14:textId="6E40C29F" w:rsidR="0049636B" w:rsidRDefault="0049636B" w:rsidP="00E56BDD">
      <w:pPr>
        <w:pStyle w:val="Heading1"/>
      </w:pPr>
      <w:bookmarkStart w:id="73" w:name="_Toc233962893"/>
      <w:r>
        <w:t>Appendix B - Pricing Schedule</w:t>
      </w:r>
      <w:bookmarkEnd w:id="67"/>
      <w:bookmarkEnd w:id="68"/>
      <w:bookmarkEnd w:id="69"/>
      <w:bookmarkEnd w:id="73"/>
      <w:r>
        <w:t xml:space="preserve"> </w:t>
      </w:r>
    </w:p>
    <w:p w14:paraId="19552BAD" w14:textId="77777777" w:rsidR="0049636B" w:rsidRPr="002A7E41" w:rsidRDefault="0049636B" w:rsidP="0049636B">
      <w:pPr>
        <w:spacing w:after="0" w:line="240" w:lineRule="auto"/>
        <w:rPr>
          <w:b/>
          <w:sz w:val="20"/>
          <w:szCs w:val="20"/>
        </w:rPr>
      </w:pPr>
      <w:r w:rsidRPr="002A7E41">
        <w:rPr>
          <w:b/>
          <w:sz w:val="20"/>
          <w:szCs w:val="20"/>
        </w:rPr>
        <w:t>Please read this section carefully.  You will be required to complete each section fully.</w:t>
      </w:r>
    </w:p>
    <w:p w14:paraId="737958B9" w14:textId="77777777" w:rsidR="0049636B" w:rsidRPr="002A7E41" w:rsidRDefault="0049636B" w:rsidP="0049636B">
      <w:pPr>
        <w:spacing w:after="0" w:line="240" w:lineRule="auto"/>
        <w:rPr>
          <w:sz w:val="20"/>
          <w:szCs w:val="20"/>
        </w:rPr>
      </w:pPr>
    </w:p>
    <w:p w14:paraId="0C984F0D" w14:textId="77777777" w:rsidR="003C04CC" w:rsidRPr="002A7E41" w:rsidRDefault="0049636B" w:rsidP="0049636B">
      <w:pPr>
        <w:spacing w:after="0" w:line="240" w:lineRule="auto"/>
        <w:rPr>
          <w:sz w:val="20"/>
          <w:szCs w:val="20"/>
        </w:rPr>
      </w:pPr>
      <w:r w:rsidRPr="002A7E41">
        <w:rPr>
          <w:sz w:val="20"/>
          <w:szCs w:val="20"/>
        </w:rPr>
        <w:t xml:space="preserve">Please note that costs should cover all consumables, travel and equipment. </w:t>
      </w:r>
    </w:p>
    <w:p w14:paraId="114D98FC" w14:textId="4830A0DE" w:rsidR="0049636B" w:rsidRPr="002A7E41" w:rsidRDefault="0049636B" w:rsidP="0049636B">
      <w:pPr>
        <w:spacing w:after="0" w:line="240" w:lineRule="auto"/>
        <w:rPr>
          <w:b/>
          <w:sz w:val="20"/>
          <w:szCs w:val="20"/>
        </w:rPr>
      </w:pPr>
      <w:r w:rsidRPr="002A7E41">
        <w:rPr>
          <w:b/>
          <w:sz w:val="20"/>
          <w:szCs w:val="20"/>
        </w:rPr>
        <w:t>All prices must exclude VAT.</w:t>
      </w:r>
    </w:p>
    <w:p w14:paraId="68F2C50D" w14:textId="77777777" w:rsidR="0049636B" w:rsidRPr="002A7E41" w:rsidRDefault="0049636B" w:rsidP="0049636B">
      <w:pPr>
        <w:spacing w:after="0"/>
        <w:rPr>
          <w:sz w:val="20"/>
          <w:szCs w:val="20"/>
        </w:rPr>
      </w:pPr>
    </w:p>
    <w:tbl>
      <w:tblPr>
        <w:tblStyle w:val="TableGrid"/>
        <w:tblW w:w="0" w:type="auto"/>
        <w:tblLook w:val="04A0" w:firstRow="1" w:lastRow="0" w:firstColumn="1" w:lastColumn="0" w:noHBand="0" w:noVBand="1"/>
      </w:tblPr>
      <w:tblGrid>
        <w:gridCol w:w="7225"/>
        <w:gridCol w:w="1791"/>
      </w:tblGrid>
      <w:tr w:rsidR="0049636B" w:rsidRPr="002A7E41" w14:paraId="29ADAD3E" w14:textId="77777777" w:rsidTr="2EF3F77F">
        <w:tc>
          <w:tcPr>
            <w:tcW w:w="7225" w:type="dxa"/>
          </w:tcPr>
          <w:p w14:paraId="447E64D4" w14:textId="33241946" w:rsidR="0049636B" w:rsidRPr="002A7E41" w:rsidRDefault="0049636B" w:rsidP="2EF3F77F">
            <w:pPr>
              <w:rPr>
                <w:b/>
                <w:bCs/>
                <w:sz w:val="20"/>
                <w:szCs w:val="20"/>
              </w:rPr>
            </w:pPr>
            <w:r w:rsidRPr="002A7E41">
              <w:rPr>
                <w:b/>
                <w:bCs/>
                <w:sz w:val="20"/>
                <w:szCs w:val="20"/>
              </w:rPr>
              <w:t>PC2526/008. Appendix B - Pricing Schedule</w:t>
            </w:r>
          </w:p>
          <w:p w14:paraId="3FEF0271" w14:textId="77777777" w:rsidR="0049636B" w:rsidRPr="002A7E41" w:rsidRDefault="0049636B" w:rsidP="000F491E">
            <w:pPr>
              <w:rPr>
                <w:i/>
                <w:sz w:val="20"/>
                <w:szCs w:val="20"/>
              </w:rPr>
            </w:pPr>
            <w:r w:rsidRPr="002A7E41">
              <w:rPr>
                <w:i/>
                <w:sz w:val="20"/>
                <w:szCs w:val="20"/>
              </w:rPr>
              <w:t>To open, please ensure editing is enabled, and double-click the excel icon.</w:t>
            </w:r>
          </w:p>
          <w:p w14:paraId="0357F316" w14:textId="77777777" w:rsidR="0049636B" w:rsidRPr="002A7E41" w:rsidRDefault="0049636B" w:rsidP="003C04CC">
            <w:pPr>
              <w:rPr>
                <w:b/>
                <w:sz w:val="20"/>
                <w:szCs w:val="20"/>
              </w:rPr>
            </w:pPr>
          </w:p>
        </w:tc>
        <w:tc>
          <w:tcPr>
            <w:tcW w:w="1791" w:type="dxa"/>
            <w:vAlign w:val="center"/>
          </w:tcPr>
          <w:p w14:paraId="60153C0D" w14:textId="77777777" w:rsidR="0049636B" w:rsidRPr="002A7E41" w:rsidRDefault="0049636B" w:rsidP="000F491E">
            <w:pPr>
              <w:jc w:val="center"/>
              <w:rPr>
                <w:sz w:val="20"/>
                <w:szCs w:val="20"/>
              </w:rPr>
            </w:pPr>
            <w:r w:rsidRPr="002A7E41">
              <w:rPr>
                <w:color w:val="FF0000"/>
                <w:sz w:val="20"/>
                <w:szCs w:val="20"/>
              </w:rPr>
              <w:t>Available as a separate file via Sell2Wales</w:t>
            </w:r>
          </w:p>
        </w:tc>
      </w:tr>
    </w:tbl>
    <w:p w14:paraId="0A70EFEC" w14:textId="77777777" w:rsidR="000B358B" w:rsidRDefault="000B358B" w:rsidP="000B358B">
      <w:pPr>
        <w:spacing w:after="0"/>
      </w:pPr>
      <w:bookmarkStart w:id="74" w:name="_Toc162209908"/>
      <w:bookmarkStart w:id="75" w:name="_Toc233962895"/>
    </w:p>
    <w:p w14:paraId="29B0F286" w14:textId="77777777" w:rsidR="000B358B" w:rsidRPr="002C478F" w:rsidRDefault="000B358B" w:rsidP="000B358B">
      <w:pPr>
        <w:pStyle w:val="Heading2"/>
      </w:pPr>
      <w:bookmarkStart w:id="76" w:name="_Toc233885878"/>
      <w:r w:rsidRPr="002C478F">
        <w:t>Abnormal Bids</w:t>
      </w:r>
      <w:bookmarkEnd w:id="76"/>
      <w:r w:rsidRPr="002C478F">
        <w:t xml:space="preserve"> </w:t>
      </w:r>
    </w:p>
    <w:p w14:paraId="0454C497" w14:textId="77777777" w:rsidR="000B358B" w:rsidRDefault="000B358B" w:rsidP="000B358B">
      <w:pPr>
        <w:spacing w:after="0" w:line="276" w:lineRule="auto"/>
      </w:pPr>
      <w:r>
        <w:t>Clause 19(4) of the Procurement Act 2023 requires the Contracting Authority to provide tenderers with a reasonable opportunity to demonstrate their ability to perform the contract at the price offered if that price appears to be abnormal. All tenders will be reviewed accordingly, in comparison with other bids received.</w:t>
      </w:r>
    </w:p>
    <w:p w14:paraId="43069A64" w14:textId="77777777" w:rsidR="000B358B" w:rsidRDefault="000B358B" w:rsidP="000B358B">
      <w:pPr>
        <w:spacing w:after="0" w:line="276" w:lineRule="auto"/>
      </w:pPr>
    </w:p>
    <w:p w14:paraId="6F5DB761" w14:textId="71087C89" w:rsidR="000B358B" w:rsidRDefault="00A47C90" w:rsidP="000B358B">
      <w:pPr>
        <w:spacing w:after="0" w:line="276" w:lineRule="auto"/>
      </w:pPr>
      <w:r>
        <w:rPr>
          <w:rFonts w:cstheme="minorHAnsi"/>
        </w:rPr>
        <w:t>Pembrokeshire College</w:t>
      </w:r>
      <w:r w:rsidR="000B358B">
        <w:t xml:space="preserve"> will investigate instances of both abnormally low and abnormally high bids and allow relevant tenderers to justify their submitted pricing. If a satisfactory explanation is not provided, the </w:t>
      </w:r>
      <w:r>
        <w:t>college</w:t>
      </w:r>
      <w:r w:rsidR="000B358B">
        <w:t xml:space="preserve"> reserves the right to reject any tender.</w:t>
      </w:r>
    </w:p>
    <w:p w14:paraId="79510842" w14:textId="77777777" w:rsidR="000B358B" w:rsidRDefault="000B358B" w:rsidP="000B358B">
      <w:pPr>
        <w:spacing w:after="0" w:line="276" w:lineRule="auto"/>
        <w:rPr>
          <w:highlight w:val="yellow"/>
        </w:rPr>
      </w:pPr>
    </w:p>
    <w:p w14:paraId="34B6CE47" w14:textId="77777777" w:rsidR="000B358B" w:rsidRPr="000B358B" w:rsidRDefault="000B358B" w:rsidP="000B358B">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r w:rsidRPr="000B358B">
        <w:rPr>
          <w:b/>
          <w:bCs/>
          <w:sz w:val="20"/>
          <w:szCs w:val="20"/>
        </w:rPr>
        <w:t>For Example;</w:t>
      </w:r>
      <w:r w:rsidRPr="000B358B">
        <w:rPr>
          <w:sz w:val="20"/>
          <w:szCs w:val="20"/>
        </w:rPr>
        <w:t xml:space="preserve"> </w:t>
      </w:r>
    </w:p>
    <w:p w14:paraId="64144ED6" w14:textId="77777777" w:rsidR="000B358B" w:rsidRPr="000B358B" w:rsidRDefault="000B358B" w:rsidP="000B358B">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p>
    <w:p w14:paraId="7A2147CC" w14:textId="77777777" w:rsidR="000B358B" w:rsidRPr="000B358B" w:rsidRDefault="000B358B" w:rsidP="000B358B">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r w:rsidRPr="000B358B">
        <w:rPr>
          <w:sz w:val="20"/>
          <w:szCs w:val="20"/>
        </w:rPr>
        <w:t xml:space="preserve">Bidder 1 – £31,000                  Bidder 2 - £20,000                    Bidder 3 - £15,000 </w:t>
      </w:r>
    </w:p>
    <w:p w14:paraId="69CC5811" w14:textId="77777777" w:rsidR="000B358B" w:rsidRPr="000B358B" w:rsidRDefault="000B358B" w:rsidP="000B358B">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p>
    <w:p w14:paraId="5F5B60DC" w14:textId="77777777" w:rsidR="000B358B" w:rsidRPr="000B358B" w:rsidRDefault="000B358B" w:rsidP="000B358B">
      <w:pPr>
        <w:pBdr>
          <w:top w:val="single" w:sz="4" w:space="1" w:color="000000"/>
          <w:left w:val="single" w:sz="4" w:space="13" w:color="000000"/>
          <w:bottom w:val="single" w:sz="4" w:space="1" w:color="000000"/>
          <w:right w:val="single" w:sz="4" w:space="4" w:color="000000"/>
        </w:pBdr>
        <w:spacing w:after="0" w:line="276" w:lineRule="auto"/>
        <w:ind w:left="284"/>
        <w:rPr>
          <w:color w:val="FF0000"/>
          <w:sz w:val="20"/>
          <w:szCs w:val="20"/>
        </w:rPr>
      </w:pPr>
      <w:r w:rsidRPr="000B358B">
        <w:rPr>
          <w:sz w:val="20"/>
          <w:szCs w:val="20"/>
        </w:rPr>
        <w:t xml:space="preserve">Average of tenders received:                                             </w:t>
      </w:r>
      <w:r w:rsidRPr="000B358B">
        <w:rPr>
          <w:sz w:val="20"/>
          <w:szCs w:val="20"/>
        </w:rPr>
        <w:tab/>
        <w:t xml:space="preserve">                                                     £22,000.00</w:t>
      </w:r>
    </w:p>
    <w:p w14:paraId="4F9FCC36" w14:textId="77777777" w:rsidR="000B358B" w:rsidRPr="000B358B" w:rsidRDefault="000B358B" w:rsidP="000B358B">
      <w:pPr>
        <w:pBdr>
          <w:top w:val="single" w:sz="4" w:space="1" w:color="000000"/>
          <w:left w:val="single" w:sz="4" w:space="13" w:color="000000"/>
          <w:bottom w:val="single" w:sz="4" w:space="1" w:color="000000"/>
          <w:right w:val="single" w:sz="4" w:space="4" w:color="000000"/>
        </w:pBdr>
        <w:spacing w:after="0" w:line="276" w:lineRule="auto"/>
        <w:ind w:left="284"/>
        <w:rPr>
          <w:color w:val="FF0000"/>
          <w:sz w:val="20"/>
          <w:szCs w:val="20"/>
        </w:rPr>
      </w:pPr>
      <w:r w:rsidRPr="000B358B">
        <w:rPr>
          <w:sz w:val="20"/>
          <w:szCs w:val="20"/>
        </w:rPr>
        <w:t xml:space="preserve">Average Boundary (85% of the Average):                        </w:t>
      </w:r>
      <w:r w:rsidRPr="000B358B">
        <w:rPr>
          <w:sz w:val="20"/>
          <w:szCs w:val="20"/>
        </w:rPr>
        <w:tab/>
        <w:t xml:space="preserve">                                                     £18,700.00</w:t>
      </w:r>
    </w:p>
    <w:p w14:paraId="406A09DC" w14:textId="77777777" w:rsidR="000B358B" w:rsidRPr="000B358B" w:rsidRDefault="000B358B" w:rsidP="000B358B">
      <w:pPr>
        <w:pBdr>
          <w:top w:val="single" w:sz="4" w:space="1" w:color="000000"/>
          <w:left w:val="single" w:sz="4" w:space="13" w:color="000000"/>
          <w:bottom w:val="single" w:sz="4" w:space="1" w:color="000000"/>
          <w:right w:val="single" w:sz="4" w:space="4" w:color="000000"/>
        </w:pBdr>
        <w:spacing w:after="0" w:line="276" w:lineRule="auto"/>
        <w:ind w:left="284"/>
        <w:rPr>
          <w:color w:val="FF0000"/>
          <w:sz w:val="20"/>
          <w:szCs w:val="20"/>
        </w:rPr>
      </w:pPr>
      <w:r w:rsidRPr="000B358B">
        <w:rPr>
          <w:sz w:val="20"/>
          <w:szCs w:val="20"/>
        </w:rPr>
        <w:t>Average Boundary (115% of the Average):</w:t>
      </w:r>
      <w:r w:rsidRPr="000B358B">
        <w:rPr>
          <w:sz w:val="20"/>
          <w:szCs w:val="20"/>
        </w:rPr>
        <w:tab/>
      </w:r>
      <w:r w:rsidRPr="000B358B">
        <w:rPr>
          <w:sz w:val="20"/>
          <w:szCs w:val="20"/>
        </w:rPr>
        <w:tab/>
        <w:t xml:space="preserve">                                                     £25,300.00 </w:t>
      </w:r>
    </w:p>
    <w:p w14:paraId="3F091962" w14:textId="77777777" w:rsidR="000B358B" w:rsidRPr="000B358B" w:rsidRDefault="000B358B" w:rsidP="000B358B">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p>
    <w:p w14:paraId="5B1FA3FC" w14:textId="77777777" w:rsidR="000B358B" w:rsidRPr="000B358B" w:rsidRDefault="000B358B" w:rsidP="000B358B">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r w:rsidRPr="000B358B">
        <w:rPr>
          <w:sz w:val="20"/>
          <w:szCs w:val="20"/>
        </w:rPr>
        <w:t>Therefore:</w:t>
      </w:r>
    </w:p>
    <w:p w14:paraId="67E2DD27" w14:textId="77777777" w:rsidR="000B358B" w:rsidRPr="000B358B" w:rsidRDefault="000B358B" w:rsidP="000B358B">
      <w:pPr>
        <w:numPr>
          <w:ilvl w:val="0"/>
          <w:numId w:val="30"/>
        </w:numPr>
        <w:pBdr>
          <w:top w:val="single" w:sz="4" w:space="1" w:color="000000"/>
          <w:left w:val="single" w:sz="4" w:space="13" w:color="000000"/>
          <w:bottom w:val="single" w:sz="4" w:space="1" w:color="000000"/>
          <w:right w:val="single" w:sz="4" w:space="4" w:color="000000"/>
          <w:between w:val="nil"/>
        </w:pBdr>
        <w:spacing w:after="0" w:line="276" w:lineRule="auto"/>
        <w:ind w:hanging="360"/>
        <w:jc w:val="left"/>
        <w:rPr>
          <w:color w:val="000000"/>
          <w:sz w:val="20"/>
          <w:szCs w:val="20"/>
        </w:rPr>
      </w:pPr>
      <w:r w:rsidRPr="000B358B">
        <w:rPr>
          <w:color w:val="000000"/>
          <w:sz w:val="20"/>
          <w:szCs w:val="20"/>
        </w:rPr>
        <w:t>Abnormally Low Boundary would be calculated to be £18,700.00, on this occasion.</w:t>
      </w:r>
    </w:p>
    <w:p w14:paraId="054AFC82" w14:textId="77777777" w:rsidR="000B358B" w:rsidRPr="000B358B" w:rsidRDefault="000B358B" w:rsidP="000B358B">
      <w:pPr>
        <w:numPr>
          <w:ilvl w:val="0"/>
          <w:numId w:val="30"/>
        </w:numPr>
        <w:pBdr>
          <w:top w:val="single" w:sz="4" w:space="1" w:color="000000"/>
          <w:left w:val="single" w:sz="4" w:space="13" w:color="000000"/>
          <w:bottom w:val="single" w:sz="4" w:space="1" w:color="000000"/>
          <w:right w:val="single" w:sz="4" w:space="4" w:color="000000"/>
          <w:between w:val="nil"/>
        </w:pBdr>
        <w:spacing w:after="0" w:line="276" w:lineRule="auto"/>
        <w:ind w:hanging="360"/>
        <w:jc w:val="left"/>
        <w:rPr>
          <w:color w:val="000000"/>
          <w:sz w:val="20"/>
          <w:szCs w:val="20"/>
        </w:rPr>
      </w:pPr>
      <w:r w:rsidRPr="000B358B">
        <w:rPr>
          <w:color w:val="000000"/>
          <w:sz w:val="20"/>
          <w:szCs w:val="20"/>
        </w:rPr>
        <w:t>Abnormally High Boundary would be calculated to be £25,300.00, on this occasion.</w:t>
      </w:r>
    </w:p>
    <w:p w14:paraId="28C5CAD0" w14:textId="77777777" w:rsidR="000B358B" w:rsidRPr="000B358B" w:rsidRDefault="000B358B" w:rsidP="000B358B">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p>
    <w:p w14:paraId="47026142" w14:textId="77777777" w:rsidR="000B358B" w:rsidRPr="000B358B" w:rsidRDefault="000B358B" w:rsidP="000B358B">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r w:rsidRPr="000B358B">
        <w:rPr>
          <w:sz w:val="20"/>
          <w:szCs w:val="20"/>
        </w:rPr>
        <w:t xml:space="preserve">This example exhibits that: </w:t>
      </w:r>
    </w:p>
    <w:p w14:paraId="4159F6B2" w14:textId="77777777" w:rsidR="000B358B" w:rsidRPr="000B358B" w:rsidRDefault="000B358B" w:rsidP="000B358B">
      <w:pPr>
        <w:numPr>
          <w:ilvl w:val="0"/>
          <w:numId w:val="30"/>
        </w:numPr>
        <w:pBdr>
          <w:top w:val="single" w:sz="4" w:space="1" w:color="000000"/>
          <w:left w:val="single" w:sz="4" w:space="13" w:color="000000"/>
          <w:bottom w:val="single" w:sz="4" w:space="1" w:color="000000"/>
          <w:right w:val="single" w:sz="4" w:space="4" w:color="000000"/>
          <w:between w:val="nil"/>
        </w:pBdr>
        <w:spacing w:after="0" w:line="276" w:lineRule="auto"/>
        <w:ind w:hanging="360"/>
        <w:jc w:val="left"/>
        <w:rPr>
          <w:color w:val="000000"/>
          <w:sz w:val="20"/>
          <w:szCs w:val="20"/>
        </w:rPr>
      </w:pPr>
      <w:r w:rsidRPr="000B358B">
        <w:rPr>
          <w:color w:val="000000"/>
          <w:sz w:val="20"/>
          <w:szCs w:val="20"/>
        </w:rPr>
        <w:t>Bidder 1 would be deemed to have submitted pricing that is abnormally high.</w:t>
      </w:r>
    </w:p>
    <w:p w14:paraId="3359DCB6" w14:textId="77777777" w:rsidR="000B358B" w:rsidRPr="000B358B" w:rsidRDefault="000B358B" w:rsidP="000B358B">
      <w:pPr>
        <w:numPr>
          <w:ilvl w:val="0"/>
          <w:numId w:val="30"/>
        </w:numPr>
        <w:pBdr>
          <w:top w:val="single" w:sz="4" w:space="1" w:color="000000"/>
          <w:left w:val="single" w:sz="4" w:space="13" w:color="000000"/>
          <w:bottom w:val="single" w:sz="4" w:space="1" w:color="000000"/>
          <w:right w:val="single" w:sz="4" w:space="4" w:color="000000"/>
          <w:between w:val="nil"/>
        </w:pBdr>
        <w:spacing w:after="0" w:line="276" w:lineRule="auto"/>
        <w:ind w:hanging="360"/>
        <w:jc w:val="left"/>
        <w:rPr>
          <w:color w:val="000000"/>
          <w:sz w:val="20"/>
          <w:szCs w:val="20"/>
        </w:rPr>
      </w:pPr>
      <w:r w:rsidRPr="000B358B">
        <w:rPr>
          <w:color w:val="000000"/>
          <w:sz w:val="20"/>
          <w:szCs w:val="20"/>
        </w:rPr>
        <w:t>Bidder 3 would be deemed to have submitted pricing that is abnormally low.</w:t>
      </w:r>
    </w:p>
    <w:p w14:paraId="197507FD" w14:textId="77777777" w:rsidR="000B358B" w:rsidRPr="000B358B" w:rsidRDefault="000B358B" w:rsidP="000B358B">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p>
    <w:p w14:paraId="39C02E88" w14:textId="77777777" w:rsidR="000B358B" w:rsidRPr="000B358B" w:rsidRDefault="000B358B" w:rsidP="000B358B">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r w:rsidRPr="000B358B">
        <w:rPr>
          <w:sz w:val="20"/>
          <w:szCs w:val="20"/>
        </w:rPr>
        <w:t xml:space="preserve">Bidders whose prices fall outside the calculated boundaries would have to provide reassurance that their pricing is fair, valid and achievable. </w:t>
      </w:r>
    </w:p>
    <w:p w14:paraId="1CC5E509" w14:textId="77777777" w:rsidR="000B358B" w:rsidRPr="000B358B" w:rsidRDefault="000B358B" w:rsidP="000B358B">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p>
    <w:p w14:paraId="6EF044A3" w14:textId="77777777" w:rsidR="000B358B" w:rsidRPr="000B358B" w:rsidRDefault="000B358B" w:rsidP="000B358B">
      <w:pPr>
        <w:pBdr>
          <w:top w:val="single" w:sz="4" w:space="1" w:color="000000"/>
          <w:left w:val="single" w:sz="4" w:space="13" w:color="000000"/>
          <w:bottom w:val="single" w:sz="4" w:space="1" w:color="000000"/>
          <w:right w:val="single" w:sz="4" w:space="4" w:color="000000"/>
        </w:pBdr>
        <w:spacing w:after="0" w:line="276" w:lineRule="auto"/>
        <w:ind w:left="284"/>
        <w:rPr>
          <w:sz w:val="20"/>
          <w:szCs w:val="20"/>
        </w:rPr>
      </w:pPr>
      <w:r w:rsidRPr="000B358B">
        <w:rPr>
          <w:sz w:val="20"/>
          <w:szCs w:val="20"/>
        </w:rPr>
        <w:lastRenderedPageBreak/>
        <w:t xml:space="preserve">If either Bidder can clarify their pricing in a correct and valid manner, it will be considered further. </w:t>
      </w:r>
      <w:r w:rsidRPr="000B358B">
        <w:rPr>
          <w:sz w:val="20"/>
          <w:szCs w:val="20"/>
        </w:rPr>
        <w:br/>
        <w:t>If the Bidders are unable to clarify their pricing, their tender will be rejected.</w:t>
      </w:r>
    </w:p>
    <w:p w14:paraId="12860E2A" w14:textId="77777777" w:rsidR="000B358B" w:rsidRDefault="000B358B" w:rsidP="000B358B">
      <w:pPr>
        <w:pBdr>
          <w:top w:val="single" w:sz="4" w:space="1" w:color="000000"/>
          <w:left w:val="single" w:sz="4" w:space="13" w:color="000000"/>
          <w:bottom w:val="single" w:sz="4" w:space="1" w:color="000000"/>
          <w:right w:val="single" w:sz="4" w:space="4" w:color="000000"/>
        </w:pBdr>
        <w:spacing w:after="0" w:line="276" w:lineRule="auto"/>
        <w:ind w:left="284"/>
      </w:pPr>
    </w:p>
    <w:p w14:paraId="3BDA18EE" w14:textId="77777777" w:rsidR="000B358B" w:rsidRDefault="000B358B" w:rsidP="000B358B">
      <w:pPr>
        <w:rPr>
          <w:sz w:val="28"/>
          <w:szCs w:val="28"/>
        </w:rPr>
      </w:pPr>
    </w:p>
    <w:p w14:paraId="594ECE97" w14:textId="20377558" w:rsidR="00DF7154" w:rsidRPr="00DE7CDE" w:rsidRDefault="008301C7" w:rsidP="7BFA814C">
      <w:pPr>
        <w:pStyle w:val="Heading1"/>
        <w:spacing w:after="240"/>
        <w:rPr>
          <w:rFonts w:eastAsiaTheme="minorEastAsia"/>
        </w:rPr>
      </w:pPr>
      <w:r>
        <w:rPr>
          <w:rFonts w:eastAsiaTheme="minorEastAsia"/>
        </w:rPr>
        <w:t>Appendices</w:t>
      </w:r>
      <w:bookmarkEnd w:id="74"/>
      <w:bookmarkEnd w:id="75"/>
    </w:p>
    <w:tbl>
      <w:tblPr>
        <w:tblStyle w:val="TableGrid"/>
        <w:tblW w:w="0" w:type="auto"/>
        <w:tblLook w:val="04A0" w:firstRow="1" w:lastRow="0" w:firstColumn="1" w:lastColumn="0" w:noHBand="0" w:noVBand="1"/>
      </w:tblPr>
      <w:tblGrid>
        <w:gridCol w:w="7366"/>
        <w:gridCol w:w="1530"/>
      </w:tblGrid>
      <w:tr w:rsidR="0099588E" w:rsidRPr="00F33EC2" w14:paraId="25F9A257" w14:textId="77777777" w:rsidTr="003C04CC">
        <w:tc>
          <w:tcPr>
            <w:tcW w:w="7366" w:type="dxa"/>
            <w:vAlign w:val="center"/>
          </w:tcPr>
          <w:p w14:paraId="3B2DA20D" w14:textId="1283C4D2" w:rsidR="0099588E" w:rsidRPr="003C04CC" w:rsidRDefault="0099588E" w:rsidP="000F491E">
            <w:pPr>
              <w:rPr>
                <w:rFonts w:cstheme="minorHAnsi"/>
                <w:bCs/>
                <w:sz w:val="20"/>
              </w:rPr>
            </w:pPr>
            <w:r>
              <w:rPr>
                <w:rFonts w:cstheme="minorHAnsi"/>
                <w:bCs/>
                <w:sz w:val="20"/>
              </w:rPr>
              <w:t xml:space="preserve">APPENDIX 1 </w:t>
            </w:r>
            <w:r w:rsidR="000D4504">
              <w:rPr>
                <w:rFonts w:cstheme="minorHAnsi"/>
                <w:bCs/>
                <w:sz w:val="20"/>
              </w:rPr>
              <w:t>- List</w:t>
            </w:r>
            <w:r>
              <w:rPr>
                <w:rFonts w:cstheme="minorHAnsi"/>
                <w:bCs/>
                <w:sz w:val="20"/>
              </w:rPr>
              <w:t xml:space="preserve"> of Goods</w:t>
            </w:r>
          </w:p>
        </w:tc>
        <w:tc>
          <w:tcPr>
            <w:tcW w:w="1530" w:type="dxa"/>
            <w:vMerge w:val="restart"/>
            <w:vAlign w:val="center"/>
          </w:tcPr>
          <w:p w14:paraId="60AE9E3E" w14:textId="5C4D5521" w:rsidR="0099588E" w:rsidRPr="00F33EC2" w:rsidRDefault="0099588E" w:rsidP="000F491E">
            <w:pPr>
              <w:jc w:val="center"/>
              <w:rPr>
                <w:rFonts w:cstheme="minorHAnsi"/>
              </w:rPr>
            </w:pPr>
            <w:r>
              <w:rPr>
                <w:color w:val="FF0000"/>
              </w:rPr>
              <w:t>Available as a separate file via Sell2Wales</w:t>
            </w:r>
          </w:p>
        </w:tc>
      </w:tr>
      <w:tr w:rsidR="0099588E" w:rsidRPr="00F33EC2" w14:paraId="02E9C594" w14:textId="77777777" w:rsidTr="003C04CC">
        <w:tc>
          <w:tcPr>
            <w:tcW w:w="7366" w:type="dxa"/>
            <w:vAlign w:val="center"/>
          </w:tcPr>
          <w:p w14:paraId="465035E8" w14:textId="433EFF13" w:rsidR="0099588E" w:rsidRPr="003C04CC" w:rsidRDefault="0099588E" w:rsidP="000F491E">
            <w:pPr>
              <w:rPr>
                <w:rFonts w:cstheme="minorHAnsi"/>
                <w:bCs/>
                <w:sz w:val="20"/>
              </w:rPr>
            </w:pPr>
            <w:r>
              <w:rPr>
                <w:rFonts w:cstheme="minorHAnsi"/>
                <w:bCs/>
                <w:sz w:val="20"/>
              </w:rPr>
              <w:t xml:space="preserve">APPENDIX 2 – List of Authorised </w:t>
            </w:r>
            <w:proofErr w:type="spellStart"/>
            <w:r>
              <w:rPr>
                <w:rFonts w:cstheme="minorHAnsi"/>
                <w:bCs/>
                <w:sz w:val="20"/>
              </w:rPr>
              <w:t>Orderers</w:t>
            </w:r>
            <w:proofErr w:type="spellEnd"/>
            <w:r>
              <w:rPr>
                <w:rFonts w:cstheme="minorHAnsi"/>
                <w:bCs/>
                <w:sz w:val="20"/>
              </w:rPr>
              <w:t xml:space="preserve"> </w:t>
            </w:r>
          </w:p>
        </w:tc>
        <w:tc>
          <w:tcPr>
            <w:tcW w:w="1530" w:type="dxa"/>
            <w:vMerge/>
            <w:vAlign w:val="center"/>
          </w:tcPr>
          <w:p w14:paraId="0E30D861" w14:textId="77777777" w:rsidR="0099588E" w:rsidRPr="00F33EC2" w:rsidRDefault="0099588E" w:rsidP="000F491E">
            <w:pPr>
              <w:jc w:val="center"/>
              <w:rPr>
                <w:rFonts w:cstheme="minorHAnsi"/>
              </w:rPr>
            </w:pPr>
          </w:p>
        </w:tc>
      </w:tr>
      <w:tr w:rsidR="0099588E" w:rsidRPr="00F33EC2" w14:paraId="7A063B6B" w14:textId="77777777" w:rsidTr="003C04CC">
        <w:tc>
          <w:tcPr>
            <w:tcW w:w="7366" w:type="dxa"/>
            <w:vAlign w:val="center"/>
          </w:tcPr>
          <w:p w14:paraId="7D2A9CF5" w14:textId="3E323C67" w:rsidR="0099588E" w:rsidRPr="003C04CC" w:rsidRDefault="0099588E" w:rsidP="000F491E">
            <w:pPr>
              <w:rPr>
                <w:rFonts w:cstheme="minorHAnsi"/>
                <w:bCs/>
                <w:sz w:val="20"/>
              </w:rPr>
            </w:pPr>
            <w:r>
              <w:rPr>
                <w:rFonts w:cstheme="minorHAnsi"/>
                <w:bCs/>
                <w:sz w:val="20"/>
              </w:rPr>
              <w:t xml:space="preserve">APPENDIX 3 – </w:t>
            </w:r>
            <w:r>
              <w:t>College site visitor and delivery rules (to be issued at contract start).</w:t>
            </w:r>
          </w:p>
        </w:tc>
        <w:tc>
          <w:tcPr>
            <w:tcW w:w="1530" w:type="dxa"/>
            <w:vMerge/>
            <w:vAlign w:val="center"/>
          </w:tcPr>
          <w:p w14:paraId="66D44FCC" w14:textId="77777777" w:rsidR="0099588E" w:rsidRPr="00F33EC2" w:rsidRDefault="0099588E" w:rsidP="000F491E">
            <w:pPr>
              <w:jc w:val="center"/>
              <w:rPr>
                <w:rFonts w:cstheme="minorHAnsi"/>
              </w:rPr>
            </w:pPr>
          </w:p>
        </w:tc>
      </w:tr>
      <w:tr w:rsidR="0099588E" w:rsidRPr="00F33EC2" w14:paraId="3250BF73" w14:textId="77777777" w:rsidTr="003C04CC">
        <w:tc>
          <w:tcPr>
            <w:tcW w:w="7366" w:type="dxa"/>
            <w:vAlign w:val="center"/>
          </w:tcPr>
          <w:p w14:paraId="61B2ACC4" w14:textId="173FC32C" w:rsidR="0099588E" w:rsidRPr="003C04CC" w:rsidRDefault="007C1734" w:rsidP="000F491E">
            <w:pPr>
              <w:rPr>
                <w:rFonts w:cstheme="minorHAnsi"/>
                <w:bCs/>
                <w:sz w:val="20"/>
              </w:rPr>
            </w:pPr>
            <w:r>
              <w:rPr>
                <w:rFonts w:cstheme="minorHAnsi"/>
                <w:bCs/>
                <w:sz w:val="20"/>
              </w:rPr>
              <w:t xml:space="preserve">Appendix 4 - </w:t>
            </w:r>
            <w:r>
              <w:t>Cost centre and account code list (to be issued at contract start).</w:t>
            </w:r>
          </w:p>
        </w:tc>
        <w:tc>
          <w:tcPr>
            <w:tcW w:w="1530" w:type="dxa"/>
            <w:vMerge/>
            <w:vAlign w:val="center"/>
          </w:tcPr>
          <w:p w14:paraId="1E9AC3A8" w14:textId="77777777" w:rsidR="0099588E" w:rsidRPr="00F33EC2" w:rsidRDefault="0099588E" w:rsidP="000F491E">
            <w:pPr>
              <w:jc w:val="center"/>
              <w:rPr>
                <w:rFonts w:cstheme="minorHAnsi"/>
              </w:rPr>
            </w:pPr>
          </w:p>
        </w:tc>
      </w:tr>
    </w:tbl>
    <w:p w14:paraId="635598D1" w14:textId="774F1453" w:rsidR="0049636B" w:rsidRDefault="0049636B" w:rsidP="1660CAE6">
      <w:pPr>
        <w:spacing w:after="0" w:line="360" w:lineRule="auto"/>
        <w:rPr>
          <w:b/>
          <w:bCs/>
          <w:lang w:val="en-US"/>
        </w:rPr>
      </w:pPr>
    </w:p>
    <w:p w14:paraId="7FBB8770" w14:textId="77777777" w:rsidR="00055E67" w:rsidRPr="00055E67" w:rsidRDefault="00055E67" w:rsidP="00055E67">
      <w:pPr>
        <w:rPr>
          <w:rFonts w:ascii="Arial" w:hAnsi="Arial" w:cs="Arial"/>
          <w:sz w:val="24"/>
          <w:szCs w:val="24"/>
          <w:lang w:val="en-US"/>
        </w:rPr>
      </w:pPr>
    </w:p>
    <w:p w14:paraId="16D270D6" w14:textId="77777777" w:rsidR="00A05528" w:rsidRPr="00695BBD" w:rsidRDefault="00A05528">
      <w:pPr>
        <w:rPr>
          <w:rFonts w:ascii="Arial" w:hAnsi="Arial" w:cs="Arial"/>
          <w:sz w:val="24"/>
          <w:szCs w:val="24"/>
        </w:rPr>
      </w:pPr>
    </w:p>
    <w:sectPr w:rsidR="00A05528" w:rsidRPr="00695BBD" w:rsidSect="008F48C8">
      <w:headerReference w:type="default" r:id="rId11"/>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1C6E" w14:textId="77777777" w:rsidR="007E491A" w:rsidRDefault="007E491A" w:rsidP="0049636B">
      <w:pPr>
        <w:spacing w:after="0" w:line="240" w:lineRule="auto"/>
      </w:pPr>
      <w:r>
        <w:separator/>
      </w:r>
    </w:p>
  </w:endnote>
  <w:endnote w:type="continuationSeparator" w:id="0">
    <w:p w14:paraId="589E8F9B" w14:textId="77777777" w:rsidR="007E491A" w:rsidRDefault="007E491A" w:rsidP="0049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4D62" w14:textId="653A464D" w:rsidR="00997CAA" w:rsidRPr="0049636B" w:rsidRDefault="00997CAA" w:rsidP="2EEBCBF3">
    <w:pPr>
      <w:pStyle w:val="Footer"/>
      <w:rPr>
        <w:sz w:val="20"/>
        <w:szCs w:val="20"/>
      </w:rPr>
    </w:pPr>
    <w:r w:rsidRPr="2EF3F77F">
      <w:rPr>
        <w:sz w:val="20"/>
        <w:szCs w:val="20"/>
      </w:rPr>
      <w:t>PC2526/00</w:t>
    </w:r>
    <w:r>
      <w:rPr>
        <w:sz w:val="20"/>
        <w:szCs w:val="20"/>
      </w:rPr>
      <w:t>8</w:t>
    </w:r>
    <w:r w:rsidRPr="2EF3F77F">
      <w:rPr>
        <w:sz w:val="20"/>
        <w:szCs w:val="20"/>
      </w:rPr>
      <w:t>. Document 2 – Tender Specification</w:t>
    </w:r>
  </w:p>
  <w:p w14:paraId="3DCBEFDB" w14:textId="569B3C3F" w:rsidR="00997CAA" w:rsidRPr="0049636B" w:rsidRDefault="00997CAA" w:rsidP="008F48C8">
    <w:pPr>
      <w:pStyle w:val="Footer"/>
      <w:jc w:val="right"/>
      <w:rPr>
        <w:sz w:val="20"/>
        <w:szCs w:val="20"/>
      </w:rPr>
    </w:pPr>
    <w:r w:rsidRPr="2EEBCBF3">
      <w:rPr>
        <w:sz w:val="20"/>
        <w:szCs w:val="20"/>
      </w:rPr>
      <w:t>Page</w:t>
    </w:r>
    <w:r>
      <w:rPr>
        <w:sz w:val="20"/>
        <w:szCs w:val="20"/>
      </w:rPr>
      <w:t xml:space="preserve"> </w:t>
    </w:r>
    <w:r w:rsidRPr="008F48C8">
      <w:rPr>
        <w:sz w:val="20"/>
        <w:szCs w:val="20"/>
      </w:rPr>
      <w:fldChar w:fldCharType="begin"/>
    </w:r>
    <w:r w:rsidRPr="008F48C8">
      <w:rPr>
        <w:sz w:val="20"/>
        <w:szCs w:val="20"/>
      </w:rPr>
      <w:instrText>PAGE   \* MERGEFORMAT</w:instrText>
    </w:r>
    <w:r w:rsidRPr="008F48C8">
      <w:rPr>
        <w:sz w:val="20"/>
        <w:szCs w:val="20"/>
      </w:rPr>
      <w:fldChar w:fldCharType="separate"/>
    </w:r>
    <w:r w:rsidRPr="008F48C8">
      <w:rPr>
        <w:sz w:val="20"/>
        <w:szCs w:val="20"/>
      </w:rPr>
      <w:t>1</w:t>
    </w:r>
    <w:r w:rsidRPr="008F48C8">
      <w:rPr>
        <w:sz w:val="20"/>
        <w:szCs w:val="20"/>
      </w:rPr>
      <w:fldChar w:fldCharType="end"/>
    </w:r>
    <w:r>
      <w:rPr>
        <w:sz w:val="20"/>
        <w:szCs w:val="20"/>
      </w:rPr>
      <w:t xml:space="preserve"> of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97CAA" w14:paraId="63E68EB5" w14:textId="77777777" w:rsidTr="0D27CBFD">
      <w:trPr>
        <w:trHeight w:val="300"/>
      </w:trPr>
      <w:tc>
        <w:tcPr>
          <w:tcW w:w="3005" w:type="dxa"/>
        </w:tcPr>
        <w:p w14:paraId="3BFCA183" w14:textId="42B93535" w:rsidR="00997CAA" w:rsidRDefault="00997CAA" w:rsidP="0D27CBFD">
          <w:pPr>
            <w:pStyle w:val="Header"/>
            <w:ind w:left="-115"/>
          </w:pPr>
        </w:p>
      </w:tc>
      <w:tc>
        <w:tcPr>
          <w:tcW w:w="3005" w:type="dxa"/>
        </w:tcPr>
        <w:p w14:paraId="49C641F9" w14:textId="3D28AE08" w:rsidR="00997CAA" w:rsidRDefault="00997CAA" w:rsidP="0D27CBFD">
          <w:pPr>
            <w:pStyle w:val="Header"/>
            <w:jc w:val="center"/>
          </w:pPr>
        </w:p>
      </w:tc>
      <w:tc>
        <w:tcPr>
          <w:tcW w:w="3005" w:type="dxa"/>
        </w:tcPr>
        <w:p w14:paraId="69BFFC45" w14:textId="743511D7" w:rsidR="00997CAA" w:rsidRDefault="00997CAA" w:rsidP="0D27CBFD">
          <w:pPr>
            <w:pStyle w:val="Header"/>
            <w:ind w:right="-115"/>
            <w:jc w:val="right"/>
          </w:pPr>
        </w:p>
      </w:tc>
    </w:tr>
  </w:tbl>
  <w:p w14:paraId="49B8DF3D" w14:textId="1BA23BE3" w:rsidR="00997CAA" w:rsidRDefault="00997CAA" w:rsidP="0D27C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56C7E" w14:textId="77777777" w:rsidR="007E491A" w:rsidRDefault="007E491A" w:rsidP="0049636B">
      <w:pPr>
        <w:spacing w:after="0" w:line="240" w:lineRule="auto"/>
      </w:pPr>
      <w:r>
        <w:separator/>
      </w:r>
    </w:p>
  </w:footnote>
  <w:footnote w:type="continuationSeparator" w:id="0">
    <w:p w14:paraId="48C6FAC3" w14:textId="77777777" w:rsidR="007E491A" w:rsidRDefault="007E491A" w:rsidP="00496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97CAA" w14:paraId="78EB02CC" w14:textId="77777777" w:rsidTr="2EEBCBF3">
      <w:trPr>
        <w:trHeight w:val="300"/>
      </w:trPr>
      <w:tc>
        <w:tcPr>
          <w:tcW w:w="3005" w:type="dxa"/>
        </w:tcPr>
        <w:p w14:paraId="06DC57A7" w14:textId="5AD6274A" w:rsidR="00997CAA" w:rsidRDefault="00997CAA" w:rsidP="2EEBCBF3">
          <w:pPr>
            <w:pStyle w:val="Header"/>
            <w:ind w:left="-115"/>
          </w:pPr>
        </w:p>
      </w:tc>
      <w:tc>
        <w:tcPr>
          <w:tcW w:w="3005" w:type="dxa"/>
        </w:tcPr>
        <w:p w14:paraId="7DB1629A" w14:textId="550EC485" w:rsidR="00997CAA" w:rsidRDefault="00997CAA" w:rsidP="2EEBCBF3">
          <w:pPr>
            <w:pStyle w:val="Header"/>
            <w:jc w:val="center"/>
          </w:pPr>
        </w:p>
      </w:tc>
      <w:tc>
        <w:tcPr>
          <w:tcW w:w="3005" w:type="dxa"/>
        </w:tcPr>
        <w:p w14:paraId="7C8E42F7" w14:textId="3890DC2D" w:rsidR="00997CAA" w:rsidRDefault="00997CAA" w:rsidP="2EEBCBF3">
          <w:pPr>
            <w:pStyle w:val="Header"/>
            <w:ind w:right="-115"/>
            <w:jc w:val="right"/>
          </w:pPr>
        </w:p>
      </w:tc>
    </w:tr>
  </w:tbl>
  <w:p w14:paraId="531972F3" w14:textId="18C0D6B4" w:rsidR="00997CAA" w:rsidRDefault="00997CAA" w:rsidP="2EEBC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97CAA" w14:paraId="55CD9EAE" w14:textId="77777777" w:rsidTr="2EEBCBF3">
      <w:trPr>
        <w:trHeight w:val="300"/>
      </w:trPr>
      <w:tc>
        <w:tcPr>
          <w:tcW w:w="3005" w:type="dxa"/>
        </w:tcPr>
        <w:p w14:paraId="168B96B3" w14:textId="7B7E5370" w:rsidR="00997CAA" w:rsidRDefault="00997CAA" w:rsidP="2EEBCBF3">
          <w:pPr>
            <w:pStyle w:val="Header"/>
            <w:ind w:left="-115"/>
          </w:pPr>
        </w:p>
      </w:tc>
      <w:tc>
        <w:tcPr>
          <w:tcW w:w="3005" w:type="dxa"/>
        </w:tcPr>
        <w:p w14:paraId="6C28328E" w14:textId="6B810CAC" w:rsidR="00997CAA" w:rsidRDefault="00997CAA" w:rsidP="2EEBCBF3">
          <w:pPr>
            <w:pStyle w:val="Header"/>
            <w:jc w:val="center"/>
          </w:pPr>
        </w:p>
      </w:tc>
      <w:tc>
        <w:tcPr>
          <w:tcW w:w="3005" w:type="dxa"/>
        </w:tcPr>
        <w:p w14:paraId="07C62C36" w14:textId="3CD7EA9B" w:rsidR="00997CAA" w:rsidRDefault="00997CAA" w:rsidP="2EEBCBF3">
          <w:pPr>
            <w:pStyle w:val="Header"/>
            <w:ind w:right="-115"/>
            <w:jc w:val="right"/>
          </w:pPr>
        </w:p>
      </w:tc>
    </w:tr>
  </w:tbl>
  <w:p w14:paraId="36429A4D" w14:textId="6F0674EB" w:rsidR="00997CAA" w:rsidRDefault="00997CAA" w:rsidP="2EEBC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73B6C"/>
    <w:multiLevelType w:val="multilevel"/>
    <w:tmpl w:val="D83CF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9F747E"/>
    <w:multiLevelType w:val="hybridMultilevel"/>
    <w:tmpl w:val="C666D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F1E32"/>
    <w:multiLevelType w:val="multilevel"/>
    <w:tmpl w:val="54604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791570E"/>
    <w:multiLevelType w:val="multilevel"/>
    <w:tmpl w:val="1EC4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91BE4"/>
    <w:multiLevelType w:val="multilevel"/>
    <w:tmpl w:val="6FB00CCE"/>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371A53"/>
    <w:multiLevelType w:val="hybridMultilevel"/>
    <w:tmpl w:val="35F8EC8A"/>
    <w:lvl w:ilvl="0" w:tplc="2116AC62">
      <w:start w:val="1"/>
      <w:numFmt w:val="bullet"/>
      <w:lvlText w:val="•"/>
      <w:lvlJc w:val="left"/>
      <w:pPr>
        <w:ind w:left="720" w:hanging="360"/>
      </w:pPr>
    </w:lvl>
    <w:lvl w:ilvl="1" w:tplc="C1DED950">
      <w:numFmt w:val="decimal"/>
      <w:lvlText w:val=""/>
      <w:lvlJc w:val="left"/>
      <w:pPr>
        <w:ind w:left="0" w:firstLine="0"/>
      </w:pPr>
    </w:lvl>
    <w:lvl w:ilvl="2" w:tplc="7A34B27A">
      <w:numFmt w:val="decimal"/>
      <w:lvlText w:val=""/>
      <w:lvlJc w:val="left"/>
      <w:pPr>
        <w:ind w:left="0" w:firstLine="0"/>
      </w:pPr>
    </w:lvl>
    <w:lvl w:ilvl="3" w:tplc="9A6E1206">
      <w:numFmt w:val="decimal"/>
      <w:lvlText w:val=""/>
      <w:lvlJc w:val="left"/>
      <w:pPr>
        <w:ind w:left="0" w:firstLine="0"/>
      </w:pPr>
    </w:lvl>
    <w:lvl w:ilvl="4" w:tplc="E4C4BBA0">
      <w:numFmt w:val="decimal"/>
      <w:lvlText w:val=""/>
      <w:lvlJc w:val="left"/>
      <w:pPr>
        <w:ind w:left="0" w:firstLine="0"/>
      </w:pPr>
    </w:lvl>
    <w:lvl w:ilvl="5" w:tplc="75908D42">
      <w:numFmt w:val="decimal"/>
      <w:lvlText w:val=""/>
      <w:lvlJc w:val="left"/>
      <w:pPr>
        <w:ind w:left="0" w:firstLine="0"/>
      </w:pPr>
    </w:lvl>
    <w:lvl w:ilvl="6" w:tplc="85824882">
      <w:numFmt w:val="decimal"/>
      <w:lvlText w:val=""/>
      <w:lvlJc w:val="left"/>
      <w:pPr>
        <w:ind w:left="0" w:firstLine="0"/>
      </w:pPr>
    </w:lvl>
    <w:lvl w:ilvl="7" w:tplc="24D8B5DA">
      <w:numFmt w:val="decimal"/>
      <w:lvlText w:val=""/>
      <w:lvlJc w:val="left"/>
      <w:pPr>
        <w:ind w:left="0" w:firstLine="0"/>
      </w:pPr>
    </w:lvl>
    <w:lvl w:ilvl="8" w:tplc="E2FC8DAA">
      <w:numFmt w:val="decimal"/>
      <w:lvlText w:val=""/>
      <w:lvlJc w:val="left"/>
      <w:pPr>
        <w:ind w:left="0" w:firstLine="0"/>
      </w:pPr>
    </w:lvl>
  </w:abstractNum>
  <w:abstractNum w:abstractNumId="6" w15:restartNumberingAfterBreak="0">
    <w:nsid w:val="2B20227B"/>
    <w:multiLevelType w:val="multilevel"/>
    <w:tmpl w:val="12CC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26D9E"/>
    <w:multiLevelType w:val="multilevel"/>
    <w:tmpl w:val="48CE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B6594"/>
    <w:multiLevelType w:val="multilevel"/>
    <w:tmpl w:val="706664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676656B"/>
    <w:multiLevelType w:val="hybridMultilevel"/>
    <w:tmpl w:val="1578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95043"/>
    <w:multiLevelType w:val="multilevel"/>
    <w:tmpl w:val="D1C631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2"/>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8F10848"/>
    <w:multiLevelType w:val="multilevel"/>
    <w:tmpl w:val="E7FA07BE"/>
    <w:lvl w:ilvl="0">
      <w:start w:val="3"/>
      <w:numFmt w:val="bullet"/>
      <w:lvlText w:val="⮚"/>
      <w:lvlJc w:val="left"/>
      <w:pPr>
        <w:ind w:left="644" w:hanging="357"/>
      </w:pPr>
      <w:rPr>
        <w:rFonts w:ascii="Noto Sans Symbols" w:eastAsia="Noto Sans Symbols" w:hAnsi="Noto Sans Symbols" w:cs="Noto Sans Symbols"/>
        <w:b/>
        <w:bC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2" w15:restartNumberingAfterBreak="0">
    <w:nsid w:val="4BA120DC"/>
    <w:multiLevelType w:val="multilevel"/>
    <w:tmpl w:val="A56E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40DBA"/>
    <w:multiLevelType w:val="multilevel"/>
    <w:tmpl w:val="2C88DC0A"/>
    <w:lvl w:ilvl="0">
      <w:start w:val="1"/>
      <w:numFmt w:val="decimal"/>
      <w:pStyle w:val="Heading1"/>
      <w:lvlText w:val="%1."/>
      <w:lvlJc w:val="left"/>
      <w:pPr>
        <w:ind w:left="432" w:hanging="432"/>
      </w:pPr>
      <w:rPr>
        <w:rFonts w:asciiTheme="minorHAnsi" w:hAnsiTheme="minorHAnsi" w:cstheme="minorHAnsi" w:hint="default"/>
        <w:sz w:val="24"/>
        <w:szCs w:val="24"/>
      </w:rPr>
    </w:lvl>
    <w:lvl w:ilvl="1">
      <w:start w:val="1"/>
      <w:numFmt w:val="decimal"/>
      <w:pStyle w:val="Heading2"/>
      <w:lvlText w:val="%1.%2"/>
      <w:lvlJc w:val="left"/>
      <w:pPr>
        <w:ind w:left="1002" w:hanging="576"/>
      </w:pPr>
      <w:rPr>
        <w:rFonts w:asciiTheme="minorHAnsi" w:hAnsiTheme="minorHAnsi" w:cstheme="minorHAnsi" w:hint="default"/>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D1D29B2"/>
    <w:multiLevelType w:val="hybridMultilevel"/>
    <w:tmpl w:val="BD54C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DD437D"/>
    <w:multiLevelType w:val="hybridMultilevel"/>
    <w:tmpl w:val="9544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FB748F"/>
    <w:multiLevelType w:val="hybridMultilevel"/>
    <w:tmpl w:val="E35E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B055D"/>
    <w:multiLevelType w:val="multilevel"/>
    <w:tmpl w:val="D934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3278A1"/>
    <w:multiLevelType w:val="multilevel"/>
    <w:tmpl w:val="3962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3B35FD"/>
    <w:multiLevelType w:val="multilevel"/>
    <w:tmpl w:val="D186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002167"/>
    <w:multiLevelType w:val="hybridMultilevel"/>
    <w:tmpl w:val="58D66D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B755889"/>
    <w:multiLevelType w:val="hybridMultilevel"/>
    <w:tmpl w:val="B404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C96839"/>
    <w:multiLevelType w:val="multilevel"/>
    <w:tmpl w:val="50122B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5F6489"/>
    <w:multiLevelType w:val="multilevel"/>
    <w:tmpl w:val="2A0C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94418E"/>
    <w:multiLevelType w:val="multilevel"/>
    <w:tmpl w:val="47BA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831C55"/>
    <w:multiLevelType w:val="multilevel"/>
    <w:tmpl w:val="4218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5F6AC0"/>
    <w:multiLevelType w:val="multilevel"/>
    <w:tmpl w:val="45DE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408142">
    <w:abstractNumId w:val="13"/>
  </w:num>
  <w:num w:numId="2" w16cid:durableId="59182695">
    <w:abstractNumId w:val="5"/>
  </w:num>
  <w:num w:numId="3" w16cid:durableId="2111587157">
    <w:abstractNumId w:val="12"/>
  </w:num>
  <w:num w:numId="4" w16cid:durableId="1590889809">
    <w:abstractNumId w:val="7"/>
  </w:num>
  <w:num w:numId="5" w16cid:durableId="278536505">
    <w:abstractNumId w:val="9"/>
  </w:num>
  <w:num w:numId="6" w16cid:durableId="1934438880">
    <w:abstractNumId w:val="19"/>
  </w:num>
  <w:num w:numId="7" w16cid:durableId="289170220">
    <w:abstractNumId w:val="14"/>
  </w:num>
  <w:num w:numId="8" w16cid:durableId="2024086092">
    <w:abstractNumId w:val="1"/>
  </w:num>
  <w:num w:numId="9" w16cid:durableId="1466237792">
    <w:abstractNumId w:val="24"/>
  </w:num>
  <w:num w:numId="10" w16cid:durableId="872112562">
    <w:abstractNumId w:val="23"/>
  </w:num>
  <w:num w:numId="11" w16cid:durableId="1042512927">
    <w:abstractNumId w:val="26"/>
  </w:num>
  <w:num w:numId="12" w16cid:durableId="1137146249">
    <w:abstractNumId w:val="6"/>
  </w:num>
  <w:num w:numId="13" w16cid:durableId="643702701">
    <w:abstractNumId w:val="17"/>
  </w:num>
  <w:num w:numId="14" w16cid:durableId="1695888040">
    <w:abstractNumId w:val="2"/>
  </w:num>
  <w:num w:numId="15" w16cid:durableId="1829516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5629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8000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7358668">
    <w:abstractNumId w:val="16"/>
  </w:num>
  <w:num w:numId="19" w16cid:durableId="59645792">
    <w:abstractNumId w:val="15"/>
  </w:num>
  <w:num w:numId="20" w16cid:durableId="191651415">
    <w:abstractNumId w:val="22"/>
  </w:num>
  <w:num w:numId="21" w16cid:durableId="1695879277">
    <w:abstractNumId w:val="0"/>
  </w:num>
  <w:num w:numId="22" w16cid:durableId="342130599">
    <w:abstractNumId w:val="4"/>
  </w:num>
  <w:num w:numId="23" w16cid:durableId="306782393">
    <w:abstractNumId w:val="10"/>
  </w:num>
  <w:num w:numId="24" w16cid:durableId="1432824525">
    <w:abstractNumId w:val="8"/>
  </w:num>
  <w:num w:numId="25" w16cid:durableId="1424299792">
    <w:abstractNumId w:val="25"/>
  </w:num>
  <w:num w:numId="26" w16cid:durableId="917907706">
    <w:abstractNumId w:val="18"/>
  </w:num>
  <w:num w:numId="27" w16cid:durableId="11422430">
    <w:abstractNumId w:val="21"/>
  </w:num>
  <w:num w:numId="28" w16cid:durableId="1626429781">
    <w:abstractNumId w:val="20"/>
  </w:num>
  <w:num w:numId="29" w16cid:durableId="624585134">
    <w:abstractNumId w:val="3"/>
  </w:num>
  <w:num w:numId="30" w16cid:durableId="45333008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67"/>
    <w:rsid w:val="00021FF0"/>
    <w:rsid w:val="00050F57"/>
    <w:rsid w:val="00051D82"/>
    <w:rsid w:val="00055E67"/>
    <w:rsid w:val="0005717E"/>
    <w:rsid w:val="00067720"/>
    <w:rsid w:val="00072B95"/>
    <w:rsid w:val="00080136"/>
    <w:rsid w:val="00082F74"/>
    <w:rsid w:val="00095640"/>
    <w:rsid w:val="000B358B"/>
    <w:rsid w:val="000B6129"/>
    <w:rsid w:val="000C372C"/>
    <w:rsid w:val="000C5373"/>
    <w:rsid w:val="000C6D2B"/>
    <w:rsid w:val="000D339C"/>
    <w:rsid w:val="000D4504"/>
    <w:rsid w:val="000F1F08"/>
    <w:rsid w:val="000F491E"/>
    <w:rsid w:val="00114DBF"/>
    <w:rsid w:val="00121C78"/>
    <w:rsid w:val="0014484E"/>
    <w:rsid w:val="001626BA"/>
    <w:rsid w:val="0017439E"/>
    <w:rsid w:val="0019379D"/>
    <w:rsid w:val="001B4C2E"/>
    <w:rsid w:val="001D3209"/>
    <w:rsid w:val="001F4C79"/>
    <w:rsid w:val="0020639B"/>
    <w:rsid w:val="002206B2"/>
    <w:rsid w:val="00233CBA"/>
    <w:rsid w:val="002348CE"/>
    <w:rsid w:val="00264F78"/>
    <w:rsid w:val="00267A27"/>
    <w:rsid w:val="0028583F"/>
    <w:rsid w:val="002918B9"/>
    <w:rsid w:val="0029338E"/>
    <w:rsid w:val="002A59EC"/>
    <w:rsid w:val="002A7E41"/>
    <w:rsid w:val="002B1893"/>
    <w:rsid w:val="002C4D42"/>
    <w:rsid w:val="002D2240"/>
    <w:rsid w:val="002E6424"/>
    <w:rsid w:val="002F7CD0"/>
    <w:rsid w:val="00300FF0"/>
    <w:rsid w:val="00314454"/>
    <w:rsid w:val="003158E4"/>
    <w:rsid w:val="00320E77"/>
    <w:rsid w:val="003324A8"/>
    <w:rsid w:val="0034527E"/>
    <w:rsid w:val="00351702"/>
    <w:rsid w:val="0035183E"/>
    <w:rsid w:val="00366D01"/>
    <w:rsid w:val="003931A5"/>
    <w:rsid w:val="003C04CC"/>
    <w:rsid w:val="003C1A07"/>
    <w:rsid w:val="003C6695"/>
    <w:rsid w:val="003D3DC3"/>
    <w:rsid w:val="003E7E45"/>
    <w:rsid w:val="003F5FC2"/>
    <w:rsid w:val="003F7811"/>
    <w:rsid w:val="00454289"/>
    <w:rsid w:val="00457392"/>
    <w:rsid w:val="00463A94"/>
    <w:rsid w:val="00484FCF"/>
    <w:rsid w:val="0048571C"/>
    <w:rsid w:val="0049636B"/>
    <w:rsid w:val="00497399"/>
    <w:rsid w:val="004A57C2"/>
    <w:rsid w:val="004B1CDA"/>
    <w:rsid w:val="004B2F60"/>
    <w:rsid w:val="004B329A"/>
    <w:rsid w:val="004B3511"/>
    <w:rsid w:val="004B550B"/>
    <w:rsid w:val="004C01F3"/>
    <w:rsid w:val="004C652F"/>
    <w:rsid w:val="005040D8"/>
    <w:rsid w:val="00511DBD"/>
    <w:rsid w:val="00525420"/>
    <w:rsid w:val="00542319"/>
    <w:rsid w:val="00546FF1"/>
    <w:rsid w:val="00552BD9"/>
    <w:rsid w:val="005612FF"/>
    <w:rsid w:val="00570740"/>
    <w:rsid w:val="00576AF8"/>
    <w:rsid w:val="0059765B"/>
    <w:rsid w:val="005B64A7"/>
    <w:rsid w:val="005E296C"/>
    <w:rsid w:val="00614DC5"/>
    <w:rsid w:val="00631637"/>
    <w:rsid w:val="00662480"/>
    <w:rsid w:val="00662EC9"/>
    <w:rsid w:val="00673C5F"/>
    <w:rsid w:val="00676961"/>
    <w:rsid w:val="00682C9E"/>
    <w:rsid w:val="00695BBD"/>
    <w:rsid w:val="006C5627"/>
    <w:rsid w:val="006D5924"/>
    <w:rsid w:val="006E2422"/>
    <w:rsid w:val="006E7956"/>
    <w:rsid w:val="006F0692"/>
    <w:rsid w:val="0070672F"/>
    <w:rsid w:val="00725C8F"/>
    <w:rsid w:val="00742270"/>
    <w:rsid w:val="007438C6"/>
    <w:rsid w:val="007650D1"/>
    <w:rsid w:val="00767062"/>
    <w:rsid w:val="007679D7"/>
    <w:rsid w:val="00781C0B"/>
    <w:rsid w:val="007A066B"/>
    <w:rsid w:val="007B49ED"/>
    <w:rsid w:val="007C0AF9"/>
    <w:rsid w:val="007C1734"/>
    <w:rsid w:val="007C2EA3"/>
    <w:rsid w:val="007C7B38"/>
    <w:rsid w:val="007D13C4"/>
    <w:rsid w:val="007E491A"/>
    <w:rsid w:val="008033BB"/>
    <w:rsid w:val="00807DAE"/>
    <w:rsid w:val="008301C7"/>
    <w:rsid w:val="00831CF2"/>
    <w:rsid w:val="008401CA"/>
    <w:rsid w:val="008428EA"/>
    <w:rsid w:val="00846E68"/>
    <w:rsid w:val="00854909"/>
    <w:rsid w:val="00875A29"/>
    <w:rsid w:val="00877361"/>
    <w:rsid w:val="0088474F"/>
    <w:rsid w:val="008851E5"/>
    <w:rsid w:val="008E7A06"/>
    <w:rsid w:val="008F2E21"/>
    <w:rsid w:val="008F48C8"/>
    <w:rsid w:val="00901B33"/>
    <w:rsid w:val="009078A3"/>
    <w:rsid w:val="00913F5A"/>
    <w:rsid w:val="00924055"/>
    <w:rsid w:val="009309E2"/>
    <w:rsid w:val="009529C5"/>
    <w:rsid w:val="00963BC3"/>
    <w:rsid w:val="00966BE2"/>
    <w:rsid w:val="009820D5"/>
    <w:rsid w:val="009856F0"/>
    <w:rsid w:val="0099588E"/>
    <w:rsid w:val="00997CAA"/>
    <w:rsid w:val="009A06D6"/>
    <w:rsid w:val="009A474E"/>
    <w:rsid w:val="009B1DA8"/>
    <w:rsid w:val="009B1F6C"/>
    <w:rsid w:val="009C761A"/>
    <w:rsid w:val="009F68EA"/>
    <w:rsid w:val="00A05528"/>
    <w:rsid w:val="00A1645C"/>
    <w:rsid w:val="00A166AA"/>
    <w:rsid w:val="00A2224B"/>
    <w:rsid w:val="00A24587"/>
    <w:rsid w:val="00A32EE3"/>
    <w:rsid w:val="00A46784"/>
    <w:rsid w:val="00A47C90"/>
    <w:rsid w:val="00A5574A"/>
    <w:rsid w:val="00A81EF1"/>
    <w:rsid w:val="00AC3E8D"/>
    <w:rsid w:val="00AD46CF"/>
    <w:rsid w:val="00AE71B5"/>
    <w:rsid w:val="00AF116E"/>
    <w:rsid w:val="00B07F45"/>
    <w:rsid w:val="00B1670F"/>
    <w:rsid w:val="00B170F3"/>
    <w:rsid w:val="00B34030"/>
    <w:rsid w:val="00B4725D"/>
    <w:rsid w:val="00B72995"/>
    <w:rsid w:val="00B906FD"/>
    <w:rsid w:val="00B9177D"/>
    <w:rsid w:val="00BA517A"/>
    <w:rsid w:val="00BB2DB2"/>
    <w:rsid w:val="00BF228A"/>
    <w:rsid w:val="00C03A1F"/>
    <w:rsid w:val="00C03C21"/>
    <w:rsid w:val="00C1613F"/>
    <w:rsid w:val="00C33274"/>
    <w:rsid w:val="00C44DA9"/>
    <w:rsid w:val="00C45824"/>
    <w:rsid w:val="00C56CCE"/>
    <w:rsid w:val="00C611DA"/>
    <w:rsid w:val="00C73994"/>
    <w:rsid w:val="00C73A8A"/>
    <w:rsid w:val="00C96DE7"/>
    <w:rsid w:val="00D37983"/>
    <w:rsid w:val="00D379A6"/>
    <w:rsid w:val="00D519B4"/>
    <w:rsid w:val="00D53C37"/>
    <w:rsid w:val="00DA432D"/>
    <w:rsid w:val="00DB40D9"/>
    <w:rsid w:val="00DD32F8"/>
    <w:rsid w:val="00DF7154"/>
    <w:rsid w:val="00E06C56"/>
    <w:rsid w:val="00E130A5"/>
    <w:rsid w:val="00E20408"/>
    <w:rsid w:val="00E23EC9"/>
    <w:rsid w:val="00E42AC7"/>
    <w:rsid w:val="00E44E20"/>
    <w:rsid w:val="00E56BDD"/>
    <w:rsid w:val="00E806C3"/>
    <w:rsid w:val="00EA2576"/>
    <w:rsid w:val="00EA49FD"/>
    <w:rsid w:val="00EC3B92"/>
    <w:rsid w:val="00ED7DC1"/>
    <w:rsid w:val="00F02D5B"/>
    <w:rsid w:val="00F2230E"/>
    <w:rsid w:val="00F44426"/>
    <w:rsid w:val="00F464F2"/>
    <w:rsid w:val="00F6556A"/>
    <w:rsid w:val="00F87E38"/>
    <w:rsid w:val="00F87EEB"/>
    <w:rsid w:val="00F93EC4"/>
    <w:rsid w:val="00FA0CEF"/>
    <w:rsid w:val="00FB7711"/>
    <w:rsid w:val="00FC3960"/>
    <w:rsid w:val="00FC6603"/>
    <w:rsid w:val="00FE204F"/>
    <w:rsid w:val="00FF3BC7"/>
    <w:rsid w:val="0AE4C364"/>
    <w:rsid w:val="0D27CBFD"/>
    <w:rsid w:val="1093C403"/>
    <w:rsid w:val="10E6DBEA"/>
    <w:rsid w:val="11A3E95B"/>
    <w:rsid w:val="154459A0"/>
    <w:rsid w:val="1660CAE6"/>
    <w:rsid w:val="178A9332"/>
    <w:rsid w:val="1920580F"/>
    <w:rsid w:val="19A1565C"/>
    <w:rsid w:val="19F32D18"/>
    <w:rsid w:val="1A9721C1"/>
    <w:rsid w:val="1E0025AD"/>
    <w:rsid w:val="1F57C605"/>
    <w:rsid w:val="23DDBB76"/>
    <w:rsid w:val="2698A222"/>
    <w:rsid w:val="28B74A04"/>
    <w:rsid w:val="29C12893"/>
    <w:rsid w:val="2BA8C14B"/>
    <w:rsid w:val="2E5F1B41"/>
    <w:rsid w:val="2EEBCBF3"/>
    <w:rsid w:val="2EF3F77F"/>
    <w:rsid w:val="2FF75E3E"/>
    <w:rsid w:val="32AA1EB6"/>
    <w:rsid w:val="37090F36"/>
    <w:rsid w:val="390EA2FF"/>
    <w:rsid w:val="3B676073"/>
    <w:rsid w:val="3C729EA8"/>
    <w:rsid w:val="401C8190"/>
    <w:rsid w:val="432E4108"/>
    <w:rsid w:val="44B4D657"/>
    <w:rsid w:val="4777F32F"/>
    <w:rsid w:val="4CB11F6E"/>
    <w:rsid w:val="4D44F1D8"/>
    <w:rsid w:val="4F54D364"/>
    <w:rsid w:val="4FFD8017"/>
    <w:rsid w:val="508679DF"/>
    <w:rsid w:val="50EF17AA"/>
    <w:rsid w:val="531F5AF9"/>
    <w:rsid w:val="580B97D7"/>
    <w:rsid w:val="5852F926"/>
    <w:rsid w:val="5C9A7E16"/>
    <w:rsid w:val="6041AFB1"/>
    <w:rsid w:val="61D20FBF"/>
    <w:rsid w:val="61E4FBE9"/>
    <w:rsid w:val="63F6F0E8"/>
    <w:rsid w:val="64CA7062"/>
    <w:rsid w:val="6728512C"/>
    <w:rsid w:val="6A66D9F8"/>
    <w:rsid w:val="6FEEC7BA"/>
    <w:rsid w:val="703FD675"/>
    <w:rsid w:val="706E860A"/>
    <w:rsid w:val="7076E42E"/>
    <w:rsid w:val="73389DF9"/>
    <w:rsid w:val="736654FF"/>
    <w:rsid w:val="7BC59BAC"/>
    <w:rsid w:val="7BFA814C"/>
    <w:rsid w:val="7CC06CB3"/>
    <w:rsid w:val="7D24BC4F"/>
    <w:rsid w:val="7F4EE74E"/>
    <w:rsid w:val="7F63B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8E4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A07"/>
    <w:pPr>
      <w:jc w:val="both"/>
    </w:pPr>
  </w:style>
  <w:style w:type="paragraph" w:styleId="Heading1">
    <w:name w:val="heading 1"/>
    <w:basedOn w:val="Normal"/>
    <w:next w:val="Normal"/>
    <w:link w:val="Heading1Char"/>
    <w:uiPriority w:val="9"/>
    <w:qFormat/>
    <w:rsid w:val="00AD46CF"/>
    <w:pPr>
      <w:keepNext/>
      <w:keepLines/>
      <w:numPr>
        <w:numId w:val="1"/>
      </w:numPr>
      <w:spacing w:before="240" w:after="0"/>
      <w:outlineLvl w:val="0"/>
    </w:pPr>
    <w:rPr>
      <w:rFonts w:eastAsiaTheme="majorEastAsia" w:cstheme="minorHAnsi"/>
      <w:b/>
      <w:bCs/>
      <w:sz w:val="24"/>
      <w:szCs w:val="24"/>
    </w:rPr>
  </w:style>
  <w:style w:type="paragraph" w:styleId="Heading2">
    <w:name w:val="heading 2"/>
    <w:basedOn w:val="Heading1"/>
    <w:next w:val="Normal"/>
    <w:link w:val="Heading2Char"/>
    <w:uiPriority w:val="9"/>
    <w:unhideWhenUsed/>
    <w:qFormat/>
    <w:rsid w:val="00AD46CF"/>
    <w:pPr>
      <w:numPr>
        <w:ilvl w:val="1"/>
      </w:numPr>
      <w:ind w:left="993" w:hanging="709"/>
      <w:outlineLvl w:val="1"/>
    </w:pPr>
    <w:rPr>
      <w:rFonts w:ascii="Calibri" w:hAnsi="Calibri"/>
      <w:lang w:eastAsia="en-GB"/>
    </w:rPr>
  </w:style>
  <w:style w:type="paragraph" w:styleId="Heading3">
    <w:name w:val="heading 3"/>
    <w:basedOn w:val="Normal"/>
    <w:next w:val="Normal"/>
    <w:link w:val="Heading3Char"/>
    <w:uiPriority w:val="9"/>
    <w:unhideWhenUsed/>
    <w:qFormat/>
    <w:rsid w:val="00A166AA"/>
    <w:pPr>
      <w:numPr>
        <w:ilvl w:val="2"/>
        <w:numId w:val="1"/>
      </w:numPr>
      <w:spacing w:after="0"/>
      <w:outlineLvl w:val="2"/>
    </w:pPr>
    <w:rPr>
      <w:rFonts w:ascii="Calibri" w:eastAsia="Calibri" w:hAnsi="Calibri" w:cstheme="minorHAnsi"/>
      <w:b/>
      <w:bCs/>
      <w:szCs w:val="20"/>
      <w:lang w:eastAsia="en-GB"/>
    </w:rPr>
  </w:style>
  <w:style w:type="paragraph" w:styleId="Heading4">
    <w:name w:val="heading 4"/>
    <w:basedOn w:val="Normal"/>
    <w:next w:val="Normal"/>
    <w:link w:val="Heading4Char"/>
    <w:uiPriority w:val="9"/>
    <w:unhideWhenUsed/>
    <w:qFormat/>
    <w:rsid w:val="00A166AA"/>
    <w:pPr>
      <w:numPr>
        <w:ilvl w:val="3"/>
        <w:numId w:val="1"/>
      </w:numPr>
      <w:spacing w:after="0"/>
      <w:ind w:left="1584"/>
      <w:outlineLvl w:val="3"/>
    </w:pPr>
    <w:rPr>
      <w:rFonts w:ascii="Calibri" w:eastAsia="Calibri" w:hAnsi="Calibri" w:cs="Calibri"/>
      <w:b/>
      <w:szCs w:val="20"/>
      <w:lang w:eastAsia="en-GB"/>
    </w:rPr>
  </w:style>
  <w:style w:type="paragraph" w:styleId="Heading5">
    <w:name w:val="heading 5"/>
    <w:basedOn w:val="Normal"/>
    <w:next w:val="Normal"/>
    <w:link w:val="Heading5Char"/>
    <w:uiPriority w:val="9"/>
    <w:semiHidden/>
    <w:unhideWhenUsed/>
    <w:qFormat/>
    <w:rsid w:val="00631637"/>
    <w:pPr>
      <w:keepNext/>
      <w:keepLines/>
      <w:numPr>
        <w:ilvl w:val="4"/>
        <w:numId w:val="1"/>
      </w:numPr>
      <w:spacing w:before="220" w:after="40" w:line="256" w:lineRule="auto"/>
      <w:outlineLvl w:val="4"/>
    </w:pPr>
    <w:rPr>
      <w:rFonts w:ascii="Calibri" w:eastAsia="Calibri" w:hAnsi="Calibri" w:cs="Calibri"/>
      <w:b/>
      <w:lang w:eastAsia="en-GB"/>
    </w:rPr>
  </w:style>
  <w:style w:type="paragraph" w:styleId="Heading6">
    <w:name w:val="heading 6"/>
    <w:basedOn w:val="Normal"/>
    <w:next w:val="Normal"/>
    <w:link w:val="Heading6Char"/>
    <w:uiPriority w:val="9"/>
    <w:semiHidden/>
    <w:unhideWhenUsed/>
    <w:qFormat/>
    <w:rsid w:val="00631637"/>
    <w:pPr>
      <w:keepNext/>
      <w:keepLines/>
      <w:numPr>
        <w:ilvl w:val="5"/>
        <w:numId w:val="1"/>
      </w:numPr>
      <w:spacing w:before="200" w:after="40" w:line="256" w:lineRule="auto"/>
      <w:outlineLvl w:val="5"/>
    </w:pPr>
    <w:rPr>
      <w:rFonts w:ascii="Calibri" w:eastAsia="Calibri" w:hAnsi="Calibri" w:cs="Calibri"/>
      <w:b/>
      <w:sz w:val="20"/>
      <w:szCs w:val="20"/>
      <w:lang w:eastAsia="en-GB"/>
    </w:rPr>
  </w:style>
  <w:style w:type="paragraph" w:styleId="Heading7">
    <w:name w:val="heading 7"/>
    <w:basedOn w:val="Normal"/>
    <w:next w:val="Normal"/>
    <w:link w:val="Heading7Char"/>
    <w:uiPriority w:val="9"/>
    <w:semiHidden/>
    <w:unhideWhenUsed/>
    <w:qFormat/>
    <w:rsid w:val="00631637"/>
    <w:pPr>
      <w:keepNext/>
      <w:keepLines/>
      <w:numPr>
        <w:ilvl w:val="6"/>
        <w:numId w:val="1"/>
      </w:numPr>
      <w:spacing w:before="40" w:after="0" w:line="256" w:lineRule="auto"/>
      <w:outlineLvl w:val="6"/>
    </w:pPr>
    <w:rPr>
      <w:rFonts w:asciiTheme="majorHAnsi" w:eastAsiaTheme="majorEastAsia" w:hAnsiTheme="majorHAnsi" w:cstheme="majorBidi"/>
      <w:i/>
      <w:iCs/>
      <w:color w:val="1F3763" w:themeColor="accent1" w:themeShade="7F"/>
      <w:sz w:val="20"/>
      <w:szCs w:val="20"/>
      <w:lang w:eastAsia="en-GB"/>
    </w:rPr>
  </w:style>
  <w:style w:type="paragraph" w:styleId="Heading8">
    <w:name w:val="heading 8"/>
    <w:basedOn w:val="Normal"/>
    <w:next w:val="Normal"/>
    <w:link w:val="Heading8Char"/>
    <w:uiPriority w:val="9"/>
    <w:semiHidden/>
    <w:unhideWhenUsed/>
    <w:qFormat/>
    <w:rsid w:val="00631637"/>
    <w:pPr>
      <w:keepNext/>
      <w:keepLines/>
      <w:numPr>
        <w:ilvl w:val="7"/>
        <w:numId w:val="1"/>
      </w:numPr>
      <w:spacing w:before="40" w:after="0" w:line="256" w:lineRule="auto"/>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uiPriority w:val="9"/>
    <w:semiHidden/>
    <w:unhideWhenUsed/>
    <w:qFormat/>
    <w:rsid w:val="00631637"/>
    <w:pPr>
      <w:keepNext/>
      <w:keepLines/>
      <w:numPr>
        <w:ilvl w:val="8"/>
        <w:numId w:val="1"/>
      </w:numPr>
      <w:spacing w:before="40" w:after="0" w:line="256" w:lineRule="auto"/>
      <w:outlineLvl w:val="8"/>
    </w:pPr>
    <w:rPr>
      <w:rFonts w:asciiTheme="majorHAnsi" w:eastAsiaTheme="majorEastAsia" w:hAnsiTheme="majorHAnsi" w:cstheme="majorBidi"/>
      <w:i/>
      <w:iCs/>
      <w:color w:val="272727"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2_sj,Numbered Para 1,Dot pt,No Spacing1,List Paragraph Char Char Char,Indicator Text,Bullet 1,List Paragraph1,Bullet Points,MAIN CONTENT,List Paragraph12,F5 List Paragraph"/>
    <w:basedOn w:val="Normal"/>
    <w:link w:val="ListParagraphChar"/>
    <w:uiPriority w:val="34"/>
    <w:qFormat/>
    <w:rsid w:val="00055E67"/>
    <w:pPr>
      <w:ind w:left="720"/>
      <w:contextualSpacing/>
    </w:pPr>
  </w:style>
  <w:style w:type="character" w:customStyle="1" w:styleId="Heading1Char">
    <w:name w:val="Heading 1 Char"/>
    <w:basedOn w:val="DefaultParagraphFont"/>
    <w:link w:val="Heading1"/>
    <w:uiPriority w:val="9"/>
    <w:rsid w:val="00AD46CF"/>
    <w:rPr>
      <w:rFonts w:eastAsiaTheme="majorEastAsia" w:cstheme="minorHAnsi"/>
      <w:b/>
      <w:bCs/>
      <w:sz w:val="24"/>
      <w:szCs w:val="24"/>
    </w:rPr>
  </w:style>
  <w:style w:type="paragraph" w:styleId="TOCHeading">
    <w:name w:val="TOC Heading"/>
    <w:basedOn w:val="Heading1"/>
    <w:next w:val="Normal"/>
    <w:uiPriority w:val="39"/>
    <w:unhideWhenUsed/>
    <w:qFormat/>
    <w:rsid w:val="00631637"/>
    <w:pPr>
      <w:outlineLvl w:val="9"/>
    </w:pPr>
    <w:rPr>
      <w:lang w:eastAsia="en-GB"/>
    </w:rPr>
  </w:style>
  <w:style w:type="character" w:customStyle="1" w:styleId="Heading2Char">
    <w:name w:val="Heading 2 Char"/>
    <w:basedOn w:val="DefaultParagraphFont"/>
    <w:link w:val="Heading2"/>
    <w:uiPriority w:val="9"/>
    <w:rsid w:val="00AD46CF"/>
    <w:rPr>
      <w:rFonts w:ascii="Calibri" w:eastAsiaTheme="majorEastAsia" w:hAnsi="Calibri" w:cstheme="minorHAnsi"/>
      <w:b/>
      <w:bCs/>
      <w:sz w:val="24"/>
      <w:szCs w:val="24"/>
      <w:lang w:eastAsia="en-GB"/>
    </w:rPr>
  </w:style>
  <w:style w:type="character" w:customStyle="1" w:styleId="Heading3Char">
    <w:name w:val="Heading 3 Char"/>
    <w:basedOn w:val="DefaultParagraphFont"/>
    <w:link w:val="Heading3"/>
    <w:uiPriority w:val="9"/>
    <w:rsid w:val="00A166AA"/>
    <w:rPr>
      <w:rFonts w:ascii="Calibri" w:eastAsia="Calibri" w:hAnsi="Calibri" w:cstheme="minorHAnsi"/>
      <w:b/>
      <w:bCs/>
      <w:szCs w:val="20"/>
      <w:lang w:eastAsia="en-GB"/>
    </w:rPr>
  </w:style>
  <w:style w:type="character" w:customStyle="1" w:styleId="Heading4Char">
    <w:name w:val="Heading 4 Char"/>
    <w:basedOn w:val="DefaultParagraphFont"/>
    <w:link w:val="Heading4"/>
    <w:uiPriority w:val="9"/>
    <w:rsid w:val="00A166AA"/>
    <w:rPr>
      <w:rFonts w:ascii="Calibri" w:eastAsia="Calibri" w:hAnsi="Calibri" w:cs="Calibri"/>
      <w:b/>
      <w:szCs w:val="20"/>
      <w:lang w:eastAsia="en-GB"/>
    </w:rPr>
  </w:style>
  <w:style w:type="character" w:customStyle="1" w:styleId="Heading5Char">
    <w:name w:val="Heading 5 Char"/>
    <w:basedOn w:val="DefaultParagraphFont"/>
    <w:link w:val="Heading5"/>
    <w:uiPriority w:val="9"/>
    <w:semiHidden/>
    <w:rsid w:val="00631637"/>
    <w:rPr>
      <w:rFonts w:ascii="Calibri" w:eastAsia="Calibri" w:hAnsi="Calibri" w:cs="Calibri"/>
      <w:b/>
      <w:lang w:eastAsia="en-GB"/>
    </w:rPr>
  </w:style>
  <w:style w:type="character" w:customStyle="1" w:styleId="Heading6Char">
    <w:name w:val="Heading 6 Char"/>
    <w:basedOn w:val="DefaultParagraphFont"/>
    <w:link w:val="Heading6"/>
    <w:uiPriority w:val="9"/>
    <w:semiHidden/>
    <w:rsid w:val="00631637"/>
    <w:rPr>
      <w:rFonts w:ascii="Calibri" w:eastAsia="Calibri" w:hAnsi="Calibri" w:cs="Calibri"/>
      <w:b/>
      <w:sz w:val="20"/>
      <w:szCs w:val="20"/>
      <w:lang w:eastAsia="en-GB"/>
    </w:rPr>
  </w:style>
  <w:style w:type="character" w:customStyle="1" w:styleId="Heading7Char">
    <w:name w:val="Heading 7 Char"/>
    <w:basedOn w:val="DefaultParagraphFont"/>
    <w:link w:val="Heading7"/>
    <w:uiPriority w:val="9"/>
    <w:semiHidden/>
    <w:rsid w:val="00631637"/>
    <w:rPr>
      <w:rFonts w:asciiTheme="majorHAnsi" w:eastAsiaTheme="majorEastAsia" w:hAnsiTheme="majorHAnsi" w:cstheme="majorBidi"/>
      <w:i/>
      <w:iCs/>
      <w:color w:val="1F3763" w:themeColor="accent1" w:themeShade="7F"/>
      <w:sz w:val="20"/>
      <w:szCs w:val="20"/>
      <w:lang w:eastAsia="en-GB"/>
    </w:rPr>
  </w:style>
  <w:style w:type="character" w:customStyle="1" w:styleId="Heading8Char">
    <w:name w:val="Heading 8 Char"/>
    <w:basedOn w:val="DefaultParagraphFont"/>
    <w:link w:val="Heading8"/>
    <w:uiPriority w:val="9"/>
    <w:semiHidden/>
    <w:rsid w:val="00631637"/>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631637"/>
    <w:rPr>
      <w:rFonts w:asciiTheme="majorHAnsi" w:eastAsiaTheme="majorEastAsia" w:hAnsiTheme="majorHAnsi" w:cstheme="majorBidi"/>
      <w:i/>
      <w:iCs/>
      <w:color w:val="272727" w:themeColor="text1" w:themeTint="D8"/>
      <w:sz w:val="21"/>
      <w:szCs w:val="21"/>
      <w:lang w:eastAsia="en-GB"/>
    </w:rPr>
  </w:style>
  <w:style w:type="table" w:customStyle="1" w:styleId="Create1">
    <w:name w:val="Create1"/>
    <w:basedOn w:val="TableNormal"/>
    <w:next w:val="TableGrid"/>
    <w:uiPriority w:val="59"/>
    <w:rsid w:val="007650D1"/>
    <w:pPr>
      <w:spacing w:after="200" w:line="276"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Create"/>
    <w:basedOn w:val="TableNormal"/>
    <w:uiPriority w:val="39"/>
    <w:rsid w:val="00765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2_sj Char,Numbered Para 1 Char,Dot pt Char,No Spacing1 Char,List Paragraph Char Char Char Char,Indicator Text Char,Bullet 1 Char,List Paragraph1 Char,Bullet Points Char,MAIN CONTENT Char,List Paragraph12 Char"/>
    <w:basedOn w:val="DefaultParagraphFont"/>
    <w:link w:val="ListParagraph"/>
    <w:uiPriority w:val="34"/>
    <w:qFormat/>
    <w:locked/>
    <w:rsid w:val="007650D1"/>
  </w:style>
  <w:style w:type="paragraph" w:styleId="Header">
    <w:name w:val="header"/>
    <w:basedOn w:val="Normal"/>
    <w:link w:val="HeaderChar"/>
    <w:uiPriority w:val="99"/>
    <w:unhideWhenUsed/>
    <w:rsid w:val="00496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36B"/>
  </w:style>
  <w:style w:type="paragraph" w:styleId="Footer">
    <w:name w:val="footer"/>
    <w:basedOn w:val="Normal"/>
    <w:link w:val="FooterChar"/>
    <w:uiPriority w:val="99"/>
    <w:unhideWhenUsed/>
    <w:rsid w:val="00496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36B"/>
  </w:style>
  <w:style w:type="character" w:styleId="Strong">
    <w:name w:val="Strong"/>
    <w:basedOn w:val="DefaultParagraphFont"/>
    <w:uiPriority w:val="22"/>
    <w:qFormat/>
    <w:rsid w:val="00C611DA"/>
    <w:rPr>
      <w:b/>
      <w:bCs/>
    </w:rPr>
  </w:style>
  <w:style w:type="character" w:styleId="CommentReference">
    <w:name w:val="annotation reference"/>
    <w:basedOn w:val="DefaultParagraphFont"/>
    <w:uiPriority w:val="99"/>
    <w:semiHidden/>
    <w:unhideWhenUsed/>
    <w:rsid w:val="00F87E38"/>
    <w:rPr>
      <w:sz w:val="16"/>
      <w:szCs w:val="16"/>
    </w:rPr>
  </w:style>
  <w:style w:type="paragraph" w:styleId="CommentText">
    <w:name w:val="annotation text"/>
    <w:basedOn w:val="Normal"/>
    <w:link w:val="CommentTextChar"/>
    <w:uiPriority w:val="99"/>
    <w:unhideWhenUsed/>
    <w:rsid w:val="00F87E38"/>
    <w:pPr>
      <w:spacing w:line="240" w:lineRule="auto"/>
    </w:pPr>
    <w:rPr>
      <w:sz w:val="20"/>
      <w:szCs w:val="20"/>
    </w:rPr>
  </w:style>
  <w:style w:type="character" w:customStyle="1" w:styleId="CommentTextChar">
    <w:name w:val="Comment Text Char"/>
    <w:basedOn w:val="DefaultParagraphFont"/>
    <w:link w:val="CommentText"/>
    <w:uiPriority w:val="99"/>
    <w:rsid w:val="00F87E38"/>
    <w:rPr>
      <w:sz w:val="20"/>
      <w:szCs w:val="20"/>
    </w:rPr>
  </w:style>
  <w:style w:type="paragraph" w:styleId="CommentSubject">
    <w:name w:val="annotation subject"/>
    <w:basedOn w:val="CommentText"/>
    <w:next w:val="CommentText"/>
    <w:link w:val="CommentSubjectChar"/>
    <w:uiPriority w:val="99"/>
    <w:semiHidden/>
    <w:unhideWhenUsed/>
    <w:rsid w:val="00F87E38"/>
    <w:rPr>
      <w:b/>
      <w:bCs/>
    </w:rPr>
  </w:style>
  <w:style w:type="character" w:customStyle="1" w:styleId="CommentSubjectChar">
    <w:name w:val="Comment Subject Char"/>
    <w:basedOn w:val="CommentTextChar"/>
    <w:link w:val="CommentSubject"/>
    <w:uiPriority w:val="99"/>
    <w:semiHidden/>
    <w:rsid w:val="00F87E38"/>
    <w:rPr>
      <w:b/>
      <w:bCs/>
      <w:sz w:val="20"/>
      <w:szCs w:val="20"/>
    </w:rPr>
  </w:style>
  <w:style w:type="paragraph" w:styleId="TOC1">
    <w:name w:val="toc 1"/>
    <w:basedOn w:val="Normal"/>
    <w:next w:val="Normal"/>
    <w:autoRedefine/>
    <w:uiPriority w:val="39"/>
    <w:unhideWhenUsed/>
    <w:rsid w:val="008401CA"/>
    <w:pPr>
      <w:spacing w:after="100"/>
    </w:pPr>
  </w:style>
  <w:style w:type="paragraph" w:styleId="TOC2">
    <w:name w:val="toc 2"/>
    <w:basedOn w:val="Normal"/>
    <w:next w:val="Normal"/>
    <w:autoRedefine/>
    <w:uiPriority w:val="39"/>
    <w:unhideWhenUsed/>
    <w:rsid w:val="008401CA"/>
    <w:pPr>
      <w:spacing w:after="100"/>
      <w:ind w:left="220"/>
    </w:pPr>
  </w:style>
  <w:style w:type="character" w:styleId="Hyperlink">
    <w:name w:val="Hyperlink"/>
    <w:basedOn w:val="DefaultParagraphFont"/>
    <w:uiPriority w:val="99"/>
    <w:unhideWhenUsed/>
    <w:rsid w:val="008401CA"/>
    <w:rPr>
      <w:color w:val="0563C1" w:themeColor="hyperlink"/>
      <w:u w:val="single"/>
    </w:rPr>
  </w:style>
  <w:style w:type="paragraph" w:styleId="Revision">
    <w:name w:val="Revision"/>
    <w:hidden/>
    <w:uiPriority w:val="99"/>
    <w:semiHidden/>
    <w:rsid w:val="000B6129"/>
    <w:pPr>
      <w:spacing w:after="0" w:line="240" w:lineRule="auto"/>
    </w:pPr>
  </w:style>
  <w:style w:type="paragraph" w:styleId="NormalWeb">
    <w:name w:val="Normal (Web)"/>
    <w:basedOn w:val="Normal"/>
    <w:uiPriority w:val="99"/>
    <w:unhideWhenUsed/>
    <w:rsid w:val="00E44E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sselectedend">
    <w:name w:val="isselectedend"/>
    <w:basedOn w:val="Normal"/>
    <w:rsid w:val="003C66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170F3"/>
    <w:rPr>
      <w:color w:val="605E5C"/>
      <w:shd w:val="clear" w:color="auto" w:fill="E1DFDD"/>
    </w:rPr>
  </w:style>
  <w:style w:type="paragraph" w:customStyle="1" w:styleId="Level1">
    <w:name w:val="Level 1"/>
    <w:basedOn w:val="Normal"/>
    <w:qFormat/>
    <w:rsid w:val="00233CBA"/>
    <w:pPr>
      <w:autoSpaceDE w:val="0"/>
      <w:autoSpaceDN w:val="0"/>
      <w:adjustRightInd w:val="0"/>
      <w:spacing w:after="0" w:line="240" w:lineRule="auto"/>
      <w:ind w:hanging="567"/>
      <w:contextualSpacing/>
    </w:pPr>
    <w:rPr>
      <w:rFonts w:ascii="Calibri" w:eastAsia="Times New Roman" w:hAnsi="Calibri" w:cs="Calibri"/>
      <w:bCs/>
    </w:rPr>
  </w:style>
  <w:style w:type="paragraph" w:styleId="TOC3">
    <w:name w:val="toc 3"/>
    <w:basedOn w:val="Normal"/>
    <w:next w:val="Normal"/>
    <w:autoRedefine/>
    <w:uiPriority w:val="39"/>
    <w:unhideWhenUsed/>
    <w:rsid w:val="00525420"/>
    <w:pPr>
      <w:spacing w:after="100"/>
      <w:ind w:left="440"/>
    </w:pPr>
  </w:style>
  <w:style w:type="paragraph" w:styleId="BalloonText">
    <w:name w:val="Balloon Text"/>
    <w:basedOn w:val="Normal"/>
    <w:link w:val="BalloonTextChar"/>
    <w:uiPriority w:val="99"/>
    <w:semiHidden/>
    <w:unhideWhenUsed/>
    <w:rsid w:val="00C45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824"/>
    <w:rPr>
      <w:rFonts w:ascii="Segoe UI" w:hAnsi="Segoe UI" w:cs="Segoe UI"/>
      <w:sz w:val="18"/>
      <w:szCs w:val="18"/>
    </w:rPr>
  </w:style>
  <w:style w:type="paragraph" w:customStyle="1" w:styleId="pdq2pgselectionanchorcontainer">
    <w:name w:val="pdq2pg_selectionanchorcontainer"/>
    <w:basedOn w:val="Normal"/>
    <w:rsid w:val="00BF228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369">
      <w:bodyDiv w:val="1"/>
      <w:marLeft w:val="0"/>
      <w:marRight w:val="0"/>
      <w:marTop w:val="0"/>
      <w:marBottom w:val="0"/>
      <w:divBdr>
        <w:top w:val="none" w:sz="0" w:space="0" w:color="auto"/>
        <w:left w:val="none" w:sz="0" w:space="0" w:color="auto"/>
        <w:bottom w:val="none" w:sz="0" w:space="0" w:color="auto"/>
        <w:right w:val="none" w:sz="0" w:space="0" w:color="auto"/>
      </w:divBdr>
    </w:div>
    <w:div w:id="64954341">
      <w:bodyDiv w:val="1"/>
      <w:marLeft w:val="0"/>
      <w:marRight w:val="0"/>
      <w:marTop w:val="0"/>
      <w:marBottom w:val="0"/>
      <w:divBdr>
        <w:top w:val="none" w:sz="0" w:space="0" w:color="auto"/>
        <w:left w:val="none" w:sz="0" w:space="0" w:color="auto"/>
        <w:bottom w:val="none" w:sz="0" w:space="0" w:color="auto"/>
        <w:right w:val="none" w:sz="0" w:space="0" w:color="auto"/>
      </w:divBdr>
    </w:div>
    <w:div w:id="97793829">
      <w:bodyDiv w:val="1"/>
      <w:marLeft w:val="0"/>
      <w:marRight w:val="0"/>
      <w:marTop w:val="0"/>
      <w:marBottom w:val="0"/>
      <w:divBdr>
        <w:top w:val="none" w:sz="0" w:space="0" w:color="auto"/>
        <w:left w:val="none" w:sz="0" w:space="0" w:color="auto"/>
        <w:bottom w:val="none" w:sz="0" w:space="0" w:color="auto"/>
        <w:right w:val="none" w:sz="0" w:space="0" w:color="auto"/>
      </w:divBdr>
    </w:div>
    <w:div w:id="136841781">
      <w:bodyDiv w:val="1"/>
      <w:marLeft w:val="0"/>
      <w:marRight w:val="0"/>
      <w:marTop w:val="0"/>
      <w:marBottom w:val="0"/>
      <w:divBdr>
        <w:top w:val="none" w:sz="0" w:space="0" w:color="auto"/>
        <w:left w:val="none" w:sz="0" w:space="0" w:color="auto"/>
        <w:bottom w:val="none" w:sz="0" w:space="0" w:color="auto"/>
        <w:right w:val="none" w:sz="0" w:space="0" w:color="auto"/>
      </w:divBdr>
    </w:div>
    <w:div w:id="178784386">
      <w:bodyDiv w:val="1"/>
      <w:marLeft w:val="0"/>
      <w:marRight w:val="0"/>
      <w:marTop w:val="0"/>
      <w:marBottom w:val="0"/>
      <w:divBdr>
        <w:top w:val="none" w:sz="0" w:space="0" w:color="auto"/>
        <w:left w:val="none" w:sz="0" w:space="0" w:color="auto"/>
        <w:bottom w:val="none" w:sz="0" w:space="0" w:color="auto"/>
        <w:right w:val="none" w:sz="0" w:space="0" w:color="auto"/>
      </w:divBdr>
    </w:div>
    <w:div w:id="210584116">
      <w:bodyDiv w:val="1"/>
      <w:marLeft w:val="0"/>
      <w:marRight w:val="0"/>
      <w:marTop w:val="0"/>
      <w:marBottom w:val="0"/>
      <w:divBdr>
        <w:top w:val="none" w:sz="0" w:space="0" w:color="auto"/>
        <w:left w:val="none" w:sz="0" w:space="0" w:color="auto"/>
        <w:bottom w:val="none" w:sz="0" w:space="0" w:color="auto"/>
        <w:right w:val="none" w:sz="0" w:space="0" w:color="auto"/>
      </w:divBdr>
    </w:div>
    <w:div w:id="218521823">
      <w:bodyDiv w:val="1"/>
      <w:marLeft w:val="0"/>
      <w:marRight w:val="0"/>
      <w:marTop w:val="0"/>
      <w:marBottom w:val="0"/>
      <w:divBdr>
        <w:top w:val="none" w:sz="0" w:space="0" w:color="auto"/>
        <w:left w:val="none" w:sz="0" w:space="0" w:color="auto"/>
        <w:bottom w:val="none" w:sz="0" w:space="0" w:color="auto"/>
        <w:right w:val="none" w:sz="0" w:space="0" w:color="auto"/>
      </w:divBdr>
    </w:div>
    <w:div w:id="235168003">
      <w:bodyDiv w:val="1"/>
      <w:marLeft w:val="0"/>
      <w:marRight w:val="0"/>
      <w:marTop w:val="0"/>
      <w:marBottom w:val="0"/>
      <w:divBdr>
        <w:top w:val="none" w:sz="0" w:space="0" w:color="auto"/>
        <w:left w:val="none" w:sz="0" w:space="0" w:color="auto"/>
        <w:bottom w:val="none" w:sz="0" w:space="0" w:color="auto"/>
        <w:right w:val="none" w:sz="0" w:space="0" w:color="auto"/>
      </w:divBdr>
    </w:div>
    <w:div w:id="253127903">
      <w:bodyDiv w:val="1"/>
      <w:marLeft w:val="0"/>
      <w:marRight w:val="0"/>
      <w:marTop w:val="0"/>
      <w:marBottom w:val="0"/>
      <w:divBdr>
        <w:top w:val="none" w:sz="0" w:space="0" w:color="auto"/>
        <w:left w:val="none" w:sz="0" w:space="0" w:color="auto"/>
        <w:bottom w:val="none" w:sz="0" w:space="0" w:color="auto"/>
        <w:right w:val="none" w:sz="0" w:space="0" w:color="auto"/>
      </w:divBdr>
    </w:div>
    <w:div w:id="356932984">
      <w:bodyDiv w:val="1"/>
      <w:marLeft w:val="0"/>
      <w:marRight w:val="0"/>
      <w:marTop w:val="0"/>
      <w:marBottom w:val="0"/>
      <w:divBdr>
        <w:top w:val="none" w:sz="0" w:space="0" w:color="auto"/>
        <w:left w:val="none" w:sz="0" w:space="0" w:color="auto"/>
        <w:bottom w:val="none" w:sz="0" w:space="0" w:color="auto"/>
        <w:right w:val="none" w:sz="0" w:space="0" w:color="auto"/>
      </w:divBdr>
    </w:div>
    <w:div w:id="383798742">
      <w:bodyDiv w:val="1"/>
      <w:marLeft w:val="0"/>
      <w:marRight w:val="0"/>
      <w:marTop w:val="0"/>
      <w:marBottom w:val="0"/>
      <w:divBdr>
        <w:top w:val="none" w:sz="0" w:space="0" w:color="auto"/>
        <w:left w:val="none" w:sz="0" w:space="0" w:color="auto"/>
        <w:bottom w:val="none" w:sz="0" w:space="0" w:color="auto"/>
        <w:right w:val="none" w:sz="0" w:space="0" w:color="auto"/>
      </w:divBdr>
    </w:div>
    <w:div w:id="388841642">
      <w:bodyDiv w:val="1"/>
      <w:marLeft w:val="0"/>
      <w:marRight w:val="0"/>
      <w:marTop w:val="0"/>
      <w:marBottom w:val="0"/>
      <w:divBdr>
        <w:top w:val="none" w:sz="0" w:space="0" w:color="auto"/>
        <w:left w:val="none" w:sz="0" w:space="0" w:color="auto"/>
        <w:bottom w:val="none" w:sz="0" w:space="0" w:color="auto"/>
        <w:right w:val="none" w:sz="0" w:space="0" w:color="auto"/>
      </w:divBdr>
    </w:div>
    <w:div w:id="414204937">
      <w:bodyDiv w:val="1"/>
      <w:marLeft w:val="0"/>
      <w:marRight w:val="0"/>
      <w:marTop w:val="0"/>
      <w:marBottom w:val="0"/>
      <w:divBdr>
        <w:top w:val="none" w:sz="0" w:space="0" w:color="auto"/>
        <w:left w:val="none" w:sz="0" w:space="0" w:color="auto"/>
        <w:bottom w:val="none" w:sz="0" w:space="0" w:color="auto"/>
        <w:right w:val="none" w:sz="0" w:space="0" w:color="auto"/>
      </w:divBdr>
    </w:div>
    <w:div w:id="467479196">
      <w:bodyDiv w:val="1"/>
      <w:marLeft w:val="0"/>
      <w:marRight w:val="0"/>
      <w:marTop w:val="0"/>
      <w:marBottom w:val="0"/>
      <w:divBdr>
        <w:top w:val="none" w:sz="0" w:space="0" w:color="auto"/>
        <w:left w:val="none" w:sz="0" w:space="0" w:color="auto"/>
        <w:bottom w:val="none" w:sz="0" w:space="0" w:color="auto"/>
        <w:right w:val="none" w:sz="0" w:space="0" w:color="auto"/>
      </w:divBdr>
    </w:div>
    <w:div w:id="529102229">
      <w:bodyDiv w:val="1"/>
      <w:marLeft w:val="0"/>
      <w:marRight w:val="0"/>
      <w:marTop w:val="0"/>
      <w:marBottom w:val="0"/>
      <w:divBdr>
        <w:top w:val="none" w:sz="0" w:space="0" w:color="auto"/>
        <w:left w:val="none" w:sz="0" w:space="0" w:color="auto"/>
        <w:bottom w:val="none" w:sz="0" w:space="0" w:color="auto"/>
        <w:right w:val="none" w:sz="0" w:space="0" w:color="auto"/>
      </w:divBdr>
    </w:div>
    <w:div w:id="552011646">
      <w:bodyDiv w:val="1"/>
      <w:marLeft w:val="0"/>
      <w:marRight w:val="0"/>
      <w:marTop w:val="0"/>
      <w:marBottom w:val="0"/>
      <w:divBdr>
        <w:top w:val="none" w:sz="0" w:space="0" w:color="auto"/>
        <w:left w:val="none" w:sz="0" w:space="0" w:color="auto"/>
        <w:bottom w:val="none" w:sz="0" w:space="0" w:color="auto"/>
        <w:right w:val="none" w:sz="0" w:space="0" w:color="auto"/>
      </w:divBdr>
    </w:div>
    <w:div w:id="553663633">
      <w:bodyDiv w:val="1"/>
      <w:marLeft w:val="0"/>
      <w:marRight w:val="0"/>
      <w:marTop w:val="0"/>
      <w:marBottom w:val="0"/>
      <w:divBdr>
        <w:top w:val="none" w:sz="0" w:space="0" w:color="auto"/>
        <w:left w:val="none" w:sz="0" w:space="0" w:color="auto"/>
        <w:bottom w:val="none" w:sz="0" w:space="0" w:color="auto"/>
        <w:right w:val="none" w:sz="0" w:space="0" w:color="auto"/>
      </w:divBdr>
    </w:div>
    <w:div w:id="557590057">
      <w:bodyDiv w:val="1"/>
      <w:marLeft w:val="0"/>
      <w:marRight w:val="0"/>
      <w:marTop w:val="0"/>
      <w:marBottom w:val="0"/>
      <w:divBdr>
        <w:top w:val="none" w:sz="0" w:space="0" w:color="auto"/>
        <w:left w:val="none" w:sz="0" w:space="0" w:color="auto"/>
        <w:bottom w:val="none" w:sz="0" w:space="0" w:color="auto"/>
        <w:right w:val="none" w:sz="0" w:space="0" w:color="auto"/>
      </w:divBdr>
    </w:div>
    <w:div w:id="569465036">
      <w:bodyDiv w:val="1"/>
      <w:marLeft w:val="0"/>
      <w:marRight w:val="0"/>
      <w:marTop w:val="0"/>
      <w:marBottom w:val="0"/>
      <w:divBdr>
        <w:top w:val="none" w:sz="0" w:space="0" w:color="auto"/>
        <w:left w:val="none" w:sz="0" w:space="0" w:color="auto"/>
        <w:bottom w:val="none" w:sz="0" w:space="0" w:color="auto"/>
        <w:right w:val="none" w:sz="0" w:space="0" w:color="auto"/>
      </w:divBdr>
    </w:div>
    <w:div w:id="652759670">
      <w:bodyDiv w:val="1"/>
      <w:marLeft w:val="0"/>
      <w:marRight w:val="0"/>
      <w:marTop w:val="0"/>
      <w:marBottom w:val="0"/>
      <w:divBdr>
        <w:top w:val="none" w:sz="0" w:space="0" w:color="auto"/>
        <w:left w:val="none" w:sz="0" w:space="0" w:color="auto"/>
        <w:bottom w:val="none" w:sz="0" w:space="0" w:color="auto"/>
        <w:right w:val="none" w:sz="0" w:space="0" w:color="auto"/>
      </w:divBdr>
    </w:div>
    <w:div w:id="662003812">
      <w:bodyDiv w:val="1"/>
      <w:marLeft w:val="0"/>
      <w:marRight w:val="0"/>
      <w:marTop w:val="0"/>
      <w:marBottom w:val="0"/>
      <w:divBdr>
        <w:top w:val="none" w:sz="0" w:space="0" w:color="auto"/>
        <w:left w:val="none" w:sz="0" w:space="0" w:color="auto"/>
        <w:bottom w:val="none" w:sz="0" w:space="0" w:color="auto"/>
        <w:right w:val="none" w:sz="0" w:space="0" w:color="auto"/>
      </w:divBdr>
    </w:div>
    <w:div w:id="669210558">
      <w:bodyDiv w:val="1"/>
      <w:marLeft w:val="0"/>
      <w:marRight w:val="0"/>
      <w:marTop w:val="0"/>
      <w:marBottom w:val="0"/>
      <w:divBdr>
        <w:top w:val="none" w:sz="0" w:space="0" w:color="auto"/>
        <w:left w:val="none" w:sz="0" w:space="0" w:color="auto"/>
        <w:bottom w:val="none" w:sz="0" w:space="0" w:color="auto"/>
        <w:right w:val="none" w:sz="0" w:space="0" w:color="auto"/>
      </w:divBdr>
    </w:div>
    <w:div w:id="671956964">
      <w:bodyDiv w:val="1"/>
      <w:marLeft w:val="0"/>
      <w:marRight w:val="0"/>
      <w:marTop w:val="0"/>
      <w:marBottom w:val="0"/>
      <w:divBdr>
        <w:top w:val="none" w:sz="0" w:space="0" w:color="auto"/>
        <w:left w:val="none" w:sz="0" w:space="0" w:color="auto"/>
        <w:bottom w:val="none" w:sz="0" w:space="0" w:color="auto"/>
        <w:right w:val="none" w:sz="0" w:space="0" w:color="auto"/>
      </w:divBdr>
    </w:div>
    <w:div w:id="673190192">
      <w:bodyDiv w:val="1"/>
      <w:marLeft w:val="0"/>
      <w:marRight w:val="0"/>
      <w:marTop w:val="0"/>
      <w:marBottom w:val="0"/>
      <w:divBdr>
        <w:top w:val="none" w:sz="0" w:space="0" w:color="auto"/>
        <w:left w:val="none" w:sz="0" w:space="0" w:color="auto"/>
        <w:bottom w:val="none" w:sz="0" w:space="0" w:color="auto"/>
        <w:right w:val="none" w:sz="0" w:space="0" w:color="auto"/>
      </w:divBdr>
    </w:div>
    <w:div w:id="677389431">
      <w:bodyDiv w:val="1"/>
      <w:marLeft w:val="0"/>
      <w:marRight w:val="0"/>
      <w:marTop w:val="0"/>
      <w:marBottom w:val="0"/>
      <w:divBdr>
        <w:top w:val="none" w:sz="0" w:space="0" w:color="auto"/>
        <w:left w:val="none" w:sz="0" w:space="0" w:color="auto"/>
        <w:bottom w:val="none" w:sz="0" w:space="0" w:color="auto"/>
        <w:right w:val="none" w:sz="0" w:space="0" w:color="auto"/>
      </w:divBdr>
    </w:div>
    <w:div w:id="683672567">
      <w:bodyDiv w:val="1"/>
      <w:marLeft w:val="0"/>
      <w:marRight w:val="0"/>
      <w:marTop w:val="0"/>
      <w:marBottom w:val="0"/>
      <w:divBdr>
        <w:top w:val="none" w:sz="0" w:space="0" w:color="auto"/>
        <w:left w:val="none" w:sz="0" w:space="0" w:color="auto"/>
        <w:bottom w:val="none" w:sz="0" w:space="0" w:color="auto"/>
        <w:right w:val="none" w:sz="0" w:space="0" w:color="auto"/>
      </w:divBdr>
    </w:div>
    <w:div w:id="709837581">
      <w:bodyDiv w:val="1"/>
      <w:marLeft w:val="0"/>
      <w:marRight w:val="0"/>
      <w:marTop w:val="0"/>
      <w:marBottom w:val="0"/>
      <w:divBdr>
        <w:top w:val="none" w:sz="0" w:space="0" w:color="auto"/>
        <w:left w:val="none" w:sz="0" w:space="0" w:color="auto"/>
        <w:bottom w:val="none" w:sz="0" w:space="0" w:color="auto"/>
        <w:right w:val="none" w:sz="0" w:space="0" w:color="auto"/>
      </w:divBdr>
    </w:div>
    <w:div w:id="772090677">
      <w:bodyDiv w:val="1"/>
      <w:marLeft w:val="0"/>
      <w:marRight w:val="0"/>
      <w:marTop w:val="0"/>
      <w:marBottom w:val="0"/>
      <w:divBdr>
        <w:top w:val="none" w:sz="0" w:space="0" w:color="auto"/>
        <w:left w:val="none" w:sz="0" w:space="0" w:color="auto"/>
        <w:bottom w:val="none" w:sz="0" w:space="0" w:color="auto"/>
        <w:right w:val="none" w:sz="0" w:space="0" w:color="auto"/>
      </w:divBdr>
    </w:div>
    <w:div w:id="845636040">
      <w:bodyDiv w:val="1"/>
      <w:marLeft w:val="0"/>
      <w:marRight w:val="0"/>
      <w:marTop w:val="0"/>
      <w:marBottom w:val="0"/>
      <w:divBdr>
        <w:top w:val="none" w:sz="0" w:space="0" w:color="auto"/>
        <w:left w:val="none" w:sz="0" w:space="0" w:color="auto"/>
        <w:bottom w:val="none" w:sz="0" w:space="0" w:color="auto"/>
        <w:right w:val="none" w:sz="0" w:space="0" w:color="auto"/>
      </w:divBdr>
    </w:div>
    <w:div w:id="867135237">
      <w:bodyDiv w:val="1"/>
      <w:marLeft w:val="0"/>
      <w:marRight w:val="0"/>
      <w:marTop w:val="0"/>
      <w:marBottom w:val="0"/>
      <w:divBdr>
        <w:top w:val="none" w:sz="0" w:space="0" w:color="auto"/>
        <w:left w:val="none" w:sz="0" w:space="0" w:color="auto"/>
        <w:bottom w:val="none" w:sz="0" w:space="0" w:color="auto"/>
        <w:right w:val="none" w:sz="0" w:space="0" w:color="auto"/>
      </w:divBdr>
    </w:div>
    <w:div w:id="914127974">
      <w:bodyDiv w:val="1"/>
      <w:marLeft w:val="0"/>
      <w:marRight w:val="0"/>
      <w:marTop w:val="0"/>
      <w:marBottom w:val="0"/>
      <w:divBdr>
        <w:top w:val="none" w:sz="0" w:space="0" w:color="auto"/>
        <w:left w:val="none" w:sz="0" w:space="0" w:color="auto"/>
        <w:bottom w:val="none" w:sz="0" w:space="0" w:color="auto"/>
        <w:right w:val="none" w:sz="0" w:space="0" w:color="auto"/>
      </w:divBdr>
    </w:div>
    <w:div w:id="949315175">
      <w:bodyDiv w:val="1"/>
      <w:marLeft w:val="0"/>
      <w:marRight w:val="0"/>
      <w:marTop w:val="0"/>
      <w:marBottom w:val="0"/>
      <w:divBdr>
        <w:top w:val="none" w:sz="0" w:space="0" w:color="auto"/>
        <w:left w:val="none" w:sz="0" w:space="0" w:color="auto"/>
        <w:bottom w:val="none" w:sz="0" w:space="0" w:color="auto"/>
        <w:right w:val="none" w:sz="0" w:space="0" w:color="auto"/>
      </w:divBdr>
    </w:div>
    <w:div w:id="965237440">
      <w:bodyDiv w:val="1"/>
      <w:marLeft w:val="0"/>
      <w:marRight w:val="0"/>
      <w:marTop w:val="0"/>
      <w:marBottom w:val="0"/>
      <w:divBdr>
        <w:top w:val="none" w:sz="0" w:space="0" w:color="auto"/>
        <w:left w:val="none" w:sz="0" w:space="0" w:color="auto"/>
        <w:bottom w:val="none" w:sz="0" w:space="0" w:color="auto"/>
        <w:right w:val="none" w:sz="0" w:space="0" w:color="auto"/>
      </w:divBdr>
    </w:div>
    <w:div w:id="969287688">
      <w:bodyDiv w:val="1"/>
      <w:marLeft w:val="0"/>
      <w:marRight w:val="0"/>
      <w:marTop w:val="0"/>
      <w:marBottom w:val="0"/>
      <w:divBdr>
        <w:top w:val="none" w:sz="0" w:space="0" w:color="auto"/>
        <w:left w:val="none" w:sz="0" w:space="0" w:color="auto"/>
        <w:bottom w:val="none" w:sz="0" w:space="0" w:color="auto"/>
        <w:right w:val="none" w:sz="0" w:space="0" w:color="auto"/>
      </w:divBdr>
    </w:div>
    <w:div w:id="1029725887">
      <w:bodyDiv w:val="1"/>
      <w:marLeft w:val="0"/>
      <w:marRight w:val="0"/>
      <w:marTop w:val="0"/>
      <w:marBottom w:val="0"/>
      <w:divBdr>
        <w:top w:val="none" w:sz="0" w:space="0" w:color="auto"/>
        <w:left w:val="none" w:sz="0" w:space="0" w:color="auto"/>
        <w:bottom w:val="none" w:sz="0" w:space="0" w:color="auto"/>
        <w:right w:val="none" w:sz="0" w:space="0" w:color="auto"/>
      </w:divBdr>
    </w:div>
    <w:div w:id="1044214519">
      <w:bodyDiv w:val="1"/>
      <w:marLeft w:val="0"/>
      <w:marRight w:val="0"/>
      <w:marTop w:val="0"/>
      <w:marBottom w:val="0"/>
      <w:divBdr>
        <w:top w:val="none" w:sz="0" w:space="0" w:color="auto"/>
        <w:left w:val="none" w:sz="0" w:space="0" w:color="auto"/>
        <w:bottom w:val="none" w:sz="0" w:space="0" w:color="auto"/>
        <w:right w:val="none" w:sz="0" w:space="0" w:color="auto"/>
      </w:divBdr>
    </w:div>
    <w:div w:id="1050806724">
      <w:bodyDiv w:val="1"/>
      <w:marLeft w:val="0"/>
      <w:marRight w:val="0"/>
      <w:marTop w:val="0"/>
      <w:marBottom w:val="0"/>
      <w:divBdr>
        <w:top w:val="none" w:sz="0" w:space="0" w:color="auto"/>
        <w:left w:val="none" w:sz="0" w:space="0" w:color="auto"/>
        <w:bottom w:val="none" w:sz="0" w:space="0" w:color="auto"/>
        <w:right w:val="none" w:sz="0" w:space="0" w:color="auto"/>
      </w:divBdr>
    </w:div>
    <w:div w:id="1061907811">
      <w:bodyDiv w:val="1"/>
      <w:marLeft w:val="0"/>
      <w:marRight w:val="0"/>
      <w:marTop w:val="0"/>
      <w:marBottom w:val="0"/>
      <w:divBdr>
        <w:top w:val="none" w:sz="0" w:space="0" w:color="auto"/>
        <w:left w:val="none" w:sz="0" w:space="0" w:color="auto"/>
        <w:bottom w:val="none" w:sz="0" w:space="0" w:color="auto"/>
        <w:right w:val="none" w:sz="0" w:space="0" w:color="auto"/>
      </w:divBdr>
    </w:div>
    <w:div w:id="1104112853">
      <w:bodyDiv w:val="1"/>
      <w:marLeft w:val="0"/>
      <w:marRight w:val="0"/>
      <w:marTop w:val="0"/>
      <w:marBottom w:val="0"/>
      <w:divBdr>
        <w:top w:val="none" w:sz="0" w:space="0" w:color="auto"/>
        <w:left w:val="none" w:sz="0" w:space="0" w:color="auto"/>
        <w:bottom w:val="none" w:sz="0" w:space="0" w:color="auto"/>
        <w:right w:val="none" w:sz="0" w:space="0" w:color="auto"/>
      </w:divBdr>
    </w:div>
    <w:div w:id="1174343426">
      <w:bodyDiv w:val="1"/>
      <w:marLeft w:val="0"/>
      <w:marRight w:val="0"/>
      <w:marTop w:val="0"/>
      <w:marBottom w:val="0"/>
      <w:divBdr>
        <w:top w:val="none" w:sz="0" w:space="0" w:color="auto"/>
        <w:left w:val="none" w:sz="0" w:space="0" w:color="auto"/>
        <w:bottom w:val="none" w:sz="0" w:space="0" w:color="auto"/>
        <w:right w:val="none" w:sz="0" w:space="0" w:color="auto"/>
      </w:divBdr>
    </w:div>
    <w:div w:id="1206941348">
      <w:bodyDiv w:val="1"/>
      <w:marLeft w:val="0"/>
      <w:marRight w:val="0"/>
      <w:marTop w:val="0"/>
      <w:marBottom w:val="0"/>
      <w:divBdr>
        <w:top w:val="none" w:sz="0" w:space="0" w:color="auto"/>
        <w:left w:val="none" w:sz="0" w:space="0" w:color="auto"/>
        <w:bottom w:val="none" w:sz="0" w:space="0" w:color="auto"/>
        <w:right w:val="none" w:sz="0" w:space="0" w:color="auto"/>
      </w:divBdr>
    </w:div>
    <w:div w:id="1208451001">
      <w:bodyDiv w:val="1"/>
      <w:marLeft w:val="0"/>
      <w:marRight w:val="0"/>
      <w:marTop w:val="0"/>
      <w:marBottom w:val="0"/>
      <w:divBdr>
        <w:top w:val="none" w:sz="0" w:space="0" w:color="auto"/>
        <w:left w:val="none" w:sz="0" w:space="0" w:color="auto"/>
        <w:bottom w:val="none" w:sz="0" w:space="0" w:color="auto"/>
        <w:right w:val="none" w:sz="0" w:space="0" w:color="auto"/>
      </w:divBdr>
    </w:div>
    <w:div w:id="1240561322">
      <w:bodyDiv w:val="1"/>
      <w:marLeft w:val="0"/>
      <w:marRight w:val="0"/>
      <w:marTop w:val="0"/>
      <w:marBottom w:val="0"/>
      <w:divBdr>
        <w:top w:val="none" w:sz="0" w:space="0" w:color="auto"/>
        <w:left w:val="none" w:sz="0" w:space="0" w:color="auto"/>
        <w:bottom w:val="none" w:sz="0" w:space="0" w:color="auto"/>
        <w:right w:val="none" w:sz="0" w:space="0" w:color="auto"/>
      </w:divBdr>
    </w:div>
    <w:div w:id="1256935607">
      <w:bodyDiv w:val="1"/>
      <w:marLeft w:val="0"/>
      <w:marRight w:val="0"/>
      <w:marTop w:val="0"/>
      <w:marBottom w:val="0"/>
      <w:divBdr>
        <w:top w:val="none" w:sz="0" w:space="0" w:color="auto"/>
        <w:left w:val="none" w:sz="0" w:space="0" w:color="auto"/>
        <w:bottom w:val="none" w:sz="0" w:space="0" w:color="auto"/>
        <w:right w:val="none" w:sz="0" w:space="0" w:color="auto"/>
      </w:divBdr>
    </w:div>
    <w:div w:id="1286809554">
      <w:bodyDiv w:val="1"/>
      <w:marLeft w:val="0"/>
      <w:marRight w:val="0"/>
      <w:marTop w:val="0"/>
      <w:marBottom w:val="0"/>
      <w:divBdr>
        <w:top w:val="none" w:sz="0" w:space="0" w:color="auto"/>
        <w:left w:val="none" w:sz="0" w:space="0" w:color="auto"/>
        <w:bottom w:val="none" w:sz="0" w:space="0" w:color="auto"/>
        <w:right w:val="none" w:sz="0" w:space="0" w:color="auto"/>
      </w:divBdr>
      <w:divsChild>
        <w:div w:id="1838302400">
          <w:marLeft w:val="0"/>
          <w:marRight w:val="0"/>
          <w:marTop w:val="0"/>
          <w:marBottom w:val="0"/>
          <w:divBdr>
            <w:top w:val="none" w:sz="0" w:space="0" w:color="auto"/>
            <w:left w:val="none" w:sz="0" w:space="0" w:color="auto"/>
            <w:bottom w:val="none" w:sz="0" w:space="0" w:color="auto"/>
            <w:right w:val="none" w:sz="0" w:space="0" w:color="auto"/>
          </w:divBdr>
          <w:divsChild>
            <w:div w:id="616107222">
              <w:marLeft w:val="0"/>
              <w:marRight w:val="0"/>
              <w:marTop w:val="0"/>
              <w:marBottom w:val="0"/>
              <w:divBdr>
                <w:top w:val="none" w:sz="0" w:space="0" w:color="auto"/>
                <w:left w:val="none" w:sz="0" w:space="0" w:color="auto"/>
                <w:bottom w:val="none" w:sz="0" w:space="0" w:color="auto"/>
                <w:right w:val="none" w:sz="0" w:space="0" w:color="auto"/>
              </w:divBdr>
              <w:divsChild>
                <w:div w:id="1910113248">
                  <w:marLeft w:val="0"/>
                  <w:marRight w:val="0"/>
                  <w:marTop w:val="0"/>
                  <w:marBottom w:val="0"/>
                  <w:divBdr>
                    <w:top w:val="none" w:sz="0" w:space="0" w:color="auto"/>
                    <w:left w:val="none" w:sz="0" w:space="0" w:color="auto"/>
                    <w:bottom w:val="none" w:sz="0" w:space="0" w:color="auto"/>
                    <w:right w:val="none" w:sz="0" w:space="0" w:color="auto"/>
                  </w:divBdr>
                  <w:divsChild>
                    <w:div w:id="4745109">
                      <w:marLeft w:val="0"/>
                      <w:marRight w:val="0"/>
                      <w:marTop w:val="0"/>
                      <w:marBottom w:val="0"/>
                      <w:divBdr>
                        <w:top w:val="none" w:sz="0" w:space="0" w:color="auto"/>
                        <w:left w:val="none" w:sz="0" w:space="0" w:color="auto"/>
                        <w:bottom w:val="none" w:sz="0" w:space="0" w:color="auto"/>
                        <w:right w:val="none" w:sz="0" w:space="0" w:color="auto"/>
                      </w:divBdr>
                      <w:divsChild>
                        <w:div w:id="2052991406">
                          <w:marLeft w:val="0"/>
                          <w:marRight w:val="0"/>
                          <w:marTop w:val="0"/>
                          <w:marBottom w:val="0"/>
                          <w:divBdr>
                            <w:top w:val="none" w:sz="0" w:space="0" w:color="auto"/>
                            <w:left w:val="none" w:sz="0" w:space="0" w:color="auto"/>
                            <w:bottom w:val="none" w:sz="0" w:space="0" w:color="auto"/>
                            <w:right w:val="none" w:sz="0" w:space="0" w:color="auto"/>
                          </w:divBdr>
                          <w:divsChild>
                            <w:div w:id="2043558012">
                              <w:marLeft w:val="0"/>
                              <w:marRight w:val="0"/>
                              <w:marTop w:val="0"/>
                              <w:marBottom w:val="0"/>
                              <w:divBdr>
                                <w:top w:val="none" w:sz="0" w:space="0" w:color="auto"/>
                                <w:left w:val="none" w:sz="0" w:space="0" w:color="auto"/>
                                <w:bottom w:val="none" w:sz="0" w:space="0" w:color="auto"/>
                                <w:right w:val="none" w:sz="0" w:space="0" w:color="auto"/>
                              </w:divBdr>
                              <w:divsChild>
                                <w:div w:id="820925335">
                                  <w:marLeft w:val="0"/>
                                  <w:marRight w:val="0"/>
                                  <w:marTop w:val="0"/>
                                  <w:marBottom w:val="0"/>
                                  <w:divBdr>
                                    <w:top w:val="none" w:sz="0" w:space="0" w:color="auto"/>
                                    <w:left w:val="none" w:sz="0" w:space="0" w:color="auto"/>
                                    <w:bottom w:val="none" w:sz="0" w:space="0" w:color="auto"/>
                                    <w:right w:val="none" w:sz="0" w:space="0" w:color="auto"/>
                                  </w:divBdr>
                                  <w:divsChild>
                                    <w:div w:id="214051087">
                                      <w:marLeft w:val="0"/>
                                      <w:marRight w:val="0"/>
                                      <w:marTop w:val="0"/>
                                      <w:marBottom w:val="0"/>
                                      <w:divBdr>
                                        <w:top w:val="none" w:sz="0" w:space="0" w:color="auto"/>
                                        <w:left w:val="none" w:sz="0" w:space="0" w:color="auto"/>
                                        <w:bottom w:val="none" w:sz="0" w:space="0" w:color="auto"/>
                                        <w:right w:val="none" w:sz="0" w:space="0" w:color="auto"/>
                                      </w:divBdr>
                                      <w:divsChild>
                                        <w:div w:id="261501282">
                                          <w:marLeft w:val="0"/>
                                          <w:marRight w:val="0"/>
                                          <w:marTop w:val="0"/>
                                          <w:marBottom w:val="0"/>
                                          <w:divBdr>
                                            <w:top w:val="none" w:sz="0" w:space="0" w:color="auto"/>
                                            <w:left w:val="none" w:sz="0" w:space="0" w:color="auto"/>
                                            <w:bottom w:val="none" w:sz="0" w:space="0" w:color="auto"/>
                                            <w:right w:val="none" w:sz="0" w:space="0" w:color="auto"/>
                                          </w:divBdr>
                                          <w:divsChild>
                                            <w:div w:id="63926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302603">
          <w:marLeft w:val="0"/>
          <w:marRight w:val="0"/>
          <w:marTop w:val="0"/>
          <w:marBottom w:val="0"/>
          <w:divBdr>
            <w:top w:val="none" w:sz="0" w:space="0" w:color="auto"/>
            <w:left w:val="none" w:sz="0" w:space="0" w:color="auto"/>
            <w:bottom w:val="none" w:sz="0" w:space="0" w:color="auto"/>
            <w:right w:val="none" w:sz="0" w:space="0" w:color="auto"/>
          </w:divBdr>
          <w:divsChild>
            <w:div w:id="1332221619">
              <w:marLeft w:val="0"/>
              <w:marRight w:val="0"/>
              <w:marTop w:val="0"/>
              <w:marBottom w:val="0"/>
              <w:divBdr>
                <w:top w:val="none" w:sz="0" w:space="0" w:color="auto"/>
                <w:left w:val="none" w:sz="0" w:space="0" w:color="auto"/>
                <w:bottom w:val="none" w:sz="0" w:space="0" w:color="auto"/>
                <w:right w:val="none" w:sz="0" w:space="0" w:color="auto"/>
              </w:divBdr>
              <w:divsChild>
                <w:div w:id="706175579">
                  <w:marLeft w:val="0"/>
                  <w:marRight w:val="0"/>
                  <w:marTop w:val="0"/>
                  <w:marBottom w:val="0"/>
                  <w:divBdr>
                    <w:top w:val="none" w:sz="0" w:space="0" w:color="auto"/>
                    <w:left w:val="none" w:sz="0" w:space="0" w:color="auto"/>
                    <w:bottom w:val="none" w:sz="0" w:space="0" w:color="auto"/>
                    <w:right w:val="none" w:sz="0" w:space="0" w:color="auto"/>
                  </w:divBdr>
                  <w:divsChild>
                    <w:div w:id="1895701737">
                      <w:marLeft w:val="0"/>
                      <w:marRight w:val="0"/>
                      <w:marTop w:val="0"/>
                      <w:marBottom w:val="0"/>
                      <w:divBdr>
                        <w:top w:val="none" w:sz="0" w:space="0" w:color="auto"/>
                        <w:left w:val="none" w:sz="0" w:space="0" w:color="auto"/>
                        <w:bottom w:val="none" w:sz="0" w:space="0" w:color="auto"/>
                        <w:right w:val="none" w:sz="0" w:space="0" w:color="auto"/>
                      </w:divBdr>
                      <w:divsChild>
                        <w:div w:id="1569995656">
                          <w:marLeft w:val="0"/>
                          <w:marRight w:val="0"/>
                          <w:marTop w:val="0"/>
                          <w:marBottom w:val="0"/>
                          <w:divBdr>
                            <w:top w:val="none" w:sz="0" w:space="0" w:color="auto"/>
                            <w:left w:val="none" w:sz="0" w:space="0" w:color="auto"/>
                            <w:bottom w:val="none" w:sz="0" w:space="0" w:color="auto"/>
                            <w:right w:val="none" w:sz="0" w:space="0" w:color="auto"/>
                          </w:divBdr>
                          <w:divsChild>
                            <w:div w:id="1128401766">
                              <w:marLeft w:val="0"/>
                              <w:marRight w:val="0"/>
                              <w:marTop w:val="0"/>
                              <w:marBottom w:val="0"/>
                              <w:divBdr>
                                <w:top w:val="none" w:sz="0" w:space="0" w:color="auto"/>
                                <w:left w:val="none" w:sz="0" w:space="0" w:color="auto"/>
                                <w:bottom w:val="none" w:sz="0" w:space="0" w:color="auto"/>
                                <w:right w:val="none" w:sz="0" w:space="0" w:color="auto"/>
                              </w:divBdr>
                              <w:divsChild>
                                <w:div w:id="1004894478">
                                  <w:marLeft w:val="0"/>
                                  <w:marRight w:val="0"/>
                                  <w:marTop w:val="0"/>
                                  <w:marBottom w:val="0"/>
                                  <w:divBdr>
                                    <w:top w:val="none" w:sz="0" w:space="0" w:color="auto"/>
                                    <w:left w:val="none" w:sz="0" w:space="0" w:color="auto"/>
                                    <w:bottom w:val="none" w:sz="0" w:space="0" w:color="auto"/>
                                    <w:right w:val="none" w:sz="0" w:space="0" w:color="auto"/>
                                  </w:divBdr>
                                  <w:divsChild>
                                    <w:div w:id="61105254">
                                      <w:marLeft w:val="0"/>
                                      <w:marRight w:val="0"/>
                                      <w:marTop w:val="0"/>
                                      <w:marBottom w:val="0"/>
                                      <w:divBdr>
                                        <w:top w:val="none" w:sz="0" w:space="0" w:color="auto"/>
                                        <w:left w:val="none" w:sz="0" w:space="0" w:color="auto"/>
                                        <w:bottom w:val="none" w:sz="0" w:space="0" w:color="auto"/>
                                        <w:right w:val="none" w:sz="0" w:space="0" w:color="auto"/>
                                      </w:divBdr>
                                      <w:divsChild>
                                        <w:div w:id="399061042">
                                          <w:marLeft w:val="0"/>
                                          <w:marRight w:val="0"/>
                                          <w:marTop w:val="0"/>
                                          <w:marBottom w:val="0"/>
                                          <w:divBdr>
                                            <w:top w:val="none" w:sz="0" w:space="0" w:color="auto"/>
                                            <w:left w:val="none" w:sz="0" w:space="0" w:color="auto"/>
                                            <w:bottom w:val="none" w:sz="0" w:space="0" w:color="auto"/>
                                            <w:right w:val="none" w:sz="0" w:space="0" w:color="auto"/>
                                          </w:divBdr>
                                          <w:divsChild>
                                            <w:div w:id="689600404">
                                              <w:marLeft w:val="0"/>
                                              <w:marRight w:val="0"/>
                                              <w:marTop w:val="0"/>
                                              <w:marBottom w:val="0"/>
                                              <w:divBdr>
                                                <w:top w:val="none" w:sz="0" w:space="0" w:color="auto"/>
                                                <w:left w:val="none" w:sz="0" w:space="0" w:color="auto"/>
                                                <w:bottom w:val="none" w:sz="0" w:space="0" w:color="auto"/>
                                                <w:right w:val="none" w:sz="0" w:space="0" w:color="auto"/>
                                              </w:divBdr>
                                              <w:divsChild>
                                                <w:div w:id="1942644601">
                                                  <w:marLeft w:val="0"/>
                                                  <w:marRight w:val="0"/>
                                                  <w:marTop w:val="0"/>
                                                  <w:marBottom w:val="0"/>
                                                  <w:divBdr>
                                                    <w:top w:val="none" w:sz="0" w:space="0" w:color="auto"/>
                                                    <w:left w:val="none" w:sz="0" w:space="0" w:color="auto"/>
                                                    <w:bottom w:val="none" w:sz="0" w:space="0" w:color="auto"/>
                                                    <w:right w:val="none" w:sz="0" w:space="0" w:color="auto"/>
                                                  </w:divBdr>
                                                  <w:divsChild>
                                                    <w:div w:id="1430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5353822">
      <w:bodyDiv w:val="1"/>
      <w:marLeft w:val="0"/>
      <w:marRight w:val="0"/>
      <w:marTop w:val="0"/>
      <w:marBottom w:val="0"/>
      <w:divBdr>
        <w:top w:val="none" w:sz="0" w:space="0" w:color="auto"/>
        <w:left w:val="none" w:sz="0" w:space="0" w:color="auto"/>
        <w:bottom w:val="none" w:sz="0" w:space="0" w:color="auto"/>
        <w:right w:val="none" w:sz="0" w:space="0" w:color="auto"/>
      </w:divBdr>
    </w:div>
    <w:div w:id="1350646083">
      <w:bodyDiv w:val="1"/>
      <w:marLeft w:val="0"/>
      <w:marRight w:val="0"/>
      <w:marTop w:val="0"/>
      <w:marBottom w:val="0"/>
      <w:divBdr>
        <w:top w:val="none" w:sz="0" w:space="0" w:color="auto"/>
        <w:left w:val="none" w:sz="0" w:space="0" w:color="auto"/>
        <w:bottom w:val="none" w:sz="0" w:space="0" w:color="auto"/>
        <w:right w:val="none" w:sz="0" w:space="0" w:color="auto"/>
      </w:divBdr>
    </w:div>
    <w:div w:id="1430085328">
      <w:bodyDiv w:val="1"/>
      <w:marLeft w:val="0"/>
      <w:marRight w:val="0"/>
      <w:marTop w:val="0"/>
      <w:marBottom w:val="0"/>
      <w:divBdr>
        <w:top w:val="none" w:sz="0" w:space="0" w:color="auto"/>
        <w:left w:val="none" w:sz="0" w:space="0" w:color="auto"/>
        <w:bottom w:val="none" w:sz="0" w:space="0" w:color="auto"/>
        <w:right w:val="none" w:sz="0" w:space="0" w:color="auto"/>
      </w:divBdr>
    </w:div>
    <w:div w:id="1497960028">
      <w:bodyDiv w:val="1"/>
      <w:marLeft w:val="0"/>
      <w:marRight w:val="0"/>
      <w:marTop w:val="0"/>
      <w:marBottom w:val="0"/>
      <w:divBdr>
        <w:top w:val="none" w:sz="0" w:space="0" w:color="auto"/>
        <w:left w:val="none" w:sz="0" w:space="0" w:color="auto"/>
        <w:bottom w:val="none" w:sz="0" w:space="0" w:color="auto"/>
        <w:right w:val="none" w:sz="0" w:space="0" w:color="auto"/>
      </w:divBdr>
    </w:div>
    <w:div w:id="1566255836">
      <w:bodyDiv w:val="1"/>
      <w:marLeft w:val="0"/>
      <w:marRight w:val="0"/>
      <w:marTop w:val="0"/>
      <w:marBottom w:val="0"/>
      <w:divBdr>
        <w:top w:val="none" w:sz="0" w:space="0" w:color="auto"/>
        <w:left w:val="none" w:sz="0" w:space="0" w:color="auto"/>
        <w:bottom w:val="none" w:sz="0" w:space="0" w:color="auto"/>
        <w:right w:val="none" w:sz="0" w:space="0" w:color="auto"/>
      </w:divBdr>
    </w:div>
    <w:div w:id="1580285749">
      <w:bodyDiv w:val="1"/>
      <w:marLeft w:val="0"/>
      <w:marRight w:val="0"/>
      <w:marTop w:val="0"/>
      <w:marBottom w:val="0"/>
      <w:divBdr>
        <w:top w:val="none" w:sz="0" w:space="0" w:color="auto"/>
        <w:left w:val="none" w:sz="0" w:space="0" w:color="auto"/>
        <w:bottom w:val="none" w:sz="0" w:space="0" w:color="auto"/>
        <w:right w:val="none" w:sz="0" w:space="0" w:color="auto"/>
      </w:divBdr>
    </w:div>
    <w:div w:id="1631931588">
      <w:bodyDiv w:val="1"/>
      <w:marLeft w:val="0"/>
      <w:marRight w:val="0"/>
      <w:marTop w:val="0"/>
      <w:marBottom w:val="0"/>
      <w:divBdr>
        <w:top w:val="none" w:sz="0" w:space="0" w:color="auto"/>
        <w:left w:val="none" w:sz="0" w:space="0" w:color="auto"/>
        <w:bottom w:val="none" w:sz="0" w:space="0" w:color="auto"/>
        <w:right w:val="none" w:sz="0" w:space="0" w:color="auto"/>
      </w:divBdr>
    </w:div>
    <w:div w:id="1650087611">
      <w:bodyDiv w:val="1"/>
      <w:marLeft w:val="0"/>
      <w:marRight w:val="0"/>
      <w:marTop w:val="0"/>
      <w:marBottom w:val="0"/>
      <w:divBdr>
        <w:top w:val="none" w:sz="0" w:space="0" w:color="auto"/>
        <w:left w:val="none" w:sz="0" w:space="0" w:color="auto"/>
        <w:bottom w:val="none" w:sz="0" w:space="0" w:color="auto"/>
        <w:right w:val="none" w:sz="0" w:space="0" w:color="auto"/>
      </w:divBdr>
    </w:div>
    <w:div w:id="1680427465">
      <w:bodyDiv w:val="1"/>
      <w:marLeft w:val="0"/>
      <w:marRight w:val="0"/>
      <w:marTop w:val="0"/>
      <w:marBottom w:val="0"/>
      <w:divBdr>
        <w:top w:val="none" w:sz="0" w:space="0" w:color="auto"/>
        <w:left w:val="none" w:sz="0" w:space="0" w:color="auto"/>
        <w:bottom w:val="none" w:sz="0" w:space="0" w:color="auto"/>
        <w:right w:val="none" w:sz="0" w:space="0" w:color="auto"/>
      </w:divBdr>
    </w:div>
    <w:div w:id="1718821755">
      <w:bodyDiv w:val="1"/>
      <w:marLeft w:val="0"/>
      <w:marRight w:val="0"/>
      <w:marTop w:val="0"/>
      <w:marBottom w:val="0"/>
      <w:divBdr>
        <w:top w:val="none" w:sz="0" w:space="0" w:color="auto"/>
        <w:left w:val="none" w:sz="0" w:space="0" w:color="auto"/>
        <w:bottom w:val="none" w:sz="0" w:space="0" w:color="auto"/>
        <w:right w:val="none" w:sz="0" w:space="0" w:color="auto"/>
      </w:divBdr>
    </w:div>
    <w:div w:id="1764954934">
      <w:bodyDiv w:val="1"/>
      <w:marLeft w:val="0"/>
      <w:marRight w:val="0"/>
      <w:marTop w:val="0"/>
      <w:marBottom w:val="0"/>
      <w:divBdr>
        <w:top w:val="none" w:sz="0" w:space="0" w:color="auto"/>
        <w:left w:val="none" w:sz="0" w:space="0" w:color="auto"/>
        <w:bottom w:val="none" w:sz="0" w:space="0" w:color="auto"/>
        <w:right w:val="none" w:sz="0" w:space="0" w:color="auto"/>
      </w:divBdr>
    </w:div>
    <w:div w:id="1827164191">
      <w:bodyDiv w:val="1"/>
      <w:marLeft w:val="0"/>
      <w:marRight w:val="0"/>
      <w:marTop w:val="0"/>
      <w:marBottom w:val="0"/>
      <w:divBdr>
        <w:top w:val="none" w:sz="0" w:space="0" w:color="auto"/>
        <w:left w:val="none" w:sz="0" w:space="0" w:color="auto"/>
        <w:bottom w:val="none" w:sz="0" w:space="0" w:color="auto"/>
        <w:right w:val="none" w:sz="0" w:space="0" w:color="auto"/>
      </w:divBdr>
    </w:div>
    <w:div w:id="1888644196">
      <w:bodyDiv w:val="1"/>
      <w:marLeft w:val="0"/>
      <w:marRight w:val="0"/>
      <w:marTop w:val="0"/>
      <w:marBottom w:val="0"/>
      <w:divBdr>
        <w:top w:val="none" w:sz="0" w:space="0" w:color="auto"/>
        <w:left w:val="none" w:sz="0" w:space="0" w:color="auto"/>
        <w:bottom w:val="none" w:sz="0" w:space="0" w:color="auto"/>
        <w:right w:val="none" w:sz="0" w:space="0" w:color="auto"/>
      </w:divBdr>
    </w:div>
    <w:div w:id="1892227301">
      <w:bodyDiv w:val="1"/>
      <w:marLeft w:val="0"/>
      <w:marRight w:val="0"/>
      <w:marTop w:val="0"/>
      <w:marBottom w:val="0"/>
      <w:divBdr>
        <w:top w:val="none" w:sz="0" w:space="0" w:color="auto"/>
        <w:left w:val="none" w:sz="0" w:space="0" w:color="auto"/>
        <w:bottom w:val="none" w:sz="0" w:space="0" w:color="auto"/>
        <w:right w:val="none" w:sz="0" w:space="0" w:color="auto"/>
      </w:divBdr>
    </w:div>
    <w:div w:id="1905294495">
      <w:bodyDiv w:val="1"/>
      <w:marLeft w:val="0"/>
      <w:marRight w:val="0"/>
      <w:marTop w:val="0"/>
      <w:marBottom w:val="0"/>
      <w:divBdr>
        <w:top w:val="none" w:sz="0" w:space="0" w:color="auto"/>
        <w:left w:val="none" w:sz="0" w:space="0" w:color="auto"/>
        <w:bottom w:val="none" w:sz="0" w:space="0" w:color="auto"/>
        <w:right w:val="none" w:sz="0" w:space="0" w:color="auto"/>
      </w:divBdr>
    </w:div>
    <w:div w:id="1907840554">
      <w:bodyDiv w:val="1"/>
      <w:marLeft w:val="0"/>
      <w:marRight w:val="0"/>
      <w:marTop w:val="0"/>
      <w:marBottom w:val="0"/>
      <w:divBdr>
        <w:top w:val="none" w:sz="0" w:space="0" w:color="auto"/>
        <w:left w:val="none" w:sz="0" w:space="0" w:color="auto"/>
        <w:bottom w:val="none" w:sz="0" w:space="0" w:color="auto"/>
        <w:right w:val="none" w:sz="0" w:space="0" w:color="auto"/>
      </w:divBdr>
    </w:div>
    <w:div w:id="1931769338">
      <w:bodyDiv w:val="1"/>
      <w:marLeft w:val="0"/>
      <w:marRight w:val="0"/>
      <w:marTop w:val="0"/>
      <w:marBottom w:val="0"/>
      <w:divBdr>
        <w:top w:val="none" w:sz="0" w:space="0" w:color="auto"/>
        <w:left w:val="none" w:sz="0" w:space="0" w:color="auto"/>
        <w:bottom w:val="none" w:sz="0" w:space="0" w:color="auto"/>
        <w:right w:val="none" w:sz="0" w:space="0" w:color="auto"/>
      </w:divBdr>
    </w:div>
    <w:div w:id="1965647207">
      <w:bodyDiv w:val="1"/>
      <w:marLeft w:val="0"/>
      <w:marRight w:val="0"/>
      <w:marTop w:val="0"/>
      <w:marBottom w:val="0"/>
      <w:divBdr>
        <w:top w:val="none" w:sz="0" w:space="0" w:color="auto"/>
        <w:left w:val="none" w:sz="0" w:space="0" w:color="auto"/>
        <w:bottom w:val="none" w:sz="0" w:space="0" w:color="auto"/>
        <w:right w:val="none" w:sz="0" w:space="0" w:color="auto"/>
      </w:divBdr>
    </w:div>
    <w:div w:id="1990597400">
      <w:bodyDiv w:val="1"/>
      <w:marLeft w:val="0"/>
      <w:marRight w:val="0"/>
      <w:marTop w:val="0"/>
      <w:marBottom w:val="0"/>
      <w:divBdr>
        <w:top w:val="none" w:sz="0" w:space="0" w:color="auto"/>
        <w:left w:val="none" w:sz="0" w:space="0" w:color="auto"/>
        <w:bottom w:val="none" w:sz="0" w:space="0" w:color="auto"/>
        <w:right w:val="none" w:sz="0" w:space="0" w:color="auto"/>
      </w:divBdr>
    </w:div>
    <w:div w:id="1993175015">
      <w:bodyDiv w:val="1"/>
      <w:marLeft w:val="0"/>
      <w:marRight w:val="0"/>
      <w:marTop w:val="0"/>
      <w:marBottom w:val="0"/>
      <w:divBdr>
        <w:top w:val="none" w:sz="0" w:space="0" w:color="auto"/>
        <w:left w:val="none" w:sz="0" w:space="0" w:color="auto"/>
        <w:bottom w:val="none" w:sz="0" w:space="0" w:color="auto"/>
        <w:right w:val="none" w:sz="0" w:space="0" w:color="auto"/>
      </w:divBdr>
    </w:div>
    <w:div w:id="1996912209">
      <w:bodyDiv w:val="1"/>
      <w:marLeft w:val="0"/>
      <w:marRight w:val="0"/>
      <w:marTop w:val="0"/>
      <w:marBottom w:val="0"/>
      <w:divBdr>
        <w:top w:val="none" w:sz="0" w:space="0" w:color="auto"/>
        <w:left w:val="none" w:sz="0" w:space="0" w:color="auto"/>
        <w:bottom w:val="none" w:sz="0" w:space="0" w:color="auto"/>
        <w:right w:val="none" w:sz="0" w:space="0" w:color="auto"/>
      </w:divBdr>
    </w:div>
    <w:div w:id="2012177878">
      <w:bodyDiv w:val="1"/>
      <w:marLeft w:val="0"/>
      <w:marRight w:val="0"/>
      <w:marTop w:val="0"/>
      <w:marBottom w:val="0"/>
      <w:divBdr>
        <w:top w:val="none" w:sz="0" w:space="0" w:color="auto"/>
        <w:left w:val="none" w:sz="0" w:space="0" w:color="auto"/>
        <w:bottom w:val="none" w:sz="0" w:space="0" w:color="auto"/>
        <w:right w:val="none" w:sz="0" w:space="0" w:color="auto"/>
      </w:divBdr>
    </w:div>
    <w:div w:id="2027513832">
      <w:bodyDiv w:val="1"/>
      <w:marLeft w:val="0"/>
      <w:marRight w:val="0"/>
      <w:marTop w:val="0"/>
      <w:marBottom w:val="0"/>
      <w:divBdr>
        <w:top w:val="none" w:sz="0" w:space="0" w:color="auto"/>
        <w:left w:val="none" w:sz="0" w:space="0" w:color="auto"/>
        <w:bottom w:val="none" w:sz="0" w:space="0" w:color="auto"/>
        <w:right w:val="none" w:sz="0" w:space="0" w:color="auto"/>
      </w:divBdr>
    </w:div>
    <w:div w:id="2058508645">
      <w:bodyDiv w:val="1"/>
      <w:marLeft w:val="0"/>
      <w:marRight w:val="0"/>
      <w:marTop w:val="0"/>
      <w:marBottom w:val="0"/>
      <w:divBdr>
        <w:top w:val="none" w:sz="0" w:space="0" w:color="auto"/>
        <w:left w:val="none" w:sz="0" w:space="0" w:color="auto"/>
        <w:bottom w:val="none" w:sz="0" w:space="0" w:color="auto"/>
        <w:right w:val="none" w:sz="0" w:space="0" w:color="auto"/>
      </w:divBdr>
    </w:div>
    <w:div w:id="2069574867">
      <w:bodyDiv w:val="1"/>
      <w:marLeft w:val="0"/>
      <w:marRight w:val="0"/>
      <w:marTop w:val="0"/>
      <w:marBottom w:val="0"/>
      <w:divBdr>
        <w:top w:val="none" w:sz="0" w:space="0" w:color="auto"/>
        <w:left w:val="none" w:sz="0" w:space="0" w:color="auto"/>
        <w:bottom w:val="none" w:sz="0" w:space="0" w:color="auto"/>
        <w:right w:val="none" w:sz="0" w:space="0" w:color="auto"/>
      </w:divBdr>
    </w:div>
    <w:div w:id="2094013155">
      <w:bodyDiv w:val="1"/>
      <w:marLeft w:val="0"/>
      <w:marRight w:val="0"/>
      <w:marTop w:val="0"/>
      <w:marBottom w:val="0"/>
      <w:divBdr>
        <w:top w:val="none" w:sz="0" w:space="0" w:color="auto"/>
        <w:left w:val="none" w:sz="0" w:space="0" w:color="auto"/>
        <w:bottom w:val="none" w:sz="0" w:space="0" w:color="auto"/>
        <w:right w:val="none" w:sz="0" w:space="0" w:color="auto"/>
      </w:divBdr>
    </w:div>
    <w:div w:id="21401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lsand.esvalabs.com/?u=https%3A%2F%2Fgov.wales%2Fethical-employment-supply-chains-code-practice&amp;e=1d6375c3&amp;h=8d71feeb&amp;f=y&amp;p=y&amp;m=4gkyfc6f87zG27s" TargetMode="External"/><Relationship Id="rId4" Type="http://schemas.openxmlformats.org/officeDocument/2006/relationships/settings" Target="settings.xml"/><Relationship Id="rId9" Type="http://schemas.openxmlformats.org/officeDocument/2006/relationships/hyperlink" Target="https://supplierengagementhe.net-positiv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63BB5-6880-45C4-AD6D-EF7DA153C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6841</Words>
  <Characters>39000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2026-06-26T12:23:00Z</dcterms:created>
  <dcterms:modified xsi:type="dcterms:W3CDTF">2026-07-03T14:04:00Z</dcterms:modified>
</cp:coreProperties>
</file>