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23D0" w14:textId="77777777" w:rsidR="0000510C" w:rsidRDefault="0000510C" w:rsidP="0000510C">
      <w:pPr>
        <w:pStyle w:val="Heading1"/>
        <w:rPr>
          <w:color w:val="000000" w:themeColor="text1"/>
          <w:sz w:val="36"/>
          <w:szCs w:val="36"/>
        </w:rPr>
      </w:pPr>
    </w:p>
    <w:p w14:paraId="04194692" w14:textId="77777777" w:rsidR="0000510C" w:rsidRDefault="0000510C" w:rsidP="0000510C">
      <w:pPr>
        <w:pStyle w:val="Heading1"/>
        <w:rPr>
          <w:color w:val="000000" w:themeColor="text1"/>
          <w:sz w:val="36"/>
          <w:szCs w:val="36"/>
        </w:rPr>
      </w:pPr>
    </w:p>
    <w:p w14:paraId="6AC32809" w14:textId="0167149E" w:rsidR="0000510C" w:rsidRPr="009D73D5" w:rsidRDefault="0000510C" w:rsidP="0000510C">
      <w:pPr>
        <w:pStyle w:val="BodyBoldCentre"/>
        <w:ind w:left="0"/>
      </w:pPr>
      <w:r>
        <w:t xml:space="preserve">PERFORMANCE </w:t>
      </w:r>
      <w:r w:rsidRPr="009D73D5">
        <w:t>SPECIFICATION FOR</w:t>
      </w:r>
      <w:r>
        <w:t xml:space="preserve"> THE INSTALLATION</w:t>
      </w:r>
      <w:r w:rsidRPr="009D73D5">
        <w:t xml:space="preserve"> </w:t>
      </w:r>
    </w:p>
    <w:p w14:paraId="5BE3D2C9" w14:textId="77777777" w:rsidR="0000510C" w:rsidRPr="009D73D5" w:rsidRDefault="0000510C" w:rsidP="0000510C">
      <w:pPr>
        <w:pStyle w:val="BodyBoldCentre"/>
        <w:ind w:left="0"/>
      </w:pPr>
    </w:p>
    <w:p w14:paraId="4E1A49FA" w14:textId="77777777" w:rsidR="0000510C" w:rsidRPr="009D73D5" w:rsidRDefault="0000510C" w:rsidP="0000510C">
      <w:pPr>
        <w:pStyle w:val="BodyBoldCentre"/>
        <w:ind w:left="0"/>
      </w:pPr>
      <w:r w:rsidRPr="009D73D5">
        <w:t xml:space="preserve">OF </w:t>
      </w:r>
    </w:p>
    <w:p w14:paraId="6194D74E" w14:textId="77777777" w:rsidR="0000510C" w:rsidRPr="009D73D5" w:rsidRDefault="0000510C" w:rsidP="0000510C">
      <w:pPr>
        <w:pStyle w:val="BodyBoldCentre"/>
        <w:ind w:left="0"/>
      </w:pPr>
    </w:p>
    <w:p w14:paraId="2614C339" w14:textId="77777777" w:rsidR="0000510C" w:rsidRPr="009D73D5" w:rsidRDefault="0000510C" w:rsidP="0000510C">
      <w:pPr>
        <w:pStyle w:val="BodyBoldCentre"/>
        <w:ind w:left="0"/>
      </w:pPr>
      <w:r>
        <w:t xml:space="preserve">FOUR NEW LIFTS      </w:t>
      </w:r>
    </w:p>
    <w:p w14:paraId="05922D2A" w14:textId="77777777" w:rsidR="0000510C" w:rsidRPr="009D73D5" w:rsidRDefault="0000510C" w:rsidP="0000510C">
      <w:pPr>
        <w:pStyle w:val="BodyBoldCentre"/>
        <w:ind w:left="0"/>
      </w:pPr>
    </w:p>
    <w:p w14:paraId="53DB545C" w14:textId="77777777" w:rsidR="0000510C" w:rsidRPr="00D3335D" w:rsidRDefault="0000510C" w:rsidP="0000510C">
      <w:pPr>
        <w:pStyle w:val="BodyBoldCentre"/>
        <w:ind w:left="0"/>
      </w:pPr>
      <w:r w:rsidRPr="00D3335D">
        <w:t>LOCATED AT</w:t>
      </w:r>
    </w:p>
    <w:p w14:paraId="20403ECA" w14:textId="77777777" w:rsidR="0000510C" w:rsidRPr="009D73D5" w:rsidRDefault="0000510C" w:rsidP="0000510C">
      <w:pPr>
        <w:pStyle w:val="BodyBoldCentre"/>
        <w:ind w:left="0"/>
      </w:pPr>
    </w:p>
    <w:p w14:paraId="5BB59E67" w14:textId="77777777" w:rsidR="0000510C" w:rsidRDefault="0000510C" w:rsidP="0000510C">
      <w:pPr>
        <w:pStyle w:val="BodyBoldCentre"/>
        <w:ind w:left="0"/>
      </w:pPr>
      <w:r>
        <w:t>VARIOUS SITES</w:t>
      </w:r>
    </w:p>
    <w:p w14:paraId="618AB925" w14:textId="77777777" w:rsidR="0000510C" w:rsidRPr="009D73D5" w:rsidRDefault="0000510C" w:rsidP="0000510C">
      <w:pPr>
        <w:pStyle w:val="BodyBoldCentre"/>
        <w:ind w:left="0"/>
      </w:pPr>
    </w:p>
    <w:p w14:paraId="21EDB794" w14:textId="77777777" w:rsidR="0000510C" w:rsidRPr="009D73D5" w:rsidRDefault="0000510C" w:rsidP="0000510C">
      <w:pPr>
        <w:pStyle w:val="BodyBoldCentre"/>
        <w:ind w:left="0"/>
      </w:pPr>
      <w:r w:rsidRPr="009D73D5">
        <w:t>ON BEHALF OF</w:t>
      </w:r>
    </w:p>
    <w:p w14:paraId="37A87B43" w14:textId="77777777" w:rsidR="0000510C" w:rsidRPr="009D73D5" w:rsidRDefault="0000510C" w:rsidP="0000510C">
      <w:pPr>
        <w:pStyle w:val="BodyBoldCentre"/>
        <w:ind w:left="0"/>
      </w:pPr>
    </w:p>
    <w:p w14:paraId="558D92A7" w14:textId="77777777" w:rsidR="0000510C" w:rsidRDefault="0000510C" w:rsidP="0000510C">
      <w:pPr>
        <w:pStyle w:val="BodyBoldCentre"/>
        <w:ind w:left="0"/>
      </w:pPr>
      <w:r>
        <w:t xml:space="preserve">BEACON GROUP CYMRU LTD </w:t>
      </w:r>
    </w:p>
    <w:p w14:paraId="333FFE4A" w14:textId="77777777" w:rsidR="0000510C" w:rsidRDefault="0000510C" w:rsidP="0000510C">
      <w:pPr>
        <w:pStyle w:val="StyleCentered"/>
        <w:jc w:val="left"/>
      </w:pPr>
    </w:p>
    <w:p w14:paraId="390B2CC2" w14:textId="77777777" w:rsidR="0000510C" w:rsidRDefault="0000510C" w:rsidP="0000510C">
      <w:pPr>
        <w:pStyle w:val="StyleCentered"/>
        <w:jc w:val="left"/>
      </w:pPr>
    </w:p>
    <w:p w14:paraId="7CC0DA13" w14:textId="77777777" w:rsidR="0000510C" w:rsidRPr="00083A31" w:rsidRDefault="0000510C" w:rsidP="0000510C">
      <w:pPr>
        <w:tabs>
          <w:tab w:val="left" w:pos="1845"/>
        </w:tabs>
        <w:rPr>
          <w:szCs w:val="22"/>
        </w:rPr>
      </w:pPr>
    </w:p>
    <w:p w14:paraId="0D7B15AC" w14:textId="77777777" w:rsidR="0000510C" w:rsidRDefault="0000510C" w:rsidP="0000510C">
      <w:pPr>
        <w:pStyle w:val="StyleCentered"/>
      </w:pPr>
    </w:p>
    <w:p w14:paraId="45FB2A3F" w14:textId="77777777" w:rsidR="0000510C" w:rsidRPr="00EE4314" w:rsidRDefault="0000510C" w:rsidP="0000510C">
      <w:pPr>
        <w:pStyle w:val="StyleCentered"/>
      </w:pPr>
    </w:p>
    <w:p w14:paraId="768AB7B7" w14:textId="77777777" w:rsidR="0000510C" w:rsidRDefault="0000510C" w:rsidP="0000510C"/>
    <w:p w14:paraId="33D124DA" w14:textId="77777777" w:rsidR="0000510C" w:rsidRDefault="0000510C" w:rsidP="0000510C"/>
    <w:p w14:paraId="2E1EEB74" w14:textId="77777777" w:rsidR="0000510C" w:rsidRDefault="0000510C" w:rsidP="0000510C"/>
    <w:p w14:paraId="42B6DBC5" w14:textId="77777777" w:rsidR="0000510C" w:rsidRDefault="0000510C" w:rsidP="0000510C"/>
    <w:p w14:paraId="7C19EACE" w14:textId="77777777" w:rsidR="0000510C" w:rsidRDefault="0000510C" w:rsidP="0000510C"/>
    <w:p w14:paraId="578CC5A5" w14:textId="77777777" w:rsidR="0000510C" w:rsidRPr="009D10B7" w:rsidRDefault="0000510C" w:rsidP="0000510C"/>
    <w:p w14:paraId="0951E3AA" w14:textId="77777777" w:rsidR="0000510C" w:rsidRPr="009D10B7" w:rsidRDefault="0000510C" w:rsidP="0000510C"/>
    <w:p w14:paraId="190F3E36" w14:textId="5CA30567" w:rsidR="0000510C" w:rsidRPr="00441E4C" w:rsidRDefault="0000510C" w:rsidP="0000510C">
      <w:pPr>
        <w:pStyle w:val="Heading1"/>
        <w:rPr>
          <w:color w:val="000000" w:themeColor="text1"/>
          <w:sz w:val="36"/>
          <w:szCs w:val="36"/>
        </w:rPr>
      </w:pPr>
      <w:r w:rsidRPr="00441E4C">
        <w:rPr>
          <w:color w:val="000000" w:themeColor="text1"/>
          <w:sz w:val="36"/>
          <w:szCs w:val="36"/>
        </w:rPr>
        <w:lastRenderedPageBreak/>
        <w:t>INSTRUCTIONS TO TENDERER</w:t>
      </w:r>
    </w:p>
    <w:p w14:paraId="78D2609A" w14:textId="77777777" w:rsidR="0000510C" w:rsidRPr="00C55BC5" w:rsidRDefault="0000510C" w:rsidP="0000510C">
      <w:pPr>
        <w:spacing w:before="100" w:beforeAutospacing="1" w:after="100" w:afterAutospacing="1" w:line="300" w:lineRule="atLeast"/>
        <w:outlineLvl w:val="1"/>
        <w:rPr>
          <w:rFonts w:cs="Segoe UI"/>
          <w:b/>
          <w:bCs/>
          <w:color w:val="000000" w:themeColor="text1"/>
          <w:szCs w:val="22"/>
          <w:lang w:eastAsia="en-GB"/>
        </w:rPr>
      </w:pPr>
      <w:r w:rsidRPr="00C55BC5">
        <w:rPr>
          <w:rFonts w:cs="Segoe UI"/>
          <w:b/>
          <w:bCs/>
          <w:color w:val="000000" w:themeColor="text1"/>
          <w:szCs w:val="22"/>
          <w:lang w:eastAsia="en-GB"/>
        </w:rPr>
        <w:t>1.1         Introduction</w:t>
      </w:r>
    </w:p>
    <w:p w14:paraId="39D0DC9F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Beacon Group (acting via Barcud) invites tenders for the design, manufacture, supply, installation and commissioning of vertical transportation (VT) systems at the following locations:</w:t>
      </w:r>
    </w:p>
    <w:p w14:paraId="1CAC902A" w14:textId="77777777" w:rsidR="0000510C" w:rsidRPr="00093095" w:rsidRDefault="0000510C" w:rsidP="0000510C">
      <w:pPr>
        <w:numPr>
          <w:ilvl w:val="0"/>
          <w:numId w:val="26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proofErr w:type="spellStart"/>
      <w:r w:rsidRPr="00093095">
        <w:rPr>
          <w:rFonts w:cs="Segoe UI"/>
          <w:szCs w:val="22"/>
          <w:lang w:eastAsia="en-GB"/>
        </w:rPr>
        <w:t>Llys</w:t>
      </w:r>
      <w:proofErr w:type="spellEnd"/>
      <w:r w:rsidRPr="00093095">
        <w:rPr>
          <w:rFonts w:cs="Segoe UI"/>
          <w:szCs w:val="22"/>
          <w:lang w:eastAsia="en-GB"/>
        </w:rPr>
        <w:t xml:space="preserve"> Nazareth</w:t>
      </w:r>
    </w:p>
    <w:p w14:paraId="23234AEA" w14:textId="77777777" w:rsidR="0000510C" w:rsidRPr="00093095" w:rsidRDefault="0000510C" w:rsidP="0000510C">
      <w:pPr>
        <w:numPr>
          <w:ilvl w:val="0"/>
          <w:numId w:val="26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093095">
        <w:rPr>
          <w:rFonts w:cs="Segoe UI"/>
          <w:szCs w:val="22"/>
          <w:lang w:eastAsia="en-GB"/>
        </w:rPr>
        <w:t>Ty Bethania</w:t>
      </w:r>
    </w:p>
    <w:p w14:paraId="1BFDBA91" w14:textId="77777777" w:rsidR="0000510C" w:rsidRPr="00093095" w:rsidRDefault="0000510C" w:rsidP="0000510C">
      <w:pPr>
        <w:numPr>
          <w:ilvl w:val="0"/>
          <w:numId w:val="26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093095">
        <w:rPr>
          <w:rFonts w:cs="Segoe UI"/>
          <w:szCs w:val="22"/>
          <w:lang w:eastAsia="en-GB"/>
        </w:rPr>
        <w:t>Constantine Court</w:t>
      </w:r>
    </w:p>
    <w:p w14:paraId="6FEB120F" w14:textId="77777777" w:rsidR="0000510C" w:rsidRPr="00093095" w:rsidRDefault="0000510C" w:rsidP="0000510C">
      <w:pPr>
        <w:numPr>
          <w:ilvl w:val="0"/>
          <w:numId w:val="26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proofErr w:type="spellStart"/>
      <w:r w:rsidRPr="00093095">
        <w:rPr>
          <w:rFonts w:cs="Segoe UI"/>
          <w:szCs w:val="22"/>
          <w:lang w:eastAsia="en-GB"/>
        </w:rPr>
        <w:t>Llys</w:t>
      </w:r>
      <w:proofErr w:type="spellEnd"/>
      <w:r w:rsidRPr="00093095">
        <w:rPr>
          <w:rFonts w:cs="Segoe UI"/>
          <w:szCs w:val="22"/>
          <w:lang w:eastAsia="en-GB"/>
        </w:rPr>
        <w:t xml:space="preserve"> Yr Onnen</w:t>
      </w:r>
    </w:p>
    <w:p w14:paraId="2820AAEF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The works are divided into two separate lots: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3"/>
        <w:gridCol w:w="3206"/>
      </w:tblGrid>
      <w:tr w:rsidR="0000510C" w14:paraId="6B0E9A9E" w14:textId="77777777" w:rsidTr="005739A3">
        <w:trPr>
          <w:jc w:val="center"/>
        </w:trPr>
        <w:tc>
          <w:tcPr>
            <w:tcW w:w="3593" w:type="dxa"/>
            <w:shd w:val="clear" w:color="auto" w:fill="DAE9F7" w:themeFill="text2" w:themeFillTint="1A"/>
          </w:tcPr>
          <w:p w14:paraId="084A5271" w14:textId="77777777" w:rsidR="0000510C" w:rsidRPr="00A549FF" w:rsidRDefault="0000510C" w:rsidP="00D75818">
            <w:pPr>
              <w:spacing w:before="100" w:beforeAutospacing="1" w:after="100" w:afterAutospacing="1" w:line="300" w:lineRule="atLeast"/>
              <w:jc w:val="center"/>
              <w:rPr>
                <w:rFonts w:cs="Segoe UI"/>
                <w:b/>
                <w:bCs/>
                <w:szCs w:val="22"/>
              </w:rPr>
            </w:pPr>
            <w:r w:rsidRPr="00A549FF">
              <w:rPr>
                <w:rFonts w:cs="Segoe UI"/>
                <w:b/>
                <w:bCs/>
                <w:szCs w:val="22"/>
              </w:rPr>
              <w:t>Lot 1</w:t>
            </w:r>
          </w:p>
        </w:tc>
        <w:tc>
          <w:tcPr>
            <w:tcW w:w="3206" w:type="dxa"/>
            <w:shd w:val="clear" w:color="auto" w:fill="DAE9F7" w:themeFill="text2" w:themeFillTint="1A"/>
          </w:tcPr>
          <w:p w14:paraId="264974B2" w14:textId="77777777" w:rsidR="0000510C" w:rsidRPr="00A549FF" w:rsidRDefault="0000510C" w:rsidP="00D75818">
            <w:pPr>
              <w:spacing w:before="100" w:beforeAutospacing="1" w:after="100" w:afterAutospacing="1" w:line="300" w:lineRule="atLeast"/>
              <w:jc w:val="center"/>
              <w:rPr>
                <w:rFonts w:cs="Segoe UI"/>
                <w:b/>
                <w:bCs/>
                <w:szCs w:val="22"/>
              </w:rPr>
            </w:pPr>
            <w:r w:rsidRPr="00A549FF">
              <w:rPr>
                <w:rFonts w:cs="Segoe UI"/>
                <w:b/>
                <w:bCs/>
                <w:szCs w:val="22"/>
              </w:rPr>
              <w:t>Lot 2</w:t>
            </w:r>
          </w:p>
        </w:tc>
      </w:tr>
      <w:tr w:rsidR="0000510C" w14:paraId="3BD1ACE0" w14:textId="77777777" w:rsidTr="00D75818">
        <w:trPr>
          <w:trHeight w:val="539"/>
          <w:jc w:val="center"/>
        </w:trPr>
        <w:tc>
          <w:tcPr>
            <w:tcW w:w="3593" w:type="dxa"/>
          </w:tcPr>
          <w:p w14:paraId="2A4E83F4" w14:textId="77777777" w:rsidR="0000510C" w:rsidRDefault="0000510C" w:rsidP="00D75818">
            <w:pPr>
              <w:spacing w:before="100" w:beforeAutospacing="1" w:after="0" w:line="300" w:lineRule="atLeast"/>
              <w:rPr>
                <w:rFonts w:cs="Segoe UI"/>
                <w:b/>
                <w:bCs/>
                <w:color w:val="156082" w:themeColor="accent1"/>
                <w:szCs w:val="22"/>
              </w:rPr>
            </w:pPr>
            <w:r w:rsidRPr="004922F5">
              <w:rPr>
                <w:rFonts w:cs="Segoe UI"/>
                <w:szCs w:val="22"/>
              </w:rPr>
              <w:t>Ty Bethania</w:t>
            </w:r>
          </w:p>
        </w:tc>
        <w:tc>
          <w:tcPr>
            <w:tcW w:w="3206" w:type="dxa"/>
          </w:tcPr>
          <w:p w14:paraId="2128F87E" w14:textId="77777777" w:rsidR="0000510C" w:rsidRDefault="0000510C" w:rsidP="00D75818">
            <w:pPr>
              <w:spacing w:before="100" w:beforeAutospacing="1" w:after="100" w:afterAutospacing="1" w:line="300" w:lineRule="atLeast"/>
              <w:rPr>
                <w:rFonts w:cs="Segoe UI"/>
                <w:b/>
                <w:bCs/>
                <w:color w:val="156082" w:themeColor="accent1"/>
                <w:szCs w:val="22"/>
              </w:rPr>
            </w:pPr>
            <w:r w:rsidRPr="00A549FF">
              <w:rPr>
                <w:rFonts w:cs="Segoe UI"/>
                <w:szCs w:val="22"/>
              </w:rPr>
              <w:t>Constantine Court</w:t>
            </w:r>
          </w:p>
        </w:tc>
      </w:tr>
      <w:tr w:rsidR="0000510C" w14:paraId="0BE20CD7" w14:textId="77777777" w:rsidTr="00D75818">
        <w:trPr>
          <w:trHeight w:val="515"/>
          <w:jc w:val="center"/>
        </w:trPr>
        <w:tc>
          <w:tcPr>
            <w:tcW w:w="3593" w:type="dxa"/>
          </w:tcPr>
          <w:p w14:paraId="75E1E291" w14:textId="77777777" w:rsidR="0000510C" w:rsidRDefault="0000510C" w:rsidP="00D75818">
            <w:pPr>
              <w:spacing w:before="100" w:beforeAutospacing="1" w:after="0" w:line="300" w:lineRule="atLeast"/>
              <w:rPr>
                <w:rFonts w:cs="Segoe UI"/>
                <w:b/>
                <w:bCs/>
                <w:color w:val="156082" w:themeColor="accent1"/>
                <w:szCs w:val="22"/>
              </w:rPr>
            </w:pPr>
            <w:proofErr w:type="spellStart"/>
            <w:r w:rsidRPr="004922F5">
              <w:rPr>
                <w:rFonts w:cs="Segoe UI"/>
                <w:szCs w:val="22"/>
              </w:rPr>
              <w:t>Llys</w:t>
            </w:r>
            <w:proofErr w:type="spellEnd"/>
            <w:r w:rsidRPr="004922F5">
              <w:rPr>
                <w:rFonts w:cs="Segoe UI"/>
                <w:szCs w:val="22"/>
              </w:rPr>
              <w:t xml:space="preserve"> Nazareth</w:t>
            </w:r>
          </w:p>
        </w:tc>
        <w:tc>
          <w:tcPr>
            <w:tcW w:w="3206" w:type="dxa"/>
          </w:tcPr>
          <w:p w14:paraId="75BDC2AB" w14:textId="77777777" w:rsidR="0000510C" w:rsidRDefault="0000510C" w:rsidP="00D75818">
            <w:pPr>
              <w:spacing w:before="100" w:beforeAutospacing="1" w:after="100" w:afterAutospacing="1" w:line="300" w:lineRule="atLeast"/>
              <w:rPr>
                <w:rFonts w:cs="Segoe UI"/>
                <w:b/>
                <w:bCs/>
                <w:color w:val="156082" w:themeColor="accent1"/>
                <w:szCs w:val="22"/>
              </w:rPr>
            </w:pPr>
            <w:proofErr w:type="spellStart"/>
            <w:r w:rsidRPr="00A549FF">
              <w:rPr>
                <w:rFonts w:cs="Segoe UI"/>
                <w:szCs w:val="22"/>
              </w:rPr>
              <w:t>Llys</w:t>
            </w:r>
            <w:proofErr w:type="spellEnd"/>
            <w:r w:rsidRPr="00A549FF">
              <w:rPr>
                <w:rFonts w:cs="Segoe UI"/>
                <w:szCs w:val="22"/>
              </w:rPr>
              <w:t xml:space="preserve"> Yr Onnen</w:t>
            </w:r>
          </w:p>
        </w:tc>
      </w:tr>
    </w:tbl>
    <w:p w14:paraId="7A134B2D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Tenderers may submit a tender for:</w:t>
      </w:r>
    </w:p>
    <w:p w14:paraId="5137EA98" w14:textId="77777777" w:rsidR="0000510C" w:rsidRPr="007A644E" w:rsidRDefault="0000510C" w:rsidP="0000510C">
      <w:pPr>
        <w:numPr>
          <w:ilvl w:val="0"/>
          <w:numId w:val="27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One lot only, or</w:t>
      </w:r>
    </w:p>
    <w:p w14:paraId="692F9CC3" w14:textId="77777777" w:rsidR="0000510C" w:rsidRPr="007A644E" w:rsidRDefault="0000510C" w:rsidP="0000510C">
      <w:pPr>
        <w:numPr>
          <w:ilvl w:val="0"/>
          <w:numId w:val="27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Both lots</w:t>
      </w:r>
    </w:p>
    <w:p w14:paraId="629DD2FC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Each lot will be evaluated independently, and the Client reserves the right to:</w:t>
      </w:r>
    </w:p>
    <w:p w14:paraId="5BB3E7D6" w14:textId="77777777" w:rsidR="0000510C" w:rsidRPr="007A644E" w:rsidRDefault="0000510C" w:rsidP="0000510C">
      <w:pPr>
        <w:numPr>
          <w:ilvl w:val="0"/>
          <w:numId w:val="28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Award one or both lots to a single Tenderer, or</w:t>
      </w:r>
    </w:p>
    <w:p w14:paraId="1FD1D1DD" w14:textId="77777777" w:rsidR="0000510C" w:rsidRPr="007A644E" w:rsidRDefault="0000510C" w:rsidP="0000510C">
      <w:pPr>
        <w:numPr>
          <w:ilvl w:val="0"/>
          <w:numId w:val="28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Award each lot to different Tenderers</w:t>
      </w:r>
    </w:p>
    <w:p w14:paraId="4F6CCBF3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The Client’s intention is to procure installations that:</w:t>
      </w:r>
    </w:p>
    <w:p w14:paraId="1BD8F9C1" w14:textId="77777777" w:rsidR="0000510C" w:rsidRPr="007A644E" w:rsidRDefault="0000510C" w:rsidP="0000510C">
      <w:pPr>
        <w:numPr>
          <w:ilvl w:val="0"/>
          <w:numId w:val="5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Fully comply with all relevant statutory regulations and standards identified within this document</w:t>
      </w:r>
    </w:p>
    <w:p w14:paraId="6DF217BC" w14:textId="77777777" w:rsidR="0000510C" w:rsidRPr="007A644E" w:rsidRDefault="0000510C" w:rsidP="0000510C">
      <w:pPr>
        <w:numPr>
          <w:ilvl w:val="0"/>
          <w:numId w:val="5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Meet the performance criteria set out in CIBSE Guide D (Transportation Systems in Buildings)</w:t>
      </w:r>
    </w:p>
    <w:p w14:paraId="7B857118" w14:textId="77777777" w:rsidR="0000510C" w:rsidRPr="007A644E" w:rsidRDefault="0000510C" w:rsidP="0000510C">
      <w:pPr>
        <w:numPr>
          <w:ilvl w:val="0"/>
          <w:numId w:val="5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Provide safe, reliable and maintainable solutions appropriate to each building</w:t>
      </w:r>
    </w:p>
    <w:p w14:paraId="495091D7" w14:textId="77777777" w:rsidR="0000510C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This Specification has been prepared by TÜV SÜD LCC, acting as Technical Advisor only.</w:t>
      </w:r>
    </w:p>
    <w:p w14:paraId="32F7C324" w14:textId="77777777" w:rsidR="0000510C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</w:p>
    <w:p w14:paraId="66061457" w14:textId="77777777" w:rsidR="0000510C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</w:p>
    <w:p w14:paraId="12474CC3" w14:textId="77777777" w:rsidR="0000510C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</w:p>
    <w:p w14:paraId="545891AE" w14:textId="77777777" w:rsidR="0000510C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</w:p>
    <w:p w14:paraId="64D9ACEE" w14:textId="77777777" w:rsidR="0000510C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</w:p>
    <w:p w14:paraId="0DCC15CF" w14:textId="77777777" w:rsidR="0000510C" w:rsidRPr="003A1D5C" w:rsidRDefault="0000510C" w:rsidP="0000510C">
      <w:pPr>
        <w:spacing w:before="100" w:beforeAutospacing="1" w:after="100" w:afterAutospacing="1" w:line="300" w:lineRule="atLeast"/>
        <w:outlineLvl w:val="1"/>
        <w:rPr>
          <w:rFonts w:cs="Segoe UI"/>
          <w:b/>
          <w:bCs/>
          <w:color w:val="000000" w:themeColor="text1"/>
          <w:szCs w:val="22"/>
          <w:lang w:eastAsia="en-GB"/>
        </w:rPr>
      </w:pPr>
      <w:r w:rsidRPr="003A1D5C">
        <w:rPr>
          <w:rFonts w:cs="Segoe UI"/>
          <w:b/>
          <w:bCs/>
          <w:color w:val="000000" w:themeColor="text1"/>
          <w:szCs w:val="22"/>
          <w:lang w:eastAsia="en-GB"/>
        </w:rPr>
        <w:lastRenderedPageBreak/>
        <w:t xml:space="preserve">1.2 </w:t>
      </w:r>
      <w:r>
        <w:rPr>
          <w:rFonts w:cs="Segoe UI"/>
          <w:b/>
          <w:bCs/>
          <w:color w:val="000000" w:themeColor="text1"/>
          <w:szCs w:val="22"/>
          <w:lang w:eastAsia="en-GB"/>
        </w:rPr>
        <w:t xml:space="preserve">       </w:t>
      </w:r>
      <w:r w:rsidRPr="003A1D5C">
        <w:rPr>
          <w:rFonts w:cs="Segoe UI"/>
          <w:b/>
          <w:bCs/>
          <w:color w:val="000000" w:themeColor="text1"/>
          <w:szCs w:val="22"/>
          <w:lang w:eastAsia="en-GB"/>
        </w:rPr>
        <w:t>Lotting and Pricing Requirements</w:t>
      </w:r>
    </w:p>
    <w:p w14:paraId="696D5687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Tenderers shall structure their submissions in accordance with the defined lotting arrangement.</w:t>
      </w:r>
    </w:p>
    <w:p w14:paraId="229D58F4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For each lot tendered, Tenderers shall provide:</w:t>
      </w:r>
    </w:p>
    <w:p w14:paraId="096A4F4D" w14:textId="77777777" w:rsidR="0000510C" w:rsidRPr="007A644E" w:rsidRDefault="0000510C" w:rsidP="0000510C">
      <w:pPr>
        <w:numPr>
          <w:ilvl w:val="0"/>
          <w:numId w:val="29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 separate total price for the lot</w:t>
      </w:r>
    </w:p>
    <w:p w14:paraId="4E70FB76" w14:textId="77777777" w:rsidR="0000510C" w:rsidRPr="007A644E" w:rsidRDefault="0000510C" w:rsidP="0000510C">
      <w:pPr>
        <w:numPr>
          <w:ilvl w:val="0"/>
          <w:numId w:val="29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 breakdown of cost per site within the lot</w:t>
      </w:r>
    </w:p>
    <w:p w14:paraId="5F6BCA70" w14:textId="77777777" w:rsidR="0000510C" w:rsidRPr="007A644E" w:rsidRDefault="0000510C" w:rsidP="0000510C">
      <w:pPr>
        <w:numPr>
          <w:ilvl w:val="0"/>
          <w:numId w:val="29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 xml:space="preserve">A clear identification of any: </w:t>
      </w:r>
    </w:p>
    <w:p w14:paraId="45420C18" w14:textId="77777777" w:rsidR="0000510C" w:rsidRPr="007A644E" w:rsidRDefault="0000510C" w:rsidP="0000510C">
      <w:pPr>
        <w:numPr>
          <w:ilvl w:val="1"/>
          <w:numId w:val="29"/>
        </w:numPr>
        <w:spacing w:before="100" w:beforeAutospacing="1" w:after="100" w:afterAutospacing="1" w:line="300" w:lineRule="atLeast"/>
        <w:ind w:left="1437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Shared costs</w:t>
      </w:r>
    </w:p>
    <w:p w14:paraId="11D6D3A8" w14:textId="77777777" w:rsidR="0000510C" w:rsidRPr="007A644E" w:rsidRDefault="0000510C" w:rsidP="0000510C">
      <w:pPr>
        <w:numPr>
          <w:ilvl w:val="1"/>
          <w:numId w:val="29"/>
        </w:numPr>
        <w:spacing w:before="100" w:beforeAutospacing="1" w:after="100" w:afterAutospacing="1" w:line="300" w:lineRule="atLeast"/>
        <w:ind w:left="1437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Efficiencies or discounts applied across multiple sites or lots</w:t>
      </w:r>
    </w:p>
    <w:p w14:paraId="79828CD3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Where a Tenderer submits for both lots, they may additionally provide:</w:t>
      </w:r>
    </w:p>
    <w:p w14:paraId="20616EB8" w14:textId="77777777" w:rsidR="0000510C" w:rsidRPr="007A644E" w:rsidRDefault="0000510C" w:rsidP="0000510C">
      <w:pPr>
        <w:numPr>
          <w:ilvl w:val="0"/>
          <w:numId w:val="30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 combined offer reflecting efficiencies for delivery of all four sites</w:t>
      </w:r>
    </w:p>
    <w:p w14:paraId="54E14A41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All pricing shall be:</w:t>
      </w:r>
    </w:p>
    <w:p w14:paraId="61EA8F68" w14:textId="77777777" w:rsidR="0000510C" w:rsidRPr="007A644E" w:rsidRDefault="0000510C" w:rsidP="0000510C">
      <w:pPr>
        <w:numPr>
          <w:ilvl w:val="0"/>
          <w:numId w:val="31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Fully inclusive</w:t>
      </w:r>
    </w:p>
    <w:p w14:paraId="7E8C62EB" w14:textId="77777777" w:rsidR="0000510C" w:rsidRPr="007A644E" w:rsidRDefault="0000510C" w:rsidP="006C272D">
      <w:pPr>
        <w:numPr>
          <w:ilvl w:val="0"/>
          <w:numId w:val="31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Aligned with the scope defined in this Specification</w:t>
      </w:r>
    </w:p>
    <w:p w14:paraId="7161B38E" w14:textId="30CFF750" w:rsidR="006C272D" w:rsidRPr="006C272D" w:rsidRDefault="006C272D" w:rsidP="006C272D">
      <w:pPr>
        <w:pStyle w:val="Heading2"/>
        <w:spacing w:line="300" w:lineRule="atLeast"/>
        <w:rPr>
          <w:rFonts w:ascii="Arial Narrow" w:eastAsia="Times New Roman" w:hAnsi="Arial Narrow" w:cs="Segoe UI"/>
          <w:b/>
          <w:bCs/>
          <w:color w:val="auto"/>
          <w:sz w:val="22"/>
          <w:szCs w:val="22"/>
          <w:lang w:eastAsia="en-GB"/>
        </w:rPr>
      </w:pPr>
      <w:r>
        <w:rPr>
          <w:rFonts w:ascii="Arial Narrow" w:hAnsi="Arial Narrow" w:cs="Segoe UI"/>
          <w:b/>
          <w:bCs/>
          <w:color w:val="000000" w:themeColor="text1"/>
          <w:sz w:val="22"/>
          <w:szCs w:val="16"/>
          <w:lang w:eastAsia="en-GB"/>
        </w:rPr>
        <w:t xml:space="preserve">1.3        </w:t>
      </w:r>
      <w:r w:rsidRPr="006C272D">
        <w:rPr>
          <w:rFonts w:ascii="Arial Narrow" w:eastAsia="Times New Roman" w:hAnsi="Arial Narrow" w:cs="Segoe UI"/>
          <w:b/>
          <w:bCs/>
          <w:color w:val="auto"/>
          <w:sz w:val="22"/>
          <w:szCs w:val="22"/>
          <w:lang w:eastAsia="en-GB"/>
        </w:rPr>
        <w:t>Tender Evaluation Criteria</w:t>
      </w:r>
    </w:p>
    <w:p w14:paraId="4C324100" w14:textId="77777777" w:rsidR="006C272D" w:rsidRPr="006C272D" w:rsidRDefault="006C272D" w:rsidP="006C272D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 xml:space="preserve">Tenders will be evaluated on the basis of the </w:t>
      </w:r>
      <w:r w:rsidRPr="006C272D">
        <w:rPr>
          <w:rFonts w:cs="Segoe UI"/>
          <w:b/>
          <w:bCs/>
          <w:szCs w:val="22"/>
          <w:lang w:eastAsia="en-GB"/>
        </w:rPr>
        <w:t>Most Economically Advantageous Tender (MEAT)</w:t>
      </w:r>
      <w:r w:rsidRPr="006C272D">
        <w:rPr>
          <w:rFonts w:cs="Segoe UI"/>
          <w:szCs w:val="22"/>
          <w:lang w:eastAsia="en-GB"/>
        </w:rPr>
        <w:t>.</w:t>
      </w:r>
    </w:p>
    <w:p w14:paraId="3EF484ED" w14:textId="77777777" w:rsidR="006C272D" w:rsidRPr="006C272D" w:rsidRDefault="006C272D" w:rsidP="006C272D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>The evaluation will comprise:</w:t>
      </w:r>
    </w:p>
    <w:p w14:paraId="459C4F77" w14:textId="77777777" w:rsidR="006C272D" w:rsidRPr="006C272D" w:rsidRDefault="006C272D" w:rsidP="006C272D">
      <w:pPr>
        <w:numPr>
          <w:ilvl w:val="0"/>
          <w:numId w:val="37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6C272D">
        <w:rPr>
          <w:rFonts w:cs="Segoe UI"/>
          <w:b/>
          <w:bCs/>
          <w:szCs w:val="22"/>
          <w:lang w:eastAsia="en-GB"/>
        </w:rPr>
        <w:t>Quality:</w:t>
      </w:r>
      <w:r w:rsidRPr="006C272D">
        <w:rPr>
          <w:rFonts w:cs="Segoe UI"/>
          <w:szCs w:val="22"/>
          <w:lang w:eastAsia="en-GB"/>
        </w:rPr>
        <w:t xml:space="preserve"> 60%</w:t>
      </w:r>
    </w:p>
    <w:p w14:paraId="18A15A21" w14:textId="77777777" w:rsidR="006C272D" w:rsidRPr="006C272D" w:rsidRDefault="006C272D" w:rsidP="006C272D">
      <w:pPr>
        <w:numPr>
          <w:ilvl w:val="0"/>
          <w:numId w:val="37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6C272D">
        <w:rPr>
          <w:rFonts w:cs="Segoe UI"/>
          <w:b/>
          <w:bCs/>
          <w:szCs w:val="22"/>
          <w:lang w:eastAsia="en-GB"/>
        </w:rPr>
        <w:t>Price:</w:t>
      </w:r>
      <w:r w:rsidRPr="006C272D">
        <w:rPr>
          <w:rFonts w:cs="Segoe UI"/>
          <w:szCs w:val="22"/>
          <w:lang w:eastAsia="en-GB"/>
        </w:rPr>
        <w:t xml:space="preserve"> 40%</w:t>
      </w:r>
    </w:p>
    <w:p w14:paraId="010B6BEC" w14:textId="77777777" w:rsidR="006C272D" w:rsidRPr="006C272D" w:rsidRDefault="006C272D" w:rsidP="006C272D">
      <w:pPr>
        <w:spacing w:before="100" w:beforeAutospacing="1" w:after="100" w:afterAutospacing="1" w:line="300" w:lineRule="atLeast"/>
        <w:ind w:left="680"/>
        <w:outlineLvl w:val="2"/>
        <w:rPr>
          <w:rFonts w:cs="Segoe UI"/>
          <w:b/>
          <w:bCs/>
          <w:szCs w:val="22"/>
          <w:lang w:eastAsia="en-GB"/>
        </w:rPr>
      </w:pPr>
      <w:r w:rsidRPr="006C272D">
        <w:rPr>
          <w:rFonts w:cs="Segoe UI"/>
          <w:b/>
          <w:bCs/>
          <w:szCs w:val="22"/>
          <w:lang w:eastAsia="en-GB"/>
        </w:rPr>
        <w:t>Quality (60%)</w:t>
      </w:r>
    </w:p>
    <w:p w14:paraId="2E37FE99" w14:textId="77777777" w:rsidR="006C272D" w:rsidRPr="006C272D" w:rsidRDefault="006C272D" w:rsidP="006C272D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 xml:space="preserve">Quality will be assessed based on the Tenderer’s responses to the </w:t>
      </w:r>
      <w:r w:rsidRPr="006C272D">
        <w:rPr>
          <w:rFonts w:cs="Segoe UI"/>
          <w:b/>
          <w:bCs/>
          <w:szCs w:val="22"/>
          <w:lang w:eastAsia="en-GB"/>
        </w:rPr>
        <w:t>Quality Questions contained within Schedule 5</w:t>
      </w:r>
      <w:r w:rsidRPr="006C272D">
        <w:rPr>
          <w:rFonts w:cs="Segoe UI"/>
          <w:szCs w:val="22"/>
          <w:lang w:eastAsia="en-GB"/>
        </w:rPr>
        <w:t>, which may include (but are not limited to):</w:t>
      </w:r>
    </w:p>
    <w:p w14:paraId="352F0076" w14:textId="77777777" w:rsidR="006C272D" w:rsidRPr="006C272D" w:rsidRDefault="006C272D" w:rsidP="006C272D">
      <w:pPr>
        <w:numPr>
          <w:ilvl w:val="0"/>
          <w:numId w:val="38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>Technical compliance with the Specification</w:t>
      </w:r>
    </w:p>
    <w:p w14:paraId="67317BC7" w14:textId="77777777" w:rsidR="006C272D" w:rsidRPr="006C272D" w:rsidRDefault="006C272D" w:rsidP="006C272D">
      <w:pPr>
        <w:numPr>
          <w:ilvl w:val="0"/>
          <w:numId w:val="38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>Methodology and delivery approach</w:t>
      </w:r>
    </w:p>
    <w:p w14:paraId="70667FBB" w14:textId="77777777" w:rsidR="006C272D" w:rsidRPr="006C272D" w:rsidRDefault="006C272D" w:rsidP="006C272D">
      <w:pPr>
        <w:numPr>
          <w:ilvl w:val="0"/>
          <w:numId w:val="38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>Programme and resource planning</w:t>
      </w:r>
    </w:p>
    <w:p w14:paraId="273F29D0" w14:textId="77777777" w:rsidR="006C272D" w:rsidRPr="006C272D" w:rsidRDefault="006C272D" w:rsidP="006C272D">
      <w:pPr>
        <w:numPr>
          <w:ilvl w:val="0"/>
          <w:numId w:val="38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>Relevant experience and competence</w:t>
      </w:r>
    </w:p>
    <w:p w14:paraId="3D33D439" w14:textId="77777777" w:rsidR="006C272D" w:rsidRPr="006C272D" w:rsidRDefault="006C272D" w:rsidP="006C272D">
      <w:pPr>
        <w:numPr>
          <w:ilvl w:val="0"/>
          <w:numId w:val="38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>Health &amp; Safety and risk management</w:t>
      </w:r>
    </w:p>
    <w:p w14:paraId="08616960" w14:textId="77777777" w:rsidR="006C272D" w:rsidRPr="006C272D" w:rsidRDefault="006C272D" w:rsidP="006C272D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 xml:space="preserve">Full details of the quality evaluation methodology and scoring criteria are provided within </w:t>
      </w:r>
      <w:r w:rsidRPr="006C272D">
        <w:rPr>
          <w:rFonts w:cs="Segoe UI"/>
          <w:b/>
          <w:bCs/>
          <w:szCs w:val="22"/>
          <w:lang w:eastAsia="en-GB"/>
        </w:rPr>
        <w:t>Schedule 5</w:t>
      </w:r>
      <w:r w:rsidRPr="006C272D">
        <w:rPr>
          <w:rFonts w:cs="Segoe UI"/>
          <w:szCs w:val="22"/>
          <w:lang w:eastAsia="en-GB"/>
        </w:rPr>
        <w:t>.</w:t>
      </w:r>
    </w:p>
    <w:p w14:paraId="1C14331C" w14:textId="354F7A3A" w:rsidR="006C272D" w:rsidRDefault="006C272D" w:rsidP="006C272D">
      <w:pPr>
        <w:spacing w:before="0" w:after="0" w:line="300" w:lineRule="atLeast"/>
        <w:rPr>
          <w:rFonts w:cs="Segoe UI"/>
          <w:szCs w:val="22"/>
          <w:lang w:eastAsia="en-GB"/>
        </w:rPr>
      </w:pPr>
    </w:p>
    <w:p w14:paraId="2F73F0CC" w14:textId="77777777" w:rsidR="006C272D" w:rsidRDefault="006C272D" w:rsidP="006C272D">
      <w:pPr>
        <w:spacing w:before="0" w:after="0" w:line="300" w:lineRule="atLeast"/>
        <w:rPr>
          <w:rFonts w:cs="Segoe UI"/>
          <w:szCs w:val="22"/>
          <w:lang w:eastAsia="en-GB"/>
        </w:rPr>
      </w:pPr>
    </w:p>
    <w:p w14:paraId="53D484AF" w14:textId="77777777" w:rsidR="006C272D" w:rsidRPr="006C272D" w:rsidRDefault="006C272D" w:rsidP="006C272D">
      <w:pPr>
        <w:spacing w:before="0" w:after="0" w:line="300" w:lineRule="atLeast"/>
        <w:rPr>
          <w:rFonts w:cs="Segoe UI"/>
          <w:szCs w:val="22"/>
          <w:lang w:eastAsia="en-GB"/>
        </w:rPr>
      </w:pPr>
    </w:p>
    <w:p w14:paraId="4DF98B98" w14:textId="77777777" w:rsidR="006C272D" w:rsidRPr="006C272D" w:rsidRDefault="006C272D" w:rsidP="006C272D">
      <w:pPr>
        <w:spacing w:before="100" w:beforeAutospacing="1" w:after="100" w:afterAutospacing="1" w:line="300" w:lineRule="atLeast"/>
        <w:ind w:left="680"/>
        <w:outlineLvl w:val="2"/>
        <w:rPr>
          <w:rFonts w:cs="Segoe UI"/>
          <w:b/>
          <w:bCs/>
          <w:szCs w:val="22"/>
          <w:lang w:eastAsia="en-GB"/>
        </w:rPr>
      </w:pPr>
      <w:r w:rsidRPr="006C272D">
        <w:rPr>
          <w:rFonts w:cs="Segoe UI"/>
          <w:b/>
          <w:bCs/>
          <w:szCs w:val="22"/>
          <w:lang w:eastAsia="en-GB"/>
        </w:rPr>
        <w:lastRenderedPageBreak/>
        <w:t>Price (40%)</w:t>
      </w:r>
    </w:p>
    <w:p w14:paraId="796D1890" w14:textId="77777777" w:rsidR="006C272D" w:rsidRPr="006C272D" w:rsidRDefault="006C272D" w:rsidP="006C272D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>Price will be evaluated based on:</w:t>
      </w:r>
    </w:p>
    <w:p w14:paraId="69543E0D" w14:textId="77777777" w:rsidR="006C272D" w:rsidRPr="006C272D" w:rsidRDefault="006C272D" w:rsidP="006C272D">
      <w:pPr>
        <w:numPr>
          <w:ilvl w:val="0"/>
          <w:numId w:val="39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 xml:space="preserve">The </w:t>
      </w:r>
      <w:r w:rsidRPr="006C272D">
        <w:rPr>
          <w:rFonts w:cs="Segoe UI"/>
          <w:b/>
          <w:bCs/>
          <w:szCs w:val="22"/>
          <w:lang w:eastAsia="en-GB"/>
        </w:rPr>
        <w:t>total tendered sum</w:t>
      </w:r>
      <w:r w:rsidRPr="006C272D">
        <w:rPr>
          <w:rFonts w:cs="Segoe UI"/>
          <w:szCs w:val="22"/>
          <w:lang w:eastAsia="en-GB"/>
        </w:rPr>
        <w:t>,</w:t>
      </w:r>
    </w:p>
    <w:p w14:paraId="5FDD6EBC" w14:textId="77777777" w:rsidR="006C272D" w:rsidRPr="006C272D" w:rsidRDefault="006C272D" w:rsidP="006C272D">
      <w:pPr>
        <w:numPr>
          <w:ilvl w:val="0"/>
          <w:numId w:val="39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>Including any required cost breakdowns (per lot and per site),</w:t>
      </w:r>
    </w:p>
    <w:p w14:paraId="4CEDFF5B" w14:textId="77777777" w:rsidR="006C272D" w:rsidRPr="006C272D" w:rsidRDefault="006C272D" w:rsidP="006C272D">
      <w:pPr>
        <w:numPr>
          <w:ilvl w:val="0"/>
          <w:numId w:val="39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>In accordance with the pricing requirements set out in the tender documents</w:t>
      </w:r>
    </w:p>
    <w:p w14:paraId="42C624A7" w14:textId="77777777" w:rsidR="006C272D" w:rsidRPr="006C272D" w:rsidRDefault="006C272D" w:rsidP="006C272D">
      <w:pPr>
        <w:spacing w:before="100" w:beforeAutospacing="1" w:after="100" w:afterAutospacing="1" w:line="300" w:lineRule="atLeast"/>
        <w:outlineLvl w:val="2"/>
        <w:rPr>
          <w:rFonts w:cs="Segoe UI"/>
          <w:b/>
          <w:bCs/>
          <w:szCs w:val="22"/>
          <w:lang w:eastAsia="en-GB"/>
        </w:rPr>
      </w:pPr>
      <w:r w:rsidRPr="006C272D">
        <w:rPr>
          <w:rFonts w:cs="Segoe UI"/>
          <w:b/>
          <w:bCs/>
          <w:szCs w:val="22"/>
          <w:lang w:eastAsia="en-GB"/>
        </w:rPr>
        <w:t>General</w:t>
      </w:r>
    </w:p>
    <w:p w14:paraId="4678F901" w14:textId="77777777" w:rsidR="006C272D" w:rsidRPr="006C272D" w:rsidRDefault="006C272D" w:rsidP="006C272D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>The Client reserves the right to:</w:t>
      </w:r>
    </w:p>
    <w:p w14:paraId="29F56924" w14:textId="77777777" w:rsidR="006C272D" w:rsidRPr="006C272D" w:rsidRDefault="006C272D" w:rsidP="006C272D">
      <w:pPr>
        <w:numPr>
          <w:ilvl w:val="0"/>
          <w:numId w:val="40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>Seek clarification on any element of a Tender submission</w:t>
      </w:r>
    </w:p>
    <w:p w14:paraId="46CF5262" w14:textId="77777777" w:rsidR="006C272D" w:rsidRPr="006C272D" w:rsidRDefault="006C272D" w:rsidP="006C272D">
      <w:pPr>
        <w:numPr>
          <w:ilvl w:val="0"/>
          <w:numId w:val="40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>Take into account any qualifications when scoring</w:t>
      </w:r>
    </w:p>
    <w:p w14:paraId="1A985E4F" w14:textId="77777777" w:rsidR="006C272D" w:rsidRPr="006C272D" w:rsidRDefault="006C272D" w:rsidP="006C272D">
      <w:pPr>
        <w:numPr>
          <w:ilvl w:val="0"/>
          <w:numId w:val="40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6C272D">
        <w:rPr>
          <w:rFonts w:cs="Segoe UI"/>
          <w:szCs w:val="22"/>
          <w:lang w:eastAsia="en-GB"/>
        </w:rPr>
        <w:t>Evaluate lots separately or in combination to determine best overall value</w:t>
      </w:r>
    </w:p>
    <w:p w14:paraId="55813A9F" w14:textId="6266B4F8" w:rsidR="006C272D" w:rsidRDefault="006C272D" w:rsidP="0000510C">
      <w:pPr>
        <w:spacing w:before="0" w:after="0" w:line="300" w:lineRule="atLeast"/>
        <w:rPr>
          <w:rFonts w:cs="Segoe UI"/>
          <w:b/>
          <w:bCs/>
          <w:color w:val="000000" w:themeColor="text1"/>
          <w:szCs w:val="22"/>
          <w:lang w:eastAsia="en-GB"/>
        </w:rPr>
      </w:pPr>
    </w:p>
    <w:p w14:paraId="3D279DAE" w14:textId="77777777" w:rsidR="006C272D" w:rsidRDefault="006C272D" w:rsidP="0000510C">
      <w:pPr>
        <w:spacing w:before="0" w:after="0" w:line="300" w:lineRule="atLeast"/>
        <w:rPr>
          <w:rFonts w:cs="Segoe UI"/>
          <w:b/>
          <w:bCs/>
          <w:color w:val="000000" w:themeColor="text1"/>
          <w:szCs w:val="22"/>
          <w:lang w:eastAsia="en-GB"/>
        </w:rPr>
      </w:pPr>
    </w:p>
    <w:p w14:paraId="6ABBBEEA" w14:textId="299AE732" w:rsidR="0000510C" w:rsidRDefault="006C272D" w:rsidP="0000510C">
      <w:pPr>
        <w:spacing w:before="0" w:after="0" w:line="300" w:lineRule="atLeast"/>
        <w:rPr>
          <w:rFonts w:cs="Segoe UI"/>
          <w:b/>
          <w:bCs/>
          <w:color w:val="000000" w:themeColor="text1"/>
          <w:szCs w:val="22"/>
          <w:lang w:eastAsia="en-GB"/>
        </w:rPr>
      </w:pPr>
      <w:r>
        <w:rPr>
          <w:rFonts w:cs="Segoe UI"/>
          <w:b/>
          <w:bCs/>
          <w:color w:val="000000" w:themeColor="text1"/>
          <w:szCs w:val="22"/>
          <w:lang w:eastAsia="en-GB"/>
        </w:rPr>
        <w:t xml:space="preserve">1.4         </w:t>
      </w:r>
      <w:r w:rsidR="0000510C" w:rsidRPr="003A1D5C">
        <w:rPr>
          <w:rFonts w:cs="Segoe UI"/>
          <w:b/>
          <w:bCs/>
          <w:color w:val="000000" w:themeColor="text1"/>
          <w:szCs w:val="22"/>
          <w:lang w:eastAsia="en-GB"/>
        </w:rPr>
        <w:t>Tender Process and Submission</w:t>
      </w:r>
    </w:p>
    <w:p w14:paraId="0C924F35" w14:textId="77777777" w:rsidR="006C272D" w:rsidRDefault="006C272D" w:rsidP="0000510C">
      <w:pPr>
        <w:spacing w:before="0" w:after="0" w:line="300" w:lineRule="atLeast"/>
        <w:rPr>
          <w:rFonts w:cs="Segoe UI"/>
          <w:b/>
          <w:bCs/>
          <w:color w:val="000000" w:themeColor="text1"/>
          <w:szCs w:val="22"/>
          <w:lang w:eastAsia="en-GB"/>
        </w:rPr>
      </w:pPr>
    </w:p>
    <w:p w14:paraId="3F98066D" w14:textId="77777777" w:rsidR="0000510C" w:rsidRPr="007A644E" w:rsidRDefault="0000510C" w:rsidP="006C272D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The tender process will be administered by BARCUD via the Sell2Wales procurement portal.</w:t>
      </w:r>
    </w:p>
    <w:p w14:paraId="463B6142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Tenderers shall:</w:t>
      </w:r>
    </w:p>
    <w:p w14:paraId="6F0EFCC3" w14:textId="77777777" w:rsidR="0000510C" w:rsidRPr="007A644E" w:rsidRDefault="0000510C" w:rsidP="0000510C">
      <w:pPr>
        <w:numPr>
          <w:ilvl w:val="0"/>
          <w:numId w:val="6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Download all documentation from Sell2Wales</w:t>
      </w:r>
    </w:p>
    <w:p w14:paraId="2D03B23D" w14:textId="77777777" w:rsidR="0000510C" w:rsidRPr="007A644E" w:rsidRDefault="0000510C" w:rsidP="0000510C">
      <w:pPr>
        <w:numPr>
          <w:ilvl w:val="0"/>
          <w:numId w:val="6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Submit their completed tender electronically via the portal only</w:t>
      </w:r>
    </w:p>
    <w:p w14:paraId="01D98922" w14:textId="77777777" w:rsidR="0000510C" w:rsidRPr="007A644E" w:rsidRDefault="0000510C" w:rsidP="0000510C">
      <w:pPr>
        <w:numPr>
          <w:ilvl w:val="0"/>
          <w:numId w:val="6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Ensure submission is made in accordance with the portal requirements</w:t>
      </w:r>
    </w:p>
    <w:p w14:paraId="116E8EF5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b/>
          <w:bCs/>
          <w:szCs w:val="22"/>
          <w:lang w:eastAsia="en-GB"/>
        </w:rPr>
        <w:t>Submission Deadline:</w:t>
      </w:r>
    </w:p>
    <w:p w14:paraId="596F09EC" w14:textId="7918FC52" w:rsidR="0000510C" w:rsidRPr="007316C6" w:rsidRDefault="0000510C" w:rsidP="0000510C">
      <w:pPr>
        <w:numPr>
          <w:ilvl w:val="0"/>
          <w:numId w:val="7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316C6">
        <w:rPr>
          <w:rFonts w:cs="Segoe UI"/>
          <w:b/>
          <w:bCs/>
          <w:szCs w:val="22"/>
          <w:lang w:eastAsia="en-GB"/>
        </w:rPr>
        <w:t>Date:</w:t>
      </w:r>
      <w:r w:rsidRPr="007316C6">
        <w:rPr>
          <w:rFonts w:cs="Segoe UI"/>
          <w:szCs w:val="22"/>
          <w:lang w:eastAsia="en-GB"/>
        </w:rPr>
        <w:t xml:space="preserve"> </w:t>
      </w:r>
      <w:r w:rsidR="00370ADE" w:rsidRPr="007316C6">
        <w:rPr>
          <w:rFonts w:cs="Segoe UI"/>
          <w:i/>
          <w:iCs/>
          <w:szCs w:val="22"/>
          <w:lang w:eastAsia="en-GB"/>
        </w:rPr>
        <w:t>31/07/2026</w:t>
      </w:r>
    </w:p>
    <w:p w14:paraId="13DC8711" w14:textId="68251C23" w:rsidR="0000510C" w:rsidRPr="007316C6" w:rsidRDefault="0000510C" w:rsidP="00CE64B7">
      <w:pPr>
        <w:numPr>
          <w:ilvl w:val="0"/>
          <w:numId w:val="7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316C6">
        <w:rPr>
          <w:rFonts w:cs="Segoe UI"/>
          <w:b/>
          <w:bCs/>
          <w:szCs w:val="22"/>
          <w:lang w:eastAsia="en-GB"/>
        </w:rPr>
        <w:t>Time:</w:t>
      </w:r>
      <w:r w:rsidRPr="007316C6">
        <w:rPr>
          <w:rFonts w:cs="Segoe UI"/>
          <w:szCs w:val="22"/>
          <w:lang w:eastAsia="en-GB"/>
        </w:rPr>
        <w:t xml:space="preserve"> </w:t>
      </w:r>
      <w:r w:rsidR="00370ADE" w:rsidRPr="007316C6">
        <w:rPr>
          <w:rFonts w:cs="Segoe UI"/>
          <w:i/>
          <w:iCs/>
          <w:szCs w:val="22"/>
          <w:lang w:eastAsia="en-GB"/>
        </w:rPr>
        <w:t>12</w:t>
      </w:r>
      <w:r w:rsidR="007316C6" w:rsidRPr="007316C6">
        <w:rPr>
          <w:rFonts w:cs="Segoe UI"/>
          <w:i/>
          <w:iCs/>
          <w:szCs w:val="22"/>
          <w:lang w:eastAsia="en-GB"/>
        </w:rPr>
        <w:t xml:space="preserve"> noon</w:t>
      </w:r>
    </w:p>
    <w:p w14:paraId="0E3652F9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b/>
          <w:bCs/>
          <w:szCs w:val="22"/>
          <w:lang w:eastAsia="en-GB"/>
        </w:rPr>
        <w:t>Tender Period:</w:t>
      </w:r>
    </w:p>
    <w:p w14:paraId="5519CBFC" w14:textId="21E48FAB" w:rsidR="0000510C" w:rsidRPr="007A644E" w:rsidRDefault="0000510C" w:rsidP="0000510C">
      <w:pPr>
        <w:numPr>
          <w:ilvl w:val="0"/>
          <w:numId w:val="8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 xml:space="preserve">Anticipated duration: </w:t>
      </w:r>
      <w:r w:rsidRPr="007A644E">
        <w:rPr>
          <w:rFonts w:cs="Segoe UI"/>
          <w:i/>
          <w:iCs/>
          <w:szCs w:val="22"/>
          <w:lang w:eastAsia="en-GB"/>
        </w:rPr>
        <w:t xml:space="preserve">Approximately </w:t>
      </w:r>
      <w:r w:rsidR="00F86FC5">
        <w:rPr>
          <w:rFonts w:cs="Segoe UI"/>
          <w:i/>
          <w:iCs/>
          <w:szCs w:val="22"/>
          <w:lang w:eastAsia="en-GB"/>
        </w:rPr>
        <w:t>3</w:t>
      </w:r>
      <w:r w:rsidRPr="007A644E">
        <w:rPr>
          <w:rFonts w:cs="Segoe UI"/>
          <w:i/>
          <w:iCs/>
          <w:szCs w:val="22"/>
          <w:lang w:eastAsia="en-GB"/>
        </w:rPr>
        <w:t xml:space="preserve"> weeks from issue</w:t>
      </w:r>
    </w:p>
    <w:p w14:paraId="59B35EDB" w14:textId="77777777" w:rsidR="0000510C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 xml:space="preserve">Tenders submitted after the stated deadline </w:t>
      </w:r>
      <w:r w:rsidRPr="007A644E">
        <w:rPr>
          <w:rFonts w:cs="Segoe UI"/>
          <w:b/>
          <w:bCs/>
          <w:szCs w:val="22"/>
          <w:lang w:eastAsia="en-GB"/>
        </w:rPr>
        <w:t>will not be accepted</w:t>
      </w:r>
      <w:r w:rsidRPr="007A644E">
        <w:rPr>
          <w:rFonts w:cs="Segoe UI"/>
          <w:szCs w:val="22"/>
          <w:lang w:eastAsia="en-GB"/>
        </w:rPr>
        <w:t>.</w:t>
      </w:r>
    </w:p>
    <w:p w14:paraId="514AEF5E" w14:textId="77777777" w:rsidR="0000510C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</w:p>
    <w:p w14:paraId="50FDBC0B" w14:textId="77777777" w:rsidR="000C6E35" w:rsidRDefault="000C6E35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</w:p>
    <w:p w14:paraId="42CDD3FF" w14:textId="77777777" w:rsidR="0000510C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</w:p>
    <w:p w14:paraId="6D4AB839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</w:p>
    <w:p w14:paraId="668A53B2" w14:textId="438C56B8" w:rsidR="0000510C" w:rsidRPr="003A1D5C" w:rsidRDefault="0000510C" w:rsidP="0000510C">
      <w:pPr>
        <w:spacing w:before="100" w:beforeAutospacing="1" w:after="100" w:afterAutospacing="1" w:line="300" w:lineRule="atLeast"/>
        <w:outlineLvl w:val="1"/>
        <w:rPr>
          <w:rFonts w:cs="Segoe UI"/>
          <w:b/>
          <w:bCs/>
          <w:color w:val="000000" w:themeColor="text1"/>
          <w:szCs w:val="22"/>
          <w:lang w:eastAsia="en-GB"/>
        </w:rPr>
      </w:pPr>
      <w:r w:rsidRPr="003A1D5C">
        <w:rPr>
          <w:rFonts w:cs="Segoe UI"/>
          <w:b/>
          <w:bCs/>
          <w:color w:val="000000" w:themeColor="text1"/>
          <w:szCs w:val="22"/>
          <w:lang w:eastAsia="en-GB"/>
        </w:rPr>
        <w:lastRenderedPageBreak/>
        <w:t>1.</w:t>
      </w:r>
      <w:r w:rsidR="000C6E35">
        <w:rPr>
          <w:rFonts w:cs="Segoe UI"/>
          <w:b/>
          <w:bCs/>
          <w:color w:val="000000" w:themeColor="text1"/>
          <w:szCs w:val="22"/>
          <w:lang w:eastAsia="en-GB"/>
        </w:rPr>
        <w:t>5</w:t>
      </w:r>
      <w:r w:rsidRPr="003A1D5C">
        <w:rPr>
          <w:rFonts w:cs="Segoe UI"/>
          <w:b/>
          <w:bCs/>
          <w:color w:val="000000" w:themeColor="text1"/>
          <w:szCs w:val="22"/>
          <w:lang w:eastAsia="en-GB"/>
        </w:rPr>
        <w:t xml:space="preserve">      Acknowledgement of Tender</w:t>
      </w:r>
    </w:p>
    <w:p w14:paraId="63B9D091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Tenderers shall confirm via Sell2Wales that they:</w:t>
      </w:r>
    </w:p>
    <w:p w14:paraId="6A834302" w14:textId="77777777" w:rsidR="0000510C" w:rsidRPr="007A644E" w:rsidRDefault="0000510C" w:rsidP="0000510C">
      <w:pPr>
        <w:numPr>
          <w:ilvl w:val="0"/>
          <w:numId w:val="9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Have received the full suite of tender documents</w:t>
      </w:r>
    </w:p>
    <w:p w14:paraId="48AE98FD" w14:textId="77777777" w:rsidR="0000510C" w:rsidRPr="007A644E" w:rsidRDefault="0000510C" w:rsidP="0000510C">
      <w:pPr>
        <w:numPr>
          <w:ilvl w:val="0"/>
          <w:numId w:val="9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Intend to submit a tender (or decline)</w:t>
      </w:r>
    </w:p>
    <w:p w14:paraId="6D300603" w14:textId="77777777" w:rsidR="0000510C" w:rsidRPr="007A644E" w:rsidRDefault="0000510C" w:rsidP="0000510C">
      <w:pPr>
        <w:numPr>
          <w:ilvl w:val="0"/>
          <w:numId w:val="9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Consider the documents complete</w:t>
      </w:r>
    </w:p>
    <w:p w14:paraId="666394B4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Any discrepancies or omissions shall be raised through the formal clarification process on Sell2Wales.</w:t>
      </w:r>
    </w:p>
    <w:p w14:paraId="154CA1B9" w14:textId="46B436F2" w:rsidR="0000510C" w:rsidRPr="003A1D5C" w:rsidRDefault="0000510C" w:rsidP="0000510C">
      <w:pPr>
        <w:spacing w:before="0" w:after="0" w:line="300" w:lineRule="atLeast"/>
        <w:rPr>
          <w:rFonts w:cs="Segoe UI"/>
          <w:b/>
          <w:bCs/>
          <w:color w:val="000000" w:themeColor="text1"/>
          <w:sz w:val="14"/>
          <w:szCs w:val="14"/>
          <w:lang w:eastAsia="en-GB"/>
        </w:rPr>
      </w:pPr>
      <w:r w:rsidRPr="003A1D5C">
        <w:rPr>
          <w:rFonts w:cs="Segoe UI"/>
          <w:b/>
          <w:bCs/>
          <w:color w:val="000000" w:themeColor="text1"/>
          <w:szCs w:val="22"/>
          <w:lang w:eastAsia="en-GB"/>
        </w:rPr>
        <w:t>1.</w:t>
      </w:r>
      <w:r w:rsidR="000C6E35">
        <w:rPr>
          <w:rFonts w:cs="Segoe UI"/>
          <w:b/>
          <w:bCs/>
          <w:color w:val="000000" w:themeColor="text1"/>
          <w:szCs w:val="22"/>
          <w:lang w:eastAsia="en-GB"/>
        </w:rPr>
        <w:t>6</w:t>
      </w:r>
      <w:r w:rsidRPr="003A1D5C">
        <w:rPr>
          <w:rFonts w:cs="Segoe UI"/>
          <w:b/>
          <w:bCs/>
          <w:color w:val="000000" w:themeColor="text1"/>
          <w:szCs w:val="22"/>
          <w:lang w:eastAsia="en-GB"/>
        </w:rPr>
        <w:t xml:space="preserve"> </w:t>
      </w:r>
      <w:r>
        <w:rPr>
          <w:rFonts w:cs="Segoe UI"/>
          <w:b/>
          <w:bCs/>
          <w:color w:val="000000" w:themeColor="text1"/>
          <w:szCs w:val="22"/>
          <w:lang w:eastAsia="en-GB"/>
        </w:rPr>
        <w:t xml:space="preserve">       </w:t>
      </w:r>
      <w:r w:rsidRPr="003A1D5C">
        <w:rPr>
          <w:rFonts w:cs="Segoe UI"/>
          <w:b/>
          <w:bCs/>
          <w:color w:val="000000" w:themeColor="text1"/>
          <w:szCs w:val="22"/>
          <w:lang w:eastAsia="en-GB"/>
        </w:rPr>
        <w:t>Scope of Tender</w:t>
      </w:r>
    </w:p>
    <w:p w14:paraId="37E4F200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Tenderers shall provide a fully inclusive offer for each lift installation, including but not limited to:</w:t>
      </w:r>
    </w:p>
    <w:p w14:paraId="6524C1E4" w14:textId="77777777" w:rsidR="0000510C" w:rsidRPr="007A644E" w:rsidRDefault="0000510C" w:rsidP="0000510C">
      <w:pPr>
        <w:numPr>
          <w:ilvl w:val="0"/>
          <w:numId w:val="10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Design and engineering</w:t>
      </w:r>
    </w:p>
    <w:p w14:paraId="4E2F2424" w14:textId="77777777" w:rsidR="0000510C" w:rsidRPr="007A644E" w:rsidRDefault="0000510C" w:rsidP="0000510C">
      <w:pPr>
        <w:numPr>
          <w:ilvl w:val="0"/>
          <w:numId w:val="10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Manufacture and factory testing</w:t>
      </w:r>
    </w:p>
    <w:p w14:paraId="018A4A88" w14:textId="77777777" w:rsidR="0000510C" w:rsidRPr="007A644E" w:rsidRDefault="0000510C" w:rsidP="0000510C">
      <w:pPr>
        <w:numPr>
          <w:ilvl w:val="0"/>
          <w:numId w:val="10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Delivery and site logistics</w:t>
      </w:r>
    </w:p>
    <w:p w14:paraId="3159E187" w14:textId="77777777" w:rsidR="0000510C" w:rsidRPr="007A644E" w:rsidRDefault="0000510C" w:rsidP="0000510C">
      <w:pPr>
        <w:numPr>
          <w:ilvl w:val="0"/>
          <w:numId w:val="10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Removal (where applicable)</w:t>
      </w:r>
    </w:p>
    <w:p w14:paraId="602DD2A1" w14:textId="77777777" w:rsidR="0000510C" w:rsidRPr="007A644E" w:rsidRDefault="0000510C" w:rsidP="0000510C">
      <w:pPr>
        <w:numPr>
          <w:ilvl w:val="0"/>
          <w:numId w:val="10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Installation and commissioning</w:t>
      </w:r>
    </w:p>
    <w:p w14:paraId="58F666FB" w14:textId="77777777" w:rsidR="0000510C" w:rsidRPr="007A644E" w:rsidRDefault="0000510C" w:rsidP="0000510C">
      <w:pPr>
        <w:numPr>
          <w:ilvl w:val="0"/>
          <w:numId w:val="10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Testing, certification, and handover</w:t>
      </w:r>
    </w:p>
    <w:p w14:paraId="7FD99055" w14:textId="77777777" w:rsidR="0000510C" w:rsidRPr="007A644E" w:rsidRDefault="0000510C" w:rsidP="0000510C">
      <w:pPr>
        <w:numPr>
          <w:ilvl w:val="0"/>
          <w:numId w:val="10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Maintenance provision (as specified)</w:t>
      </w:r>
    </w:p>
    <w:p w14:paraId="58831552" w14:textId="77777777" w:rsidR="0000510C" w:rsidRPr="007A644E" w:rsidRDefault="0000510C" w:rsidP="0000510C">
      <w:pPr>
        <w:spacing w:before="0" w:after="0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Tenderers shall clearly identify submissions on a per lot basis, with supporting technical and commercial information provided for each site contained within the relevant lot.</w:t>
      </w:r>
    </w:p>
    <w:p w14:paraId="37D5E227" w14:textId="1FF0A9AF" w:rsidR="0000510C" w:rsidRPr="003A1D5C" w:rsidRDefault="0000510C" w:rsidP="000C6E35">
      <w:pPr>
        <w:spacing w:before="100" w:beforeAutospacing="1" w:after="100" w:afterAutospacing="1" w:line="300" w:lineRule="atLeast"/>
        <w:outlineLvl w:val="1"/>
        <w:rPr>
          <w:rFonts w:cs="Segoe UI"/>
          <w:b/>
          <w:bCs/>
          <w:color w:val="000000" w:themeColor="text1"/>
          <w:szCs w:val="22"/>
          <w:lang w:eastAsia="en-GB"/>
        </w:rPr>
      </w:pPr>
      <w:r w:rsidRPr="003A1D5C">
        <w:rPr>
          <w:rFonts w:cs="Segoe UI"/>
          <w:b/>
          <w:bCs/>
          <w:color w:val="000000" w:themeColor="text1"/>
          <w:szCs w:val="22"/>
          <w:lang w:eastAsia="en-GB"/>
        </w:rPr>
        <w:t>1.</w:t>
      </w:r>
      <w:r w:rsidR="000C6E35">
        <w:rPr>
          <w:rFonts w:cs="Segoe UI"/>
          <w:b/>
          <w:bCs/>
          <w:color w:val="000000" w:themeColor="text1"/>
          <w:szCs w:val="22"/>
          <w:lang w:eastAsia="en-GB"/>
        </w:rPr>
        <w:t>7</w:t>
      </w:r>
      <w:r w:rsidRPr="003A1D5C">
        <w:rPr>
          <w:rFonts w:cs="Segoe UI"/>
          <w:b/>
          <w:bCs/>
          <w:color w:val="000000" w:themeColor="text1"/>
          <w:szCs w:val="22"/>
          <w:lang w:eastAsia="en-GB"/>
        </w:rPr>
        <w:t xml:space="preserve"> </w:t>
      </w:r>
      <w:r>
        <w:rPr>
          <w:rFonts w:cs="Segoe UI"/>
          <w:b/>
          <w:bCs/>
          <w:color w:val="000000" w:themeColor="text1"/>
          <w:szCs w:val="22"/>
          <w:lang w:eastAsia="en-GB"/>
        </w:rPr>
        <w:t xml:space="preserve">       </w:t>
      </w:r>
      <w:r w:rsidRPr="003A1D5C">
        <w:rPr>
          <w:rFonts w:cs="Segoe UI"/>
          <w:b/>
          <w:bCs/>
          <w:color w:val="000000" w:themeColor="text1"/>
          <w:szCs w:val="22"/>
          <w:lang w:eastAsia="en-GB"/>
        </w:rPr>
        <w:t>Completion of Tender Documents</w:t>
      </w:r>
    </w:p>
    <w:p w14:paraId="2351B335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All schedules and return documents contained within this Specification (including Section 9 or equivalent) shall be:</w:t>
      </w:r>
    </w:p>
    <w:p w14:paraId="1054C535" w14:textId="77777777" w:rsidR="0000510C" w:rsidRPr="00093095" w:rsidRDefault="0000510C" w:rsidP="0000510C">
      <w:pPr>
        <w:numPr>
          <w:ilvl w:val="0"/>
          <w:numId w:val="11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093095">
        <w:rPr>
          <w:rFonts w:cs="Segoe UI"/>
          <w:szCs w:val="22"/>
          <w:lang w:eastAsia="en-GB"/>
        </w:rPr>
        <w:t>Fully completed</w:t>
      </w:r>
    </w:p>
    <w:p w14:paraId="1F1E4AA3" w14:textId="77777777" w:rsidR="0000510C" w:rsidRPr="00093095" w:rsidRDefault="0000510C" w:rsidP="0000510C">
      <w:pPr>
        <w:numPr>
          <w:ilvl w:val="0"/>
          <w:numId w:val="11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093095">
        <w:rPr>
          <w:rFonts w:cs="Segoe UI"/>
          <w:szCs w:val="22"/>
          <w:lang w:eastAsia="en-GB"/>
        </w:rPr>
        <w:t>Signed where required</w:t>
      </w:r>
    </w:p>
    <w:p w14:paraId="68221485" w14:textId="77777777" w:rsidR="0000510C" w:rsidRPr="00093095" w:rsidRDefault="0000510C" w:rsidP="0000510C">
      <w:pPr>
        <w:numPr>
          <w:ilvl w:val="0"/>
          <w:numId w:val="11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093095">
        <w:rPr>
          <w:rFonts w:cs="Segoe UI"/>
          <w:szCs w:val="22"/>
          <w:lang w:eastAsia="en-GB"/>
        </w:rPr>
        <w:t>Submitted as part of the tender return</w:t>
      </w:r>
    </w:p>
    <w:p w14:paraId="7E7A3331" w14:textId="77777777" w:rsidR="0000510C" w:rsidRPr="00817044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 w:val="21"/>
          <w:szCs w:val="21"/>
          <w:lang w:eastAsia="en-GB"/>
        </w:rPr>
      </w:pPr>
      <w:r w:rsidRPr="007A644E">
        <w:rPr>
          <w:rFonts w:cs="Segoe UI"/>
          <w:szCs w:val="22"/>
          <w:lang w:eastAsia="en-GB"/>
        </w:rPr>
        <w:t>Failure to provide the requested information may result in disqualification</w:t>
      </w:r>
      <w:r w:rsidRPr="00817044">
        <w:rPr>
          <w:rFonts w:cs="Segoe UI"/>
          <w:sz w:val="21"/>
          <w:szCs w:val="21"/>
          <w:lang w:eastAsia="en-GB"/>
        </w:rPr>
        <w:t>.</w:t>
      </w:r>
    </w:p>
    <w:p w14:paraId="310AC8D3" w14:textId="1976333D" w:rsidR="0000510C" w:rsidRPr="00B83CD1" w:rsidRDefault="0000510C" w:rsidP="0000510C">
      <w:pPr>
        <w:spacing w:before="100" w:beforeAutospacing="1" w:after="100" w:afterAutospacing="1" w:line="300" w:lineRule="atLeast"/>
        <w:outlineLvl w:val="1"/>
        <w:rPr>
          <w:rFonts w:cs="Segoe UI"/>
          <w:b/>
          <w:bCs/>
          <w:color w:val="000000" w:themeColor="text1"/>
          <w:szCs w:val="22"/>
          <w:lang w:eastAsia="en-GB"/>
        </w:rPr>
      </w:pPr>
      <w:r w:rsidRPr="00B83CD1">
        <w:rPr>
          <w:rFonts w:cs="Segoe UI"/>
          <w:b/>
          <w:bCs/>
          <w:color w:val="000000" w:themeColor="text1"/>
          <w:szCs w:val="22"/>
          <w:lang w:eastAsia="en-GB"/>
        </w:rPr>
        <w:t>1.</w:t>
      </w:r>
      <w:r w:rsidR="000C6E35">
        <w:rPr>
          <w:rFonts w:cs="Segoe UI"/>
          <w:b/>
          <w:bCs/>
          <w:color w:val="000000" w:themeColor="text1"/>
          <w:szCs w:val="22"/>
          <w:lang w:eastAsia="en-GB"/>
        </w:rPr>
        <w:t>8</w:t>
      </w:r>
      <w:r w:rsidRPr="00B83CD1">
        <w:rPr>
          <w:rFonts w:cs="Segoe UI"/>
          <w:b/>
          <w:bCs/>
          <w:color w:val="000000" w:themeColor="text1"/>
          <w:szCs w:val="22"/>
          <w:lang w:eastAsia="en-GB"/>
        </w:rPr>
        <w:t xml:space="preserve"> </w:t>
      </w:r>
      <w:r>
        <w:rPr>
          <w:rFonts w:cs="Segoe UI"/>
          <w:b/>
          <w:bCs/>
          <w:color w:val="000000" w:themeColor="text1"/>
          <w:szCs w:val="22"/>
          <w:lang w:eastAsia="en-GB"/>
        </w:rPr>
        <w:t xml:space="preserve">       </w:t>
      </w:r>
      <w:r w:rsidRPr="00B83CD1">
        <w:rPr>
          <w:rFonts w:cs="Segoe UI"/>
          <w:b/>
          <w:bCs/>
          <w:color w:val="000000" w:themeColor="text1"/>
          <w:szCs w:val="22"/>
          <w:lang w:eastAsia="en-GB"/>
        </w:rPr>
        <w:t>Qualifications and Deviations</w:t>
      </w:r>
    </w:p>
    <w:p w14:paraId="05C72165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This Specification defines the minimum technical and performance requirements.</w:t>
      </w:r>
    </w:p>
    <w:p w14:paraId="4358D1E5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Where a Tenderer proposes any:</w:t>
      </w:r>
    </w:p>
    <w:p w14:paraId="41790C7E" w14:textId="77777777" w:rsidR="0000510C" w:rsidRPr="007A644E" w:rsidRDefault="0000510C" w:rsidP="0000510C">
      <w:pPr>
        <w:numPr>
          <w:ilvl w:val="0"/>
          <w:numId w:val="12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Design deviation</w:t>
      </w:r>
    </w:p>
    <w:p w14:paraId="5BE1107E" w14:textId="77777777" w:rsidR="0000510C" w:rsidRPr="007A644E" w:rsidRDefault="0000510C" w:rsidP="0000510C">
      <w:pPr>
        <w:numPr>
          <w:ilvl w:val="0"/>
          <w:numId w:val="12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Alternative materials</w:t>
      </w:r>
    </w:p>
    <w:p w14:paraId="64429FFE" w14:textId="77777777" w:rsidR="0000510C" w:rsidRPr="007A644E" w:rsidRDefault="0000510C" w:rsidP="0000510C">
      <w:pPr>
        <w:numPr>
          <w:ilvl w:val="0"/>
          <w:numId w:val="12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Alternative methods of installation or performance</w:t>
      </w:r>
    </w:p>
    <w:p w14:paraId="6B00B487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These shall be:</w:t>
      </w:r>
    </w:p>
    <w:p w14:paraId="151A9668" w14:textId="77777777" w:rsidR="0000510C" w:rsidRPr="007A644E" w:rsidRDefault="0000510C" w:rsidP="0000510C">
      <w:pPr>
        <w:numPr>
          <w:ilvl w:val="0"/>
          <w:numId w:val="13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lastRenderedPageBreak/>
        <w:t>Clearly stated in a separate qualifications schedule or covering letter</w:t>
      </w:r>
    </w:p>
    <w:p w14:paraId="3808D4E5" w14:textId="77777777" w:rsidR="0000510C" w:rsidRPr="007A644E" w:rsidRDefault="0000510C" w:rsidP="0000510C">
      <w:pPr>
        <w:numPr>
          <w:ilvl w:val="0"/>
          <w:numId w:val="13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Fully detailed with justification</w:t>
      </w:r>
    </w:p>
    <w:p w14:paraId="45DC291C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If no such schedule is provided, it will be deemed that the tender fully complies with this Specification without deviation</w:t>
      </w:r>
    </w:p>
    <w:p w14:paraId="2A2201CC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No post-tender qualifications will be accepted.</w:t>
      </w:r>
    </w:p>
    <w:p w14:paraId="75ABB4CA" w14:textId="00EBC870" w:rsidR="0000510C" w:rsidRPr="00B83CD1" w:rsidRDefault="0000510C" w:rsidP="0000510C">
      <w:pPr>
        <w:spacing w:before="0" w:after="0" w:line="300" w:lineRule="atLeast"/>
        <w:rPr>
          <w:rFonts w:cs="Segoe UI"/>
          <w:b/>
          <w:bCs/>
          <w:color w:val="156082" w:themeColor="accent1"/>
          <w:sz w:val="14"/>
          <w:szCs w:val="14"/>
          <w:lang w:eastAsia="en-GB"/>
        </w:rPr>
      </w:pPr>
      <w:r w:rsidRPr="00B83CD1">
        <w:rPr>
          <w:rFonts w:cs="Segoe UI"/>
          <w:b/>
          <w:bCs/>
          <w:color w:val="000000" w:themeColor="text1"/>
          <w:szCs w:val="22"/>
          <w:lang w:eastAsia="en-GB"/>
        </w:rPr>
        <w:t>1.</w:t>
      </w:r>
      <w:r w:rsidR="000C6E35">
        <w:rPr>
          <w:rFonts w:cs="Segoe UI"/>
          <w:b/>
          <w:bCs/>
          <w:color w:val="000000" w:themeColor="text1"/>
          <w:szCs w:val="22"/>
          <w:lang w:eastAsia="en-GB"/>
        </w:rPr>
        <w:t>9</w:t>
      </w:r>
      <w:r w:rsidRPr="00B83CD1">
        <w:rPr>
          <w:rFonts w:cs="Segoe UI"/>
          <w:b/>
          <w:bCs/>
          <w:color w:val="000000" w:themeColor="text1"/>
          <w:szCs w:val="22"/>
          <w:lang w:eastAsia="en-GB"/>
        </w:rPr>
        <w:t xml:space="preserve"> </w:t>
      </w:r>
      <w:r>
        <w:rPr>
          <w:rFonts w:cs="Segoe UI"/>
          <w:b/>
          <w:bCs/>
          <w:color w:val="000000" w:themeColor="text1"/>
          <w:szCs w:val="22"/>
          <w:lang w:eastAsia="en-GB"/>
        </w:rPr>
        <w:t xml:space="preserve">       </w:t>
      </w:r>
      <w:r w:rsidRPr="00B83CD1">
        <w:rPr>
          <w:rFonts w:cs="Segoe UI"/>
          <w:b/>
          <w:bCs/>
          <w:color w:val="000000" w:themeColor="text1"/>
          <w:szCs w:val="22"/>
          <w:lang w:eastAsia="en-GB"/>
        </w:rPr>
        <w:t>Alterations to Tender Documents</w:t>
      </w:r>
    </w:p>
    <w:p w14:paraId="5743A6BD" w14:textId="77777777" w:rsidR="0000510C" w:rsidRPr="007A644E" w:rsidRDefault="0000510C" w:rsidP="0000510C">
      <w:pPr>
        <w:spacing w:before="100" w:beforeAutospacing="1" w:after="100" w:afterAutospacing="1" w:line="300" w:lineRule="atLeast"/>
        <w:rPr>
          <w:rFonts w:cs="Segoe UI"/>
          <w:szCs w:val="22"/>
          <w:lang w:eastAsia="en-GB"/>
        </w:rPr>
      </w:pPr>
      <w:r>
        <w:rPr>
          <w:rFonts w:cs="Segoe UI"/>
          <w:szCs w:val="22"/>
          <w:lang w:eastAsia="en-GB"/>
        </w:rPr>
        <w:t xml:space="preserve">            </w:t>
      </w:r>
      <w:r w:rsidRPr="007A644E">
        <w:rPr>
          <w:rFonts w:cs="Segoe UI"/>
          <w:szCs w:val="22"/>
          <w:lang w:eastAsia="en-GB"/>
        </w:rPr>
        <w:t>Tenderers shall not:</w:t>
      </w:r>
    </w:p>
    <w:p w14:paraId="59607627" w14:textId="77777777" w:rsidR="0000510C" w:rsidRPr="007A644E" w:rsidRDefault="0000510C" w:rsidP="0000510C">
      <w:pPr>
        <w:numPr>
          <w:ilvl w:val="0"/>
          <w:numId w:val="14"/>
        </w:numPr>
        <w:tabs>
          <w:tab w:val="clear" w:pos="720"/>
          <w:tab w:val="num" w:pos="1080"/>
        </w:tabs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Amend or alter the wording of the Specification</w:t>
      </w:r>
    </w:p>
    <w:p w14:paraId="64A199AC" w14:textId="77777777" w:rsidR="0000510C" w:rsidRPr="007A644E" w:rsidRDefault="0000510C" w:rsidP="0000510C">
      <w:pPr>
        <w:numPr>
          <w:ilvl w:val="0"/>
          <w:numId w:val="14"/>
        </w:numPr>
        <w:tabs>
          <w:tab w:val="clear" w:pos="720"/>
          <w:tab w:val="num" w:pos="1080"/>
        </w:tabs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Attach conflicting terms and conditions</w:t>
      </w:r>
    </w:p>
    <w:p w14:paraId="26913DB8" w14:textId="77777777" w:rsidR="0000510C" w:rsidRPr="007A644E" w:rsidRDefault="0000510C" w:rsidP="0000510C">
      <w:p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Any such alterations:</w:t>
      </w:r>
    </w:p>
    <w:p w14:paraId="2CF97457" w14:textId="77777777" w:rsidR="0000510C" w:rsidRPr="007A644E" w:rsidRDefault="0000510C" w:rsidP="0000510C">
      <w:pPr>
        <w:numPr>
          <w:ilvl w:val="0"/>
          <w:numId w:val="15"/>
        </w:numPr>
        <w:tabs>
          <w:tab w:val="clear" w:pos="720"/>
          <w:tab w:val="num" w:pos="1080"/>
        </w:tabs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May be disregarded</w:t>
      </w:r>
    </w:p>
    <w:p w14:paraId="78F105CB" w14:textId="77777777" w:rsidR="0000510C" w:rsidRPr="007A644E" w:rsidRDefault="0000510C" w:rsidP="0000510C">
      <w:pPr>
        <w:numPr>
          <w:ilvl w:val="0"/>
          <w:numId w:val="15"/>
        </w:numPr>
        <w:tabs>
          <w:tab w:val="clear" w:pos="720"/>
          <w:tab w:val="num" w:pos="1080"/>
        </w:tabs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May result in the rejection of the tender</w:t>
      </w:r>
    </w:p>
    <w:p w14:paraId="517834EE" w14:textId="77777777" w:rsidR="0000510C" w:rsidRPr="00817044" w:rsidRDefault="0000510C" w:rsidP="0000510C">
      <w:pPr>
        <w:spacing w:before="0" w:after="0" w:line="300" w:lineRule="atLeast"/>
        <w:ind w:left="680"/>
        <w:rPr>
          <w:rFonts w:cs="Segoe UI"/>
          <w:sz w:val="21"/>
          <w:szCs w:val="21"/>
          <w:lang w:eastAsia="en-GB"/>
        </w:rPr>
      </w:pPr>
    </w:p>
    <w:p w14:paraId="0B9375CA" w14:textId="50E6477D" w:rsidR="0000510C" w:rsidRPr="00B83CD1" w:rsidRDefault="0000510C" w:rsidP="0000510C">
      <w:pPr>
        <w:spacing w:before="0" w:after="0" w:line="300" w:lineRule="atLeast"/>
        <w:rPr>
          <w:rFonts w:cs="Segoe UI"/>
          <w:b/>
          <w:bCs/>
          <w:color w:val="156082" w:themeColor="accent1"/>
          <w:sz w:val="18"/>
          <w:szCs w:val="18"/>
          <w:lang w:eastAsia="en-GB"/>
        </w:rPr>
      </w:pPr>
      <w:r w:rsidRPr="00B83CD1">
        <w:rPr>
          <w:rFonts w:cs="Segoe UI"/>
          <w:b/>
          <w:bCs/>
          <w:color w:val="000000" w:themeColor="text1"/>
          <w:szCs w:val="22"/>
          <w:lang w:eastAsia="en-GB"/>
        </w:rPr>
        <w:t>1.</w:t>
      </w:r>
      <w:r w:rsidR="000C6E35">
        <w:rPr>
          <w:rFonts w:cs="Segoe UI"/>
          <w:b/>
          <w:bCs/>
          <w:color w:val="000000" w:themeColor="text1"/>
          <w:szCs w:val="22"/>
          <w:lang w:eastAsia="en-GB"/>
        </w:rPr>
        <w:t>10</w:t>
      </w:r>
      <w:r w:rsidRPr="00B83CD1">
        <w:rPr>
          <w:rFonts w:cs="Segoe UI"/>
          <w:b/>
          <w:bCs/>
          <w:color w:val="000000" w:themeColor="text1"/>
          <w:szCs w:val="22"/>
          <w:lang w:eastAsia="en-GB"/>
        </w:rPr>
        <w:t xml:space="preserve"> </w:t>
      </w:r>
      <w:r>
        <w:rPr>
          <w:rFonts w:cs="Segoe UI"/>
          <w:b/>
          <w:bCs/>
          <w:color w:val="000000" w:themeColor="text1"/>
          <w:szCs w:val="22"/>
          <w:lang w:eastAsia="en-GB"/>
        </w:rPr>
        <w:t xml:space="preserve">       </w:t>
      </w:r>
      <w:r w:rsidRPr="00B83CD1">
        <w:rPr>
          <w:rFonts w:cs="Segoe UI"/>
          <w:b/>
          <w:bCs/>
          <w:color w:val="000000" w:themeColor="text1"/>
          <w:szCs w:val="22"/>
          <w:lang w:eastAsia="en-GB"/>
        </w:rPr>
        <w:t>Method Statement</w:t>
      </w:r>
    </w:p>
    <w:p w14:paraId="331A8C5E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Tenderers shall include a Project Method Statement, detailing their proposed approach, including:</w:t>
      </w:r>
    </w:p>
    <w:p w14:paraId="1C87BEA7" w14:textId="77777777" w:rsidR="0000510C" w:rsidRPr="007A644E" w:rsidRDefault="0000510C" w:rsidP="0000510C">
      <w:pPr>
        <w:numPr>
          <w:ilvl w:val="0"/>
          <w:numId w:val="16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Design process</w:t>
      </w:r>
    </w:p>
    <w:p w14:paraId="1EA9D19B" w14:textId="77777777" w:rsidR="0000510C" w:rsidRPr="007A644E" w:rsidRDefault="0000510C" w:rsidP="0000510C">
      <w:pPr>
        <w:numPr>
          <w:ilvl w:val="0"/>
          <w:numId w:val="16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Manufacturing arrangements</w:t>
      </w:r>
    </w:p>
    <w:p w14:paraId="73DADEFA" w14:textId="77777777" w:rsidR="0000510C" w:rsidRPr="007A644E" w:rsidRDefault="0000510C" w:rsidP="0000510C">
      <w:pPr>
        <w:numPr>
          <w:ilvl w:val="0"/>
          <w:numId w:val="16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Delivery and site logistics</w:t>
      </w:r>
    </w:p>
    <w:p w14:paraId="2EA91B73" w14:textId="77777777" w:rsidR="0000510C" w:rsidRPr="007A644E" w:rsidRDefault="0000510C" w:rsidP="0000510C">
      <w:pPr>
        <w:numPr>
          <w:ilvl w:val="0"/>
          <w:numId w:val="16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Installation methodology</w:t>
      </w:r>
    </w:p>
    <w:p w14:paraId="288EE3B8" w14:textId="77777777" w:rsidR="0000510C" w:rsidRPr="007A644E" w:rsidRDefault="0000510C" w:rsidP="0000510C">
      <w:pPr>
        <w:numPr>
          <w:ilvl w:val="0"/>
          <w:numId w:val="16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Testing and commissioning</w:t>
      </w:r>
    </w:p>
    <w:p w14:paraId="0CC2D4A0" w14:textId="77777777" w:rsidR="0000510C" w:rsidRPr="007A644E" w:rsidRDefault="0000510C" w:rsidP="0000510C">
      <w:pPr>
        <w:numPr>
          <w:ilvl w:val="0"/>
          <w:numId w:val="16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Programme and sequencing</w:t>
      </w:r>
    </w:p>
    <w:p w14:paraId="2963BC3E" w14:textId="77777777" w:rsidR="0000510C" w:rsidRPr="007A644E" w:rsidRDefault="0000510C" w:rsidP="0000510C">
      <w:pPr>
        <w:numPr>
          <w:ilvl w:val="0"/>
          <w:numId w:val="16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Resource allocation</w:t>
      </w:r>
    </w:p>
    <w:p w14:paraId="72396040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An organisation chart shall be included, identifying:</w:t>
      </w:r>
    </w:p>
    <w:p w14:paraId="1E2E6D44" w14:textId="77777777" w:rsidR="0000510C" w:rsidRPr="007A644E" w:rsidRDefault="0000510C" w:rsidP="0000510C">
      <w:pPr>
        <w:numPr>
          <w:ilvl w:val="0"/>
          <w:numId w:val="17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Key personnel</w:t>
      </w:r>
    </w:p>
    <w:p w14:paraId="76228079" w14:textId="77777777" w:rsidR="0000510C" w:rsidRPr="007A644E" w:rsidRDefault="0000510C" w:rsidP="0000510C">
      <w:pPr>
        <w:numPr>
          <w:ilvl w:val="0"/>
          <w:numId w:val="17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Roles and responsibilities</w:t>
      </w:r>
    </w:p>
    <w:p w14:paraId="24A799B2" w14:textId="77777777" w:rsidR="0000510C" w:rsidRPr="007A644E" w:rsidRDefault="0000510C" w:rsidP="0000510C">
      <w:pPr>
        <w:numPr>
          <w:ilvl w:val="0"/>
          <w:numId w:val="17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Reporting structure from senior management to site level</w:t>
      </w:r>
    </w:p>
    <w:p w14:paraId="4CBFFF54" w14:textId="28788B4F" w:rsidR="0000510C" w:rsidRPr="004A71A1" w:rsidRDefault="0000510C" w:rsidP="0000510C">
      <w:pPr>
        <w:spacing w:before="0" w:after="0" w:line="300" w:lineRule="atLeast"/>
        <w:rPr>
          <w:rFonts w:cs="Segoe UI"/>
          <w:b/>
          <w:bCs/>
          <w:color w:val="000000" w:themeColor="text1"/>
          <w:sz w:val="14"/>
          <w:szCs w:val="14"/>
          <w:lang w:eastAsia="en-GB"/>
        </w:rPr>
      </w:pPr>
      <w:r w:rsidRPr="004A71A1">
        <w:rPr>
          <w:rFonts w:cs="Segoe UI"/>
          <w:b/>
          <w:bCs/>
          <w:color w:val="000000" w:themeColor="text1"/>
          <w:szCs w:val="22"/>
          <w:lang w:eastAsia="en-GB"/>
        </w:rPr>
        <w:t>1.1</w:t>
      </w:r>
      <w:r w:rsidR="000C6E35">
        <w:rPr>
          <w:rFonts w:cs="Segoe UI"/>
          <w:b/>
          <w:bCs/>
          <w:color w:val="000000" w:themeColor="text1"/>
          <w:szCs w:val="22"/>
          <w:lang w:eastAsia="en-GB"/>
        </w:rPr>
        <w:t>1</w:t>
      </w:r>
      <w:r w:rsidRPr="004A71A1">
        <w:rPr>
          <w:rFonts w:cs="Segoe UI"/>
          <w:b/>
          <w:bCs/>
          <w:color w:val="000000" w:themeColor="text1"/>
          <w:szCs w:val="22"/>
          <w:lang w:eastAsia="en-GB"/>
        </w:rPr>
        <w:t xml:space="preserve"> </w:t>
      </w:r>
      <w:r>
        <w:rPr>
          <w:rFonts w:cs="Segoe UI"/>
          <w:b/>
          <w:bCs/>
          <w:color w:val="000000" w:themeColor="text1"/>
          <w:szCs w:val="22"/>
          <w:lang w:eastAsia="en-GB"/>
        </w:rPr>
        <w:t xml:space="preserve">     </w:t>
      </w:r>
      <w:r w:rsidRPr="004A71A1">
        <w:rPr>
          <w:rFonts w:cs="Segoe UI"/>
          <w:b/>
          <w:bCs/>
          <w:color w:val="000000" w:themeColor="text1"/>
          <w:szCs w:val="22"/>
          <w:lang w:eastAsia="en-GB"/>
        </w:rPr>
        <w:t>Health &amp; Safety / CDM Requirements</w:t>
      </w:r>
    </w:p>
    <w:p w14:paraId="7CB32629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The works fall within the scope of the:</w:t>
      </w:r>
    </w:p>
    <w:p w14:paraId="7FCBDB44" w14:textId="77777777" w:rsidR="0000510C" w:rsidRDefault="0000510C" w:rsidP="0000510C">
      <w:pPr>
        <w:numPr>
          <w:ilvl w:val="0"/>
          <w:numId w:val="18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Construction (Design and Management) Regulations 2015 (CDM 2015)</w:t>
      </w:r>
    </w:p>
    <w:p w14:paraId="4AA7C0F4" w14:textId="77777777" w:rsidR="0000510C" w:rsidRPr="007A644E" w:rsidRDefault="0000510C" w:rsidP="0000510C">
      <w:p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</w:p>
    <w:p w14:paraId="20A23738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lastRenderedPageBreak/>
        <w:t>Tenderers shall provide:</w:t>
      </w:r>
    </w:p>
    <w:p w14:paraId="0A2D2C60" w14:textId="77777777" w:rsidR="0000510C" w:rsidRPr="007A644E" w:rsidRDefault="0000510C" w:rsidP="0000510C">
      <w:pPr>
        <w:numPr>
          <w:ilvl w:val="0"/>
          <w:numId w:val="19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Risk assessments (including installation activities)</w:t>
      </w:r>
    </w:p>
    <w:p w14:paraId="020C07DD" w14:textId="77777777" w:rsidR="0000510C" w:rsidRPr="007A644E" w:rsidRDefault="0000510C" w:rsidP="0000510C">
      <w:pPr>
        <w:numPr>
          <w:ilvl w:val="0"/>
          <w:numId w:val="19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COSHH assessments</w:t>
      </w:r>
    </w:p>
    <w:p w14:paraId="22966A7A" w14:textId="77777777" w:rsidR="0000510C" w:rsidRPr="007A644E" w:rsidRDefault="0000510C" w:rsidP="0000510C">
      <w:pPr>
        <w:numPr>
          <w:ilvl w:val="0"/>
          <w:numId w:val="19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Company Health &amp; Safety Policy</w:t>
      </w:r>
    </w:p>
    <w:p w14:paraId="7F7F7ED8" w14:textId="77777777" w:rsidR="0000510C" w:rsidRPr="007A644E" w:rsidRDefault="0000510C" w:rsidP="0000510C">
      <w:pPr>
        <w:numPr>
          <w:ilvl w:val="0"/>
          <w:numId w:val="19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Organisational responsibilities for H&amp;S</w:t>
      </w:r>
    </w:p>
    <w:p w14:paraId="593221F9" w14:textId="77777777" w:rsidR="0000510C" w:rsidRPr="007A644E" w:rsidRDefault="0000510C" w:rsidP="0000510C">
      <w:pPr>
        <w:numPr>
          <w:ilvl w:val="0"/>
          <w:numId w:val="19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RIDDOR accident statistics for the previous 3 years</w:t>
      </w:r>
    </w:p>
    <w:p w14:paraId="734E30E2" w14:textId="77777777" w:rsidR="0000510C" w:rsidRPr="00817044" w:rsidRDefault="0000510C" w:rsidP="0000510C">
      <w:pPr>
        <w:spacing w:before="0" w:after="0" w:line="300" w:lineRule="atLeast"/>
        <w:ind w:left="680"/>
        <w:rPr>
          <w:rFonts w:cs="Segoe UI"/>
          <w:sz w:val="21"/>
          <w:szCs w:val="21"/>
          <w:lang w:eastAsia="en-GB"/>
        </w:rPr>
      </w:pPr>
    </w:p>
    <w:p w14:paraId="19B64FBB" w14:textId="13F9DB49" w:rsidR="0000510C" w:rsidRPr="00F729C4" w:rsidRDefault="0000510C" w:rsidP="0000510C">
      <w:pPr>
        <w:spacing w:before="0" w:after="0" w:line="300" w:lineRule="atLeast"/>
        <w:rPr>
          <w:rFonts w:cs="Segoe UI"/>
          <w:b/>
          <w:bCs/>
          <w:color w:val="000000" w:themeColor="text1"/>
          <w:sz w:val="14"/>
          <w:szCs w:val="14"/>
          <w:lang w:eastAsia="en-GB"/>
        </w:rPr>
      </w:pP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>1.1</w:t>
      </w:r>
      <w:r w:rsidR="000C6E35">
        <w:rPr>
          <w:rFonts w:cs="Segoe UI"/>
          <w:b/>
          <w:bCs/>
          <w:color w:val="000000" w:themeColor="text1"/>
          <w:szCs w:val="22"/>
          <w:lang w:eastAsia="en-GB"/>
        </w:rPr>
        <w:t>2</w:t>
      </w: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 xml:space="preserve"> </w:t>
      </w:r>
      <w:r>
        <w:rPr>
          <w:rFonts w:cs="Segoe UI"/>
          <w:b/>
          <w:bCs/>
          <w:color w:val="000000" w:themeColor="text1"/>
          <w:szCs w:val="22"/>
          <w:lang w:eastAsia="en-GB"/>
        </w:rPr>
        <w:t xml:space="preserve">     </w:t>
      </w: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>Statutory Compliance</w:t>
      </w:r>
    </w:p>
    <w:p w14:paraId="021D75B4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The lift installations shall fully comply with:</w:t>
      </w:r>
    </w:p>
    <w:p w14:paraId="3F3939C8" w14:textId="77777777" w:rsidR="0000510C" w:rsidRPr="007A644E" w:rsidRDefault="0000510C" w:rsidP="0000510C">
      <w:pPr>
        <w:numPr>
          <w:ilvl w:val="0"/>
          <w:numId w:val="20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Lifts Regulations 2016 (as amended)</w:t>
      </w:r>
    </w:p>
    <w:p w14:paraId="116A7AC3" w14:textId="77777777" w:rsidR="0000510C" w:rsidRPr="007A644E" w:rsidRDefault="0000510C" w:rsidP="0000510C">
      <w:pPr>
        <w:numPr>
          <w:ilvl w:val="0"/>
          <w:numId w:val="20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BS EN 81-20 and BS EN 81-50</w:t>
      </w:r>
    </w:p>
    <w:p w14:paraId="3CF451CC" w14:textId="77777777" w:rsidR="0000510C" w:rsidRPr="007A644E" w:rsidRDefault="0000510C" w:rsidP="0000510C">
      <w:pPr>
        <w:numPr>
          <w:ilvl w:val="0"/>
          <w:numId w:val="20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All associated and applicable Designated Standards</w:t>
      </w:r>
    </w:p>
    <w:p w14:paraId="03F2D97A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Where deviations from Designated Standards are proposed:</w:t>
      </w:r>
    </w:p>
    <w:p w14:paraId="168DD30C" w14:textId="77777777" w:rsidR="0000510C" w:rsidRPr="007A644E" w:rsidRDefault="0000510C" w:rsidP="0000510C">
      <w:pPr>
        <w:numPr>
          <w:ilvl w:val="0"/>
          <w:numId w:val="21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Approval from an Approved Body shall be obtained</w:t>
      </w:r>
    </w:p>
    <w:p w14:paraId="59E62FE6" w14:textId="77777777" w:rsidR="0000510C" w:rsidRPr="007A644E" w:rsidRDefault="0000510C" w:rsidP="0000510C">
      <w:pPr>
        <w:numPr>
          <w:ilvl w:val="0"/>
          <w:numId w:val="21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All associated costs shall be included within the Tender</w:t>
      </w:r>
    </w:p>
    <w:p w14:paraId="6EC881C3" w14:textId="035AE9D5" w:rsidR="0000510C" w:rsidRPr="00F729C4" w:rsidRDefault="0000510C" w:rsidP="0000510C">
      <w:pPr>
        <w:spacing w:before="0" w:after="0" w:line="300" w:lineRule="atLeast"/>
        <w:rPr>
          <w:rFonts w:cs="Segoe UI"/>
          <w:b/>
          <w:bCs/>
          <w:color w:val="000000" w:themeColor="text1"/>
          <w:sz w:val="14"/>
          <w:szCs w:val="14"/>
          <w:lang w:eastAsia="en-GB"/>
        </w:rPr>
      </w:pP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>1.1</w:t>
      </w:r>
      <w:r w:rsidR="000C6E35">
        <w:rPr>
          <w:rFonts w:cs="Segoe UI"/>
          <w:b/>
          <w:bCs/>
          <w:color w:val="000000" w:themeColor="text1"/>
          <w:szCs w:val="22"/>
          <w:lang w:eastAsia="en-GB"/>
        </w:rPr>
        <w:t>3</w:t>
      </w: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 xml:space="preserve"> </w:t>
      </w:r>
      <w:r>
        <w:rPr>
          <w:rFonts w:cs="Segoe UI"/>
          <w:b/>
          <w:bCs/>
          <w:color w:val="000000" w:themeColor="text1"/>
          <w:szCs w:val="22"/>
          <w:lang w:eastAsia="en-GB"/>
        </w:rPr>
        <w:t xml:space="preserve">     </w:t>
      </w: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>Drawings and Technical Information</w:t>
      </w:r>
    </w:p>
    <w:p w14:paraId="1D2715AC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This Specification shall be read in conjunction with:</w:t>
      </w:r>
    </w:p>
    <w:p w14:paraId="7F771676" w14:textId="77777777" w:rsidR="0000510C" w:rsidRPr="007A644E" w:rsidRDefault="0000510C" w:rsidP="0000510C">
      <w:pPr>
        <w:numPr>
          <w:ilvl w:val="0"/>
          <w:numId w:val="22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Architectural drawings</w:t>
      </w:r>
    </w:p>
    <w:p w14:paraId="16A5A8CD" w14:textId="77777777" w:rsidR="0000510C" w:rsidRPr="007A644E" w:rsidRDefault="0000510C" w:rsidP="0000510C">
      <w:pPr>
        <w:numPr>
          <w:ilvl w:val="0"/>
          <w:numId w:val="22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Structural information</w:t>
      </w:r>
    </w:p>
    <w:p w14:paraId="6C4984BB" w14:textId="77777777" w:rsidR="0000510C" w:rsidRPr="007A644E" w:rsidRDefault="0000510C" w:rsidP="0000510C">
      <w:pPr>
        <w:numPr>
          <w:ilvl w:val="0"/>
          <w:numId w:val="22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Any associated design documentation</w:t>
      </w:r>
    </w:p>
    <w:p w14:paraId="5B75E5FB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In the event of discrepancies the Tenderer shall raise a clarification via Sell2Wales</w:t>
      </w:r>
    </w:p>
    <w:p w14:paraId="5504A553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No assumptions shall be made without formal response.</w:t>
      </w:r>
    </w:p>
    <w:p w14:paraId="2E474482" w14:textId="335961EB" w:rsidR="0000510C" w:rsidRPr="00F729C4" w:rsidRDefault="0000510C" w:rsidP="000C6E35">
      <w:pPr>
        <w:spacing w:before="100" w:beforeAutospacing="1" w:after="100" w:afterAutospacing="1" w:line="300" w:lineRule="atLeast"/>
        <w:rPr>
          <w:rFonts w:cs="Segoe UI"/>
          <w:b/>
          <w:bCs/>
          <w:color w:val="000000" w:themeColor="text1"/>
          <w:szCs w:val="22"/>
          <w:lang w:eastAsia="en-GB"/>
        </w:rPr>
      </w:pP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>1.1</w:t>
      </w:r>
      <w:r w:rsidR="000C6E35">
        <w:rPr>
          <w:rFonts w:cs="Segoe UI"/>
          <w:b/>
          <w:bCs/>
          <w:color w:val="000000" w:themeColor="text1"/>
          <w:szCs w:val="22"/>
          <w:lang w:eastAsia="en-GB"/>
        </w:rPr>
        <w:t>4</w:t>
      </w: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 xml:space="preserve"> </w:t>
      </w:r>
      <w:r>
        <w:rPr>
          <w:rFonts w:cs="Segoe UI"/>
          <w:b/>
          <w:bCs/>
          <w:color w:val="000000" w:themeColor="text1"/>
          <w:szCs w:val="22"/>
          <w:lang w:eastAsia="en-GB"/>
        </w:rPr>
        <w:t xml:space="preserve">    </w:t>
      </w: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>Commercial Conditions</w:t>
      </w:r>
    </w:p>
    <w:p w14:paraId="7F1C0384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Beacon Group / Barcud:</w:t>
      </w:r>
    </w:p>
    <w:p w14:paraId="70BFEC6A" w14:textId="77777777" w:rsidR="0000510C" w:rsidRPr="007A644E" w:rsidRDefault="0000510C" w:rsidP="0000510C">
      <w:pPr>
        <w:numPr>
          <w:ilvl w:val="0"/>
          <w:numId w:val="23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Does not guarantee that the project will proceed</w:t>
      </w:r>
    </w:p>
    <w:p w14:paraId="0DDD9C51" w14:textId="77777777" w:rsidR="0000510C" w:rsidRPr="007A644E" w:rsidRDefault="0000510C" w:rsidP="0000510C">
      <w:pPr>
        <w:numPr>
          <w:ilvl w:val="0"/>
          <w:numId w:val="23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Reserves the right not to accept the lowest or any tender</w:t>
      </w:r>
    </w:p>
    <w:p w14:paraId="09C28202" w14:textId="77777777" w:rsidR="0000510C" w:rsidRPr="007A644E" w:rsidRDefault="0000510C" w:rsidP="0000510C">
      <w:pPr>
        <w:numPr>
          <w:ilvl w:val="0"/>
          <w:numId w:val="23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Shall not be liable for any costs incurred in tender preparation</w:t>
      </w:r>
    </w:p>
    <w:p w14:paraId="06022B25" w14:textId="49AA8CFF" w:rsidR="0000510C" w:rsidRPr="00F729C4" w:rsidRDefault="0000510C" w:rsidP="0000510C">
      <w:pPr>
        <w:spacing w:before="100" w:beforeAutospacing="1" w:after="100" w:afterAutospacing="1" w:line="300" w:lineRule="atLeast"/>
        <w:outlineLvl w:val="1"/>
        <w:rPr>
          <w:rFonts w:cs="Segoe UI"/>
          <w:b/>
          <w:bCs/>
          <w:color w:val="000000" w:themeColor="text1"/>
          <w:szCs w:val="22"/>
          <w:lang w:eastAsia="en-GB"/>
        </w:rPr>
      </w:pP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>1.1</w:t>
      </w:r>
      <w:r w:rsidR="000C6E35">
        <w:rPr>
          <w:rFonts w:cs="Segoe UI"/>
          <w:b/>
          <w:bCs/>
          <w:color w:val="000000" w:themeColor="text1"/>
          <w:szCs w:val="22"/>
          <w:lang w:eastAsia="en-GB"/>
        </w:rPr>
        <w:t>5</w:t>
      </w: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 xml:space="preserve">      Bona Fide Tendering</w:t>
      </w:r>
    </w:p>
    <w:p w14:paraId="1C3DE88F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By submitting a tender, the Tenderer confirms that:</w:t>
      </w:r>
    </w:p>
    <w:p w14:paraId="0E0F7FAF" w14:textId="77777777" w:rsidR="0000510C" w:rsidRPr="007A644E" w:rsidRDefault="0000510C" w:rsidP="0000510C">
      <w:pPr>
        <w:numPr>
          <w:ilvl w:val="0"/>
          <w:numId w:val="24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The submission is made in good faith</w:t>
      </w:r>
    </w:p>
    <w:p w14:paraId="03A205DD" w14:textId="77777777" w:rsidR="0000510C" w:rsidRPr="007A644E" w:rsidRDefault="0000510C" w:rsidP="0000510C">
      <w:pPr>
        <w:numPr>
          <w:ilvl w:val="0"/>
          <w:numId w:val="24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lastRenderedPageBreak/>
        <w:t>No collusion or anti-competitive behaviour has occurred</w:t>
      </w:r>
    </w:p>
    <w:p w14:paraId="79C7A5FB" w14:textId="77777777" w:rsidR="0000510C" w:rsidRPr="007A644E" w:rsidRDefault="0000510C" w:rsidP="0000510C">
      <w:pPr>
        <w:numPr>
          <w:ilvl w:val="0"/>
          <w:numId w:val="24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Tender pricing has not been disclosed to any third party</w:t>
      </w:r>
    </w:p>
    <w:p w14:paraId="7B377EF3" w14:textId="4777BD29" w:rsidR="0000510C" w:rsidRPr="00F729C4" w:rsidRDefault="0000510C" w:rsidP="0000510C">
      <w:pPr>
        <w:spacing w:before="100" w:beforeAutospacing="1" w:after="100" w:afterAutospacing="1" w:line="300" w:lineRule="atLeast"/>
        <w:outlineLvl w:val="1"/>
        <w:rPr>
          <w:rFonts w:cs="Segoe UI"/>
          <w:b/>
          <w:bCs/>
          <w:color w:val="000000" w:themeColor="text1"/>
          <w:szCs w:val="22"/>
          <w:lang w:eastAsia="en-GB"/>
        </w:rPr>
      </w:pP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>1.1</w:t>
      </w:r>
      <w:r w:rsidR="000C6E35">
        <w:rPr>
          <w:rFonts w:cs="Segoe UI"/>
          <w:b/>
          <w:bCs/>
          <w:color w:val="000000" w:themeColor="text1"/>
          <w:szCs w:val="22"/>
          <w:lang w:eastAsia="en-GB"/>
        </w:rPr>
        <w:t>6</w:t>
      </w: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 xml:space="preserve"> </w:t>
      </w:r>
      <w:r>
        <w:rPr>
          <w:rFonts w:cs="Segoe UI"/>
          <w:b/>
          <w:bCs/>
          <w:color w:val="000000" w:themeColor="text1"/>
          <w:szCs w:val="22"/>
          <w:lang w:eastAsia="en-GB"/>
        </w:rPr>
        <w:t xml:space="preserve">     </w:t>
      </w: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>Evaluation of Tenders</w:t>
      </w:r>
    </w:p>
    <w:p w14:paraId="1B0E185B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Tenders may be evaluated on the basis of:</w:t>
      </w:r>
    </w:p>
    <w:p w14:paraId="06C91A14" w14:textId="77777777" w:rsidR="0000510C" w:rsidRPr="007A644E" w:rsidRDefault="0000510C" w:rsidP="0000510C">
      <w:pPr>
        <w:numPr>
          <w:ilvl w:val="0"/>
          <w:numId w:val="25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Most Economically Advantageous Tender (MEAT)</w:t>
      </w:r>
    </w:p>
    <w:p w14:paraId="6BFA1B86" w14:textId="77777777" w:rsidR="0000510C" w:rsidRPr="007A644E" w:rsidRDefault="0000510C" w:rsidP="0000510C">
      <w:pPr>
        <w:numPr>
          <w:ilvl w:val="0"/>
          <w:numId w:val="25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Technical compliance</w:t>
      </w:r>
    </w:p>
    <w:p w14:paraId="74FECE99" w14:textId="77777777" w:rsidR="0000510C" w:rsidRPr="007A644E" w:rsidRDefault="0000510C" w:rsidP="0000510C">
      <w:pPr>
        <w:numPr>
          <w:ilvl w:val="0"/>
          <w:numId w:val="25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Quality and methodology</w:t>
      </w:r>
    </w:p>
    <w:p w14:paraId="6E48CB93" w14:textId="77777777" w:rsidR="0000510C" w:rsidRPr="007A644E" w:rsidRDefault="0000510C" w:rsidP="0000510C">
      <w:pPr>
        <w:numPr>
          <w:ilvl w:val="0"/>
          <w:numId w:val="25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Programme and delivery</w:t>
      </w:r>
    </w:p>
    <w:p w14:paraId="79B6BA50" w14:textId="77777777" w:rsidR="0000510C" w:rsidRPr="007A644E" w:rsidRDefault="0000510C" w:rsidP="0000510C">
      <w:pPr>
        <w:numPr>
          <w:ilvl w:val="0"/>
          <w:numId w:val="25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Whole-life cost considerations</w:t>
      </w:r>
    </w:p>
    <w:p w14:paraId="72168F43" w14:textId="77777777" w:rsidR="0000510C" w:rsidRPr="007A644E" w:rsidRDefault="0000510C" w:rsidP="0000510C">
      <w:pPr>
        <w:numPr>
          <w:ilvl w:val="0"/>
          <w:numId w:val="25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Experience and competence</w:t>
      </w:r>
    </w:p>
    <w:p w14:paraId="6682F573" w14:textId="4B6650EA" w:rsidR="0000510C" w:rsidRPr="00F729C4" w:rsidRDefault="0000510C" w:rsidP="0000510C">
      <w:pPr>
        <w:spacing w:before="100" w:beforeAutospacing="1" w:after="100" w:afterAutospacing="1" w:line="300" w:lineRule="atLeast"/>
        <w:outlineLvl w:val="1"/>
        <w:rPr>
          <w:rFonts w:cs="Segoe UI"/>
          <w:b/>
          <w:bCs/>
          <w:color w:val="000000" w:themeColor="text1"/>
          <w:szCs w:val="22"/>
          <w:lang w:eastAsia="en-GB"/>
        </w:rPr>
      </w:pP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>1.1</w:t>
      </w:r>
      <w:r w:rsidR="000C6E35">
        <w:rPr>
          <w:rFonts w:cs="Segoe UI"/>
          <w:b/>
          <w:bCs/>
          <w:color w:val="000000" w:themeColor="text1"/>
          <w:szCs w:val="22"/>
          <w:lang w:eastAsia="en-GB"/>
        </w:rPr>
        <w:t>7</w:t>
      </w: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 xml:space="preserve">      Form of Contract</w:t>
      </w:r>
    </w:p>
    <w:p w14:paraId="490F1D36" w14:textId="2B56BAD6" w:rsidR="0000510C" w:rsidRPr="0034065B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34065B">
        <w:rPr>
          <w:rFonts w:cs="Segoe UI"/>
          <w:szCs w:val="22"/>
          <w:lang w:eastAsia="en-GB"/>
        </w:rPr>
        <w:t>The form of contract applicable to these works will be determined and issued separately by Beacon Group (via Barcud) as part of the procurement process</w:t>
      </w:r>
      <w:r w:rsidR="001501A3">
        <w:rPr>
          <w:rFonts w:cs="Segoe UI"/>
          <w:szCs w:val="22"/>
          <w:lang w:eastAsia="en-GB"/>
        </w:rPr>
        <w:t xml:space="preserve"> and will likely </w:t>
      </w:r>
      <w:r w:rsidR="00BB106E">
        <w:rPr>
          <w:rFonts w:cs="Segoe UI"/>
          <w:szCs w:val="22"/>
          <w:lang w:eastAsia="en-GB"/>
        </w:rPr>
        <w:t>be in the form of MF1 Rev 6 or Rev 7</w:t>
      </w:r>
      <w:r w:rsidRPr="0034065B">
        <w:rPr>
          <w:rFonts w:cs="Segoe UI"/>
          <w:szCs w:val="22"/>
          <w:lang w:eastAsia="en-GB"/>
        </w:rPr>
        <w:t>.</w:t>
      </w:r>
    </w:p>
    <w:p w14:paraId="63E071B0" w14:textId="77777777" w:rsidR="0000510C" w:rsidRPr="0034065B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34065B">
        <w:rPr>
          <w:rFonts w:cs="Segoe UI"/>
          <w:szCs w:val="22"/>
          <w:lang w:eastAsia="en-GB"/>
        </w:rPr>
        <w:t>This Specification is intended to define:</w:t>
      </w:r>
    </w:p>
    <w:p w14:paraId="34765B4F" w14:textId="77777777" w:rsidR="0000510C" w:rsidRPr="00084BC0" w:rsidRDefault="0000510C" w:rsidP="0000510C">
      <w:pPr>
        <w:numPr>
          <w:ilvl w:val="0"/>
          <w:numId w:val="1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084BC0">
        <w:rPr>
          <w:rFonts w:cs="Segoe UI"/>
          <w:szCs w:val="22"/>
          <w:lang w:eastAsia="en-GB"/>
        </w:rPr>
        <w:t>The technical requirements</w:t>
      </w:r>
    </w:p>
    <w:p w14:paraId="3B99AE88" w14:textId="77777777" w:rsidR="0000510C" w:rsidRPr="00084BC0" w:rsidRDefault="0000510C" w:rsidP="0000510C">
      <w:pPr>
        <w:numPr>
          <w:ilvl w:val="0"/>
          <w:numId w:val="1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084BC0">
        <w:rPr>
          <w:rFonts w:cs="Segoe UI"/>
          <w:szCs w:val="22"/>
          <w:lang w:eastAsia="en-GB"/>
        </w:rPr>
        <w:t>The performance criteria</w:t>
      </w:r>
    </w:p>
    <w:p w14:paraId="11C9602A" w14:textId="77777777" w:rsidR="0000510C" w:rsidRPr="00084BC0" w:rsidRDefault="0000510C" w:rsidP="0000510C">
      <w:pPr>
        <w:numPr>
          <w:ilvl w:val="0"/>
          <w:numId w:val="1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084BC0">
        <w:rPr>
          <w:rFonts w:cs="Segoe UI"/>
          <w:szCs w:val="22"/>
          <w:lang w:eastAsia="en-GB"/>
        </w:rPr>
        <w:t>The scope of works</w:t>
      </w:r>
    </w:p>
    <w:p w14:paraId="757AED0B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for the vertical transportation systems, and does not prescribe a specific form of contract.</w:t>
      </w:r>
    </w:p>
    <w:p w14:paraId="07E4AB45" w14:textId="04C1A7FE" w:rsidR="0000510C" w:rsidRPr="00F729C4" w:rsidRDefault="0000510C" w:rsidP="0000510C">
      <w:pPr>
        <w:spacing w:before="100" w:beforeAutospacing="1" w:after="100" w:afterAutospacing="1" w:line="300" w:lineRule="atLeast"/>
        <w:outlineLvl w:val="1"/>
        <w:rPr>
          <w:rFonts w:cs="Segoe UI"/>
          <w:b/>
          <w:bCs/>
          <w:color w:val="000000" w:themeColor="text1"/>
          <w:szCs w:val="22"/>
          <w:lang w:eastAsia="en-GB"/>
        </w:rPr>
      </w:pP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>1.1</w:t>
      </w:r>
      <w:r w:rsidR="000C6E35">
        <w:rPr>
          <w:rFonts w:cs="Segoe UI"/>
          <w:b/>
          <w:bCs/>
          <w:color w:val="000000" w:themeColor="text1"/>
          <w:szCs w:val="22"/>
          <w:lang w:eastAsia="en-GB"/>
        </w:rPr>
        <w:t>8</w:t>
      </w: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 xml:space="preserve"> </w:t>
      </w:r>
      <w:r>
        <w:rPr>
          <w:rFonts w:cs="Segoe UI"/>
          <w:b/>
          <w:bCs/>
          <w:color w:val="000000" w:themeColor="text1"/>
          <w:szCs w:val="22"/>
          <w:lang w:eastAsia="en-GB"/>
        </w:rPr>
        <w:t xml:space="preserve">     </w:t>
      </w: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>Commercial and Contractual Requirements</w:t>
      </w:r>
    </w:p>
    <w:p w14:paraId="6A8B3BAC" w14:textId="77777777" w:rsidR="0000510C" w:rsidRPr="0034065B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34065B">
        <w:rPr>
          <w:rFonts w:cs="Segoe UI"/>
          <w:szCs w:val="22"/>
          <w:lang w:eastAsia="en-GB"/>
        </w:rPr>
        <w:t>Tenderers shall:</w:t>
      </w:r>
    </w:p>
    <w:p w14:paraId="7A7D2BDE" w14:textId="77777777" w:rsidR="0000510C" w:rsidRPr="0034065B" w:rsidRDefault="0000510C" w:rsidP="0000510C">
      <w:pPr>
        <w:numPr>
          <w:ilvl w:val="0"/>
          <w:numId w:val="2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34065B">
        <w:rPr>
          <w:rFonts w:cs="Segoe UI"/>
          <w:szCs w:val="22"/>
          <w:lang w:eastAsia="en-GB"/>
        </w:rPr>
        <w:t>Review all commercial and contractual documentation issued via Sell2Wales</w:t>
      </w:r>
    </w:p>
    <w:p w14:paraId="2F08E38D" w14:textId="77777777" w:rsidR="0000510C" w:rsidRPr="0034065B" w:rsidRDefault="0000510C" w:rsidP="0000510C">
      <w:pPr>
        <w:numPr>
          <w:ilvl w:val="0"/>
          <w:numId w:val="2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34065B">
        <w:rPr>
          <w:rFonts w:cs="Segoe UI"/>
          <w:szCs w:val="22"/>
          <w:lang w:eastAsia="en-GB"/>
        </w:rPr>
        <w:t>Ensure that their tender submission fully reflects and complies with those requirements</w:t>
      </w:r>
    </w:p>
    <w:p w14:paraId="030E7477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Any:</w:t>
      </w:r>
    </w:p>
    <w:p w14:paraId="5C969D58" w14:textId="77777777" w:rsidR="0000510C" w:rsidRPr="007A644E" w:rsidRDefault="0000510C" w:rsidP="0000510C">
      <w:pPr>
        <w:numPr>
          <w:ilvl w:val="0"/>
          <w:numId w:val="3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Commercial qualifications</w:t>
      </w:r>
    </w:p>
    <w:p w14:paraId="191F27F1" w14:textId="77777777" w:rsidR="0000510C" w:rsidRPr="007A644E" w:rsidRDefault="0000510C" w:rsidP="0000510C">
      <w:pPr>
        <w:numPr>
          <w:ilvl w:val="0"/>
          <w:numId w:val="3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Proposed amendments to contract terms</w:t>
      </w:r>
    </w:p>
    <w:p w14:paraId="5B4C1367" w14:textId="77777777" w:rsidR="0000510C" w:rsidRPr="007A644E" w:rsidRDefault="0000510C" w:rsidP="0000510C">
      <w:pPr>
        <w:numPr>
          <w:ilvl w:val="0"/>
          <w:numId w:val="3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Clarifications relating to contractual matters</w:t>
      </w:r>
    </w:p>
    <w:p w14:paraId="109141DE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 xml:space="preserve">shall be submitted in accordance with the </w:t>
      </w:r>
      <w:r w:rsidRPr="0034065B">
        <w:rPr>
          <w:rFonts w:cs="Segoe UI"/>
          <w:szCs w:val="22"/>
          <w:lang w:eastAsia="en-GB"/>
        </w:rPr>
        <w:t>procurement process defined by Barcud</w:t>
      </w:r>
      <w:r w:rsidRPr="007A644E">
        <w:rPr>
          <w:rFonts w:cs="Segoe UI"/>
          <w:szCs w:val="22"/>
          <w:lang w:eastAsia="en-GB"/>
        </w:rPr>
        <w:t>.</w:t>
      </w:r>
    </w:p>
    <w:p w14:paraId="2F98A742" w14:textId="5059EAA6" w:rsidR="0000510C" w:rsidRPr="00F729C4" w:rsidRDefault="0000510C" w:rsidP="0000510C">
      <w:pPr>
        <w:spacing w:before="100" w:beforeAutospacing="1" w:after="100" w:afterAutospacing="1" w:line="300" w:lineRule="atLeast"/>
        <w:outlineLvl w:val="1"/>
        <w:rPr>
          <w:rFonts w:cs="Segoe UI"/>
          <w:b/>
          <w:bCs/>
          <w:color w:val="000000" w:themeColor="text1"/>
          <w:szCs w:val="22"/>
          <w:lang w:eastAsia="en-GB"/>
        </w:rPr>
      </w:pP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>1.1</w:t>
      </w:r>
      <w:r w:rsidR="000C6E35">
        <w:rPr>
          <w:rFonts w:cs="Segoe UI"/>
          <w:b/>
          <w:bCs/>
          <w:color w:val="000000" w:themeColor="text1"/>
          <w:szCs w:val="22"/>
          <w:lang w:eastAsia="en-GB"/>
        </w:rPr>
        <w:t>9</w:t>
      </w: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 xml:space="preserve">    </w:t>
      </w:r>
      <w:r>
        <w:rPr>
          <w:rFonts w:cs="Segoe UI"/>
          <w:b/>
          <w:bCs/>
          <w:color w:val="000000" w:themeColor="text1"/>
          <w:szCs w:val="22"/>
          <w:lang w:eastAsia="en-GB"/>
        </w:rPr>
        <w:t xml:space="preserve">  </w:t>
      </w:r>
      <w:r w:rsidRPr="00F729C4">
        <w:rPr>
          <w:rFonts w:cs="Segoe UI"/>
          <w:b/>
          <w:bCs/>
          <w:color w:val="000000" w:themeColor="text1"/>
          <w:szCs w:val="22"/>
          <w:lang w:eastAsia="en-GB"/>
        </w:rPr>
        <w:t>Pricing and Programme</w:t>
      </w:r>
    </w:p>
    <w:p w14:paraId="0E555F01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Tenderers shall provide:</w:t>
      </w:r>
    </w:p>
    <w:p w14:paraId="7C2A5C89" w14:textId="77777777" w:rsidR="0000510C" w:rsidRPr="006158AD" w:rsidRDefault="0000510C" w:rsidP="0000510C">
      <w:pPr>
        <w:numPr>
          <w:ilvl w:val="0"/>
          <w:numId w:val="32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6158AD">
        <w:rPr>
          <w:rFonts w:cs="Segoe UI"/>
          <w:szCs w:val="22"/>
          <w:lang w:eastAsia="en-GB"/>
        </w:rPr>
        <w:lastRenderedPageBreak/>
        <w:t xml:space="preserve">A programme of works for each lot, clearly identifying: </w:t>
      </w:r>
    </w:p>
    <w:p w14:paraId="002CF64D" w14:textId="77777777" w:rsidR="0000510C" w:rsidRPr="006158AD" w:rsidRDefault="0000510C" w:rsidP="0000510C">
      <w:pPr>
        <w:numPr>
          <w:ilvl w:val="1"/>
          <w:numId w:val="32"/>
        </w:numPr>
        <w:spacing w:before="100" w:beforeAutospacing="1" w:after="100" w:afterAutospacing="1" w:line="300" w:lineRule="atLeast"/>
        <w:ind w:left="1494"/>
        <w:rPr>
          <w:rFonts w:cs="Segoe UI"/>
          <w:szCs w:val="22"/>
          <w:lang w:eastAsia="en-GB"/>
        </w:rPr>
      </w:pPr>
      <w:r w:rsidRPr="006158AD">
        <w:rPr>
          <w:rFonts w:cs="Segoe UI"/>
          <w:szCs w:val="22"/>
          <w:lang w:eastAsia="en-GB"/>
        </w:rPr>
        <w:t>Key milestones per site</w:t>
      </w:r>
    </w:p>
    <w:p w14:paraId="57F18545" w14:textId="77777777" w:rsidR="0000510C" w:rsidRPr="006158AD" w:rsidRDefault="0000510C" w:rsidP="0000510C">
      <w:pPr>
        <w:numPr>
          <w:ilvl w:val="1"/>
          <w:numId w:val="32"/>
        </w:numPr>
        <w:spacing w:before="100" w:beforeAutospacing="1" w:after="100" w:afterAutospacing="1" w:line="300" w:lineRule="atLeast"/>
        <w:ind w:left="1494"/>
        <w:rPr>
          <w:rFonts w:cs="Segoe UI"/>
          <w:szCs w:val="22"/>
          <w:lang w:eastAsia="en-GB"/>
        </w:rPr>
      </w:pPr>
      <w:r w:rsidRPr="006158AD">
        <w:rPr>
          <w:rFonts w:cs="Segoe UI"/>
          <w:szCs w:val="22"/>
          <w:lang w:eastAsia="en-GB"/>
        </w:rPr>
        <w:t>Sequencing of works across the sites within the lot</w:t>
      </w:r>
    </w:p>
    <w:p w14:paraId="679282BB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Where tendering for both lots:</w:t>
      </w:r>
    </w:p>
    <w:p w14:paraId="7AAE1FEA" w14:textId="77777777" w:rsidR="0000510C" w:rsidRPr="007A644E" w:rsidRDefault="0000510C" w:rsidP="0000510C">
      <w:pPr>
        <w:numPr>
          <w:ilvl w:val="0"/>
          <w:numId w:val="33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 xml:space="preserve">The Tenderer shall indicate whether works will be undertaken: </w:t>
      </w:r>
    </w:p>
    <w:p w14:paraId="050B4800" w14:textId="77777777" w:rsidR="0000510C" w:rsidRPr="007A644E" w:rsidRDefault="0000510C" w:rsidP="0000510C">
      <w:pPr>
        <w:numPr>
          <w:ilvl w:val="1"/>
          <w:numId w:val="33"/>
        </w:numPr>
        <w:spacing w:before="100" w:beforeAutospacing="1" w:after="100" w:afterAutospacing="1" w:line="300" w:lineRule="atLeast"/>
        <w:ind w:left="1437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Concurrently, or</w:t>
      </w:r>
    </w:p>
    <w:p w14:paraId="1CD5E25F" w14:textId="77777777" w:rsidR="0000510C" w:rsidRPr="007A644E" w:rsidRDefault="0000510C" w:rsidP="0000510C">
      <w:pPr>
        <w:numPr>
          <w:ilvl w:val="1"/>
          <w:numId w:val="33"/>
        </w:numPr>
        <w:spacing w:before="100" w:beforeAutospacing="1" w:after="100" w:afterAutospacing="1" w:line="300" w:lineRule="atLeast"/>
        <w:ind w:left="1437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Sequentially</w:t>
      </w:r>
    </w:p>
    <w:p w14:paraId="545A1D18" w14:textId="77777777" w:rsidR="0000510C" w:rsidRPr="007A644E" w:rsidRDefault="0000510C" w:rsidP="0000510C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Pricing and programme submissions shall:</w:t>
      </w:r>
    </w:p>
    <w:p w14:paraId="201AFF9B" w14:textId="77777777" w:rsidR="0000510C" w:rsidRPr="007A644E" w:rsidRDefault="0000510C" w:rsidP="0000510C">
      <w:pPr>
        <w:numPr>
          <w:ilvl w:val="0"/>
          <w:numId w:val="4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Align with the form of contract issued separately</w:t>
      </w:r>
    </w:p>
    <w:p w14:paraId="46CCA7A3" w14:textId="77777777" w:rsidR="0000510C" w:rsidRPr="007A644E" w:rsidRDefault="0000510C" w:rsidP="0000510C">
      <w:pPr>
        <w:numPr>
          <w:ilvl w:val="0"/>
          <w:numId w:val="4"/>
        </w:numPr>
        <w:spacing w:before="100" w:beforeAutospacing="1" w:after="100" w:afterAutospacing="1" w:line="300" w:lineRule="atLeast"/>
        <w:ind w:left="104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 xml:space="preserve">Reflect the constraints associated with working across </w:t>
      </w:r>
      <w:r w:rsidRPr="006158AD">
        <w:rPr>
          <w:rFonts w:cs="Segoe UI"/>
          <w:szCs w:val="22"/>
          <w:lang w:eastAsia="en-GB"/>
        </w:rPr>
        <w:t>multiple sites and occupied buildings</w:t>
      </w:r>
      <w:r w:rsidRPr="007A644E">
        <w:rPr>
          <w:rFonts w:cs="Segoe UI"/>
          <w:szCs w:val="22"/>
          <w:lang w:eastAsia="en-GB"/>
        </w:rPr>
        <w:t xml:space="preserve"> (where applicable)</w:t>
      </w:r>
    </w:p>
    <w:p w14:paraId="1D701C5F" w14:textId="77777777" w:rsidR="000C6E35" w:rsidRDefault="0000510C" w:rsidP="000C6E35">
      <w:pPr>
        <w:spacing w:before="100" w:beforeAutospacing="1" w:after="100" w:afterAutospacing="1" w:line="300" w:lineRule="atLeast"/>
        <w:ind w:left="680"/>
        <w:rPr>
          <w:rFonts w:cs="Segoe UI"/>
          <w:szCs w:val="22"/>
          <w:lang w:eastAsia="en-GB"/>
        </w:rPr>
      </w:pPr>
      <w:r w:rsidRPr="007A644E">
        <w:rPr>
          <w:rFonts w:cs="Segoe UI"/>
          <w:szCs w:val="22"/>
          <w:lang w:eastAsia="en-GB"/>
        </w:rPr>
        <w:t>The Client reserves the right to assess any combined lot submissions against individual lot submissions to determine overall best valu</w:t>
      </w:r>
      <w:r w:rsidR="000C6E35">
        <w:rPr>
          <w:rFonts w:cs="Segoe UI"/>
          <w:szCs w:val="22"/>
          <w:lang w:eastAsia="en-GB"/>
        </w:rPr>
        <w:t>e</w:t>
      </w:r>
    </w:p>
    <w:p w14:paraId="4831C858" w14:textId="16CC078B" w:rsidR="0000510C" w:rsidRPr="000C6E35" w:rsidRDefault="000C6E35" w:rsidP="000C6E35">
      <w:pPr>
        <w:spacing w:before="100" w:beforeAutospacing="1" w:after="100" w:afterAutospacing="1" w:line="300" w:lineRule="atLeast"/>
        <w:rPr>
          <w:rFonts w:cs="Segoe UI"/>
          <w:szCs w:val="22"/>
          <w:lang w:eastAsia="en-GB"/>
        </w:rPr>
      </w:pPr>
      <w:r w:rsidRPr="000C6E35">
        <w:rPr>
          <w:rFonts w:cs="Segoe UI"/>
          <w:b/>
          <w:bCs/>
          <w:szCs w:val="22"/>
          <w:lang w:eastAsia="en-GB"/>
        </w:rPr>
        <w:t>1.20</w:t>
      </w:r>
      <w:r>
        <w:rPr>
          <w:rFonts w:cs="Segoe UI"/>
          <w:szCs w:val="22"/>
          <w:lang w:eastAsia="en-GB"/>
        </w:rPr>
        <w:t xml:space="preserve">   </w:t>
      </w:r>
      <w:r w:rsidRPr="000C6E35">
        <w:rPr>
          <w:rFonts w:cs="Segoe UI"/>
          <w:b/>
          <w:bCs/>
          <w:szCs w:val="22"/>
          <w:lang w:eastAsia="en-GB"/>
        </w:rPr>
        <w:t xml:space="preserve">   </w:t>
      </w:r>
      <w:r w:rsidR="00E92740" w:rsidRPr="000C6E35">
        <w:rPr>
          <w:rFonts w:cs="Segoe UI"/>
          <w:b/>
          <w:bCs/>
          <w:szCs w:val="22"/>
          <w:lang w:eastAsia="en-GB"/>
        </w:rPr>
        <w:t>Site Surveys</w:t>
      </w:r>
    </w:p>
    <w:p w14:paraId="3DE24826" w14:textId="77777777" w:rsidR="00CE64B7" w:rsidRDefault="00CE64B7" w:rsidP="001E09A5">
      <w:pPr>
        <w:ind w:left="680"/>
      </w:pPr>
      <w:r>
        <w:t xml:space="preserve">Site surveys are deemed mandatory for all bidders to ensure that an accurate submission is received. </w:t>
      </w:r>
    </w:p>
    <w:p w14:paraId="0F173511" w14:textId="7C6EB352" w:rsidR="00B74EF6" w:rsidRDefault="001E09A5" w:rsidP="001E09A5">
      <w:pPr>
        <w:ind w:left="680"/>
      </w:pPr>
      <w:r>
        <w:t>All site surveys are to be booked in via the following contact details:</w:t>
      </w:r>
      <w:r>
        <w:br/>
      </w:r>
      <w:r>
        <w:br/>
      </w:r>
      <w:r w:rsidRPr="0001408A">
        <w:rPr>
          <w:b/>
          <w:bCs/>
        </w:rPr>
        <w:t>Name:</w:t>
      </w:r>
      <w:r>
        <w:t xml:space="preserve"> Rhys Smith</w:t>
      </w:r>
      <w:r>
        <w:br/>
      </w:r>
      <w:r w:rsidRPr="0001408A">
        <w:rPr>
          <w:b/>
          <w:bCs/>
        </w:rPr>
        <w:t>Email:</w:t>
      </w:r>
      <w:r>
        <w:t xml:space="preserve"> </w:t>
      </w:r>
      <w:hyperlink r:id="rId7" w:history="1">
        <w:r w:rsidR="0001408A" w:rsidRPr="00D0295B">
          <w:rPr>
            <w:rStyle w:val="Hyperlink"/>
          </w:rPr>
          <w:t>Rhys.Smith@tuvsud.com</w:t>
        </w:r>
      </w:hyperlink>
    </w:p>
    <w:p w14:paraId="542B8906" w14:textId="77777777" w:rsidR="000C6E35" w:rsidRDefault="000C6E35" w:rsidP="001E09A5">
      <w:pPr>
        <w:ind w:left="680"/>
      </w:pPr>
    </w:p>
    <w:p w14:paraId="1220DB2C" w14:textId="17A94793" w:rsidR="0001408A" w:rsidRDefault="0001408A" w:rsidP="001E09A5">
      <w:pPr>
        <w:ind w:left="680"/>
      </w:pPr>
      <w:r>
        <w:t xml:space="preserve">A minimum of 48 </w:t>
      </w:r>
      <w:r w:rsidR="00CE64B7">
        <w:t>hours’ notice</w:t>
      </w:r>
      <w:r>
        <w:t xml:space="preserve"> is required for site bookings. All surveys will be allocated on a </w:t>
      </w:r>
      <w:r w:rsidR="00CE64B7">
        <w:t>“</w:t>
      </w:r>
      <w:r>
        <w:t>fir</w:t>
      </w:r>
      <w:r w:rsidR="00CE64B7">
        <w:t>s</w:t>
      </w:r>
      <w:r>
        <w:t>t come first serve</w:t>
      </w:r>
      <w:r w:rsidR="00CE64B7">
        <w:t>”</w:t>
      </w:r>
      <w:r>
        <w:t xml:space="preserve"> ba</w:t>
      </w:r>
      <w:r w:rsidR="00CE64B7">
        <w:t>sis.</w:t>
      </w:r>
    </w:p>
    <w:sectPr w:rsidR="0001408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8F5B" w14:textId="77777777" w:rsidR="009B124C" w:rsidRDefault="009B124C" w:rsidP="005739A3">
      <w:pPr>
        <w:spacing w:before="0" w:after="0"/>
      </w:pPr>
      <w:r>
        <w:separator/>
      </w:r>
    </w:p>
  </w:endnote>
  <w:endnote w:type="continuationSeparator" w:id="0">
    <w:p w14:paraId="18F42748" w14:textId="77777777" w:rsidR="009B124C" w:rsidRDefault="009B124C" w:rsidP="005739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4AED" w14:textId="14177312" w:rsidR="00FF0146" w:rsidRPr="006C0E92" w:rsidRDefault="00FF0146" w:rsidP="00FF0146">
    <w:pPr>
      <w:pStyle w:val="Footer"/>
    </w:pPr>
    <w:r w:rsidRPr="00F62FA6">
      <w:rPr>
        <w:sz w:val="18"/>
        <w:szCs w:val="18"/>
      </w:rPr>
      <w:t xml:space="preserve">VT </w:t>
    </w:r>
    <w:r>
      <w:rPr>
        <w:sz w:val="18"/>
        <w:szCs w:val="18"/>
      </w:rPr>
      <w:t>–</w:t>
    </w:r>
    <w:r w:rsidRPr="00F62FA6">
      <w:rPr>
        <w:sz w:val="18"/>
        <w:szCs w:val="18"/>
      </w:rPr>
      <w:t xml:space="preserve"> </w:t>
    </w:r>
    <w:r>
      <w:rPr>
        <w:sz w:val="18"/>
        <w:szCs w:val="18"/>
      </w:rPr>
      <w:t>Performance Specification</w:t>
    </w:r>
    <w:r w:rsidRPr="00F62FA6">
      <w:rPr>
        <w:sz w:val="18"/>
        <w:szCs w:val="18"/>
      </w:rPr>
      <w:t xml:space="preserve"> – </w:t>
    </w:r>
    <w:r w:rsidR="00470C70">
      <w:rPr>
        <w:sz w:val="18"/>
        <w:szCs w:val="18"/>
      </w:rPr>
      <w:t xml:space="preserve">Schedule 1 – Instructions for Tenderers </w:t>
    </w:r>
    <w:r w:rsidRPr="00F62FA6">
      <w:rPr>
        <w:sz w:val="18"/>
        <w:szCs w:val="18"/>
      </w:rPr>
      <w:t>Ver.1</w:t>
    </w:r>
    <w:r w:rsidRPr="00F62FA6">
      <w:rPr>
        <w:sz w:val="18"/>
        <w:szCs w:val="18"/>
      </w:rPr>
      <w:br/>
    </w:r>
    <w:r>
      <w:rPr>
        <w:sz w:val="18"/>
        <w:szCs w:val="18"/>
      </w:rPr>
      <w:t>N.W260054/5/6/7</w:t>
    </w:r>
  </w:p>
  <w:p w14:paraId="4116CB36" w14:textId="77777777" w:rsidR="005739A3" w:rsidRDefault="00573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E303" w14:textId="77777777" w:rsidR="009B124C" w:rsidRDefault="009B124C" w:rsidP="005739A3">
      <w:pPr>
        <w:spacing w:before="0" w:after="0"/>
      </w:pPr>
      <w:r>
        <w:separator/>
      </w:r>
    </w:p>
  </w:footnote>
  <w:footnote w:type="continuationSeparator" w:id="0">
    <w:p w14:paraId="3F6BC616" w14:textId="77777777" w:rsidR="009B124C" w:rsidRDefault="009B124C" w:rsidP="005739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53B8" w14:textId="79A9B16B" w:rsidR="00CB4746" w:rsidRDefault="00CB4746" w:rsidP="00CB474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0840B7" wp14:editId="49591FB2">
          <wp:simplePos x="0" y="0"/>
          <wp:positionH relativeFrom="column">
            <wp:posOffset>5342890</wp:posOffset>
          </wp:positionH>
          <wp:positionV relativeFrom="paragraph">
            <wp:posOffset>-402590</wp:posOffset>
          </wp:positionV>
          <wp:extent cx="1114425" cy="1114425"/>
          <wp:effectExtent l="0" t="0" r="9525" b="9525"/>
          <wp:wrapSquare wrapText="bothSides"/>
          <wp:docPr id="3931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1725" name="Picture 39317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707"/>
    <w:multiLevelType w:val="multilevel"/>
    <w:tmpl w:val="9F2A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B5B97"/>
    <w:multiLevelType w:val="multilevel"/>
    <w:tmpl w:val="CD8A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D0BE5"/>
    <w:multiLevelType w:val="multilevel"/>
    <w:tmpl w:val="1D42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E333E"/>
    <w:multiLevelType w:val="multilevel"/>
    <w:tmpl w:val="1566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A0216"/>
    <w:multiLevelType w:val="multilevel"/>
    <w:tmpl w:val="81B2F206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20"/>
      <w:numFmt w:val="decimal"/>
      <w:lvlText w:val="%1.%2"/>
      <w:lvlJc w:val="left"/>
      <w:pPr>
        <w:ind w:left="502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Arial Narrow" w:hAnsi="Arial Narrow" w:hint="default"/>
        <w:sz w:val="22"/>
      </w:rPr>
    </w:lvl>
  </w:abstractNum>
  <w:abstractNum w:abstractNumId="5" w15:restartNumberingAfterBreak="0">
    <w:nsid w:val="0CA669BF"/>
    <w:multiLevelType w:val="multilevel"/>
    <w:tmpl w:val="9F2A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D1B2E"/>
    <w:multiLevelType w:val="multilevel"/>
    <w:tmpl w:val="FA76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8008F"/>
    <w:multiLevelType w:val="multilevel"/>
    <w:tmpl w:val="546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F6500"/>
    <w:multiLevelType w:val="multilevel"/>
    <w:tmpl w:val="177A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02AFC"/>
    <w:multiLevelType w:val="multilevel"/>
    <w:tmpl w:val="88E6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0457F"/>
    <w:multiLevelType w:val="multilevel"/>
    <w:tmpl w:val="CBC6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125076"/>
    <w:multiLevelType w:val="multilevel"/>
    <w:tmpl w:val="1186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6B2206"/>
    <w:multiLevelType w:val="multilevel"/>
    <w:tmpl w:val="EDE0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82187"/>
    <w:multiLevelType w:val="multilevel"/>
    <w:tmpl w:val="D322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32059"/>
    <w:multiLevelType w:val="hybridMultilevel"/>
    <w:tmpl w:val="496414E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EF0EA6"/>
    <w:multiLevelType w:val="multilevel"/>
    <w:tmpl w:val="5A46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5C40FE"/>
    <w:multiLevelType w:val="multilevel"/>
    <w:tmpl w:val="2210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DB0DB9"/>
    <w:multiLevelType w:val="hybridMultilevel"/>
    <w:tmpl w:val="5482719E"/>
    <w:lvl w:ilvl="0" w:tplc="26DC12C2">
      <w:start w:val="1"/>
      <w:numFmt w:val="decimal"/>
      <w:lvlText w:val="1.%1"/>
      <w:lvlJc w:val="right"/>
      <w:pPr>
        <w:ind w:left="1440" w:hanging="360"/>
      </w:pPr>
      <w:rPr>
        <w:rFonts w:ascii="Arial Narrow" w:hAnsi="Arial Narrow" w:hint="default"/>
        <w:b/>
        <w:i w:val="0"/>
        <w:caps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3D300D"/>
    <w:multiLevelType w:val="multilevel"/>
    <w:tmpl w:val="2906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766F51"/>
    <w:multiLevelType w:val="multilevel"/>
    <w:tmpl w:val="6A98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14DF9"/>
    <w:multiLevelType w:val="multilevel"/>
    <w:tmpl w:val="128C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4A0A6D"/>
    <w:multiLevelType w:val="multilevel"/>
    <w:tmpl w:val="4D6E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AD457A"/>
    <w:multiLevelType w:val="multilevel"/>
    <w:tmpl w:val="3ADE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975D7C"/>
    <w:multiLevelType w:val="multilevel"/>
    <w:tmpl w:val="4E88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FB760F"/>
    <w:multiLevelType w:val="multilevel"/>
    <w:tmpl w:val="BB90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2C77CF"/>
    <w:multiLevelType w:val="multilevel"/>
    <w:tmpl w:val="3D22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EB14E5"/>
    <w:multiLevelType w:val="hybridMultilevel"/>
    <w:tmpl w:val="E5FEFAFC"/>
    <w:lvl w:ilvl="0" w:tplc="E760DA0E">
      <w:start w:val="18"/>
      <w:numFmt w:val="decimal"/>
      <w:lvlText w:val="1.%1"/>
      <w:lvlJc w:val="right"/>
      <w:pPr>
        <w:ind w:left="502" w:hanging="360"/>
      </w:pPr>
      <w:rPr>
        <w:rFonts w:ascii="Arial Narrow" w:hAnsi="Arial Narrow" w:hint="default"/>
        <w:b/>
        <w:i w:val="0"/>
        <w:caps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88E05ED"/>
    <w:multiLevelType w:val="multilevel"/>
    <w:tmpl w:val="9F2A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A51D7"/>
    <w:multiLevelType w:val="multilevel"/>
    <w:tmpl w:val="F6B2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45FBF"/>
    <w:multiLevelType w:val="multilevel"/>
    <w:tmpl w:val="9F2A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5F2718"/>
    <w:multiLevelType w:val="multilevel"/>
    <w:tmpl w:val="DB8A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A26623"/>
    <w:multiLevelType w:val="multilevel"/>
    <w:tmpl w:val="2FCA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460887"/>
    <w:multiLevelType w:val="multilevel"/>
    <w:tmpl w:val="B02A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CD40DF"/>
    <w:multiLevelType w:val="multilevel"/>
    <w:tmpl w:val="B32C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F50DF5"/>
    <w:multiLevelType w:val="multilevel"/>
    <w:tmpl w:val="599C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391D51"/>
    <w:multiLevelType w:val="multilevel"/>
    <w:tmpl w:val="A6B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D9203F"/>
    <w:multiLevelType w:val="multilevel"/>
    <w:tmpl w:val="9F2A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C0118B"/>
    <w:multiLevelType w:val="multilevel"/>
    <w:tmpl w:val="55EC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192EC9"/>
    <w:multiLevelType w:val="multilevel"/>
    <w:tmpl w:val="2406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2013B9"/>
    <w:multiLevelType w:val="multilevel"/>
    <w:tmpl w:val="8B9C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BD7210"/>
    <w:multiLevelType w:val="multilevel"/>
    <w:tmpl w:val="5F38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026128">
    <w:abstractNumId w:val="10"/>
  </w:num>
  <w:num w:numId="2" w16cid:durableId="1929343493">
    <w:abstractNumId w:val="32"/>
  </w:num>
  <w:num w:numId="3" w16cid:durableId="220096404">
    <w:abstractNumId w:val="34"/>
  </w:num>
  <w:num w:numId="4" w16cid:durableId="127551307">
    <w:abstractNumId w:val="21"/>
  </w:num>
  <w:num w:numId="5" w16cid:durableId="1556351990">
    <w:abstractNumId w:val="31"/>
  </w:num>
  <w:num w:numId="6" w16cid:durableId="244925731">
    <w:abstractNumId w:val="40"/>
  </w:num>
  <w:num w:numId="7" w16cid:durableId="1881477975">
    <w:abstractNumId w:val="8"/>
  </w:num>
  <w:num w:numId="8" w16cid:durableId="902445345">
    <w:abstractNumId w:val="9"/>
  </w:num>
  <w:num w:numId="9" w16cid:durableId="1083407424">
    <w:abstractNumId w:val="30"/>
  </w:num>
  <w:num w:numId="10" w16cid:durableId="1992713281">
    <w:abstractNumId w:val="35"/>
  </w:num>
  <w:num w:numId="11" w16cid:durableId="1332491225">
    <w:abstractNumId w:val="22"/>
  </w:num>
  <w:num w:numId="12" w16cid:durableId="2058969777">
    <w:abstractNumId w:val="28"/>
  </w:num>
  <w:num w:numId="13" w16cid:durableId="720253317">
    <w:abstractNumId w:val="37"/>
  </w:num>
  <w:num w:numId="14" w16cid:durableId="1348677892">
    <w:abstractNumId w:val="38"/>
  </w:num>
  <w:num w:numId="15" w16cid:durableId="580528983">
    <w:abstractNumId w:val="12"/>
  </w:num>
  <w:num w:numId="16" w16cid:durableId="198862944">
    <w:abstractNumId w:val="24"/>
  </w:num>
  <w:num w:numId="17" w16cid:durableId="1523712059">
    <w:abstractNumId w:val="3"/>
  </w:num>
  <w:num w:numId="18" w16cid:durableId="1682584680">
    <w:abstractNumId w:val="2"/>
  </w:num>
  <w:num w:numId="19" w16cid:durableId="1869177830">
    <w:abstractNumId w:val="11"/>
  </w:num>
  <w:num w:numId="20" w16cid:durableId="893734850">
    <w:abstractNumId w:val="18"/>
  </w:num>
  <w:num w:numId="21" w16cid:durableId="1535843364">
    <w:abstractNumId w:val="1"/>
  </w:num>
  <w:num w:numId="22" w16cid:durableId="1088192047">
    <w:abstractNumId w:val="20"/>
  </w:num>
  <w:num w:numId="23" w16cid:durableId="777723915">
    <w:abstractNumId w:val="13"/>
  </w:num>
  <w:num w:numId="24" w16cid:durableId="1234505492">
    <w:abstractNumId w:val="33"/>
  </w:num>
  <w:num w:numId="25" w16cid:durableId="1773474946">
    <w:abstractNumId w:val="7"/>
  </w:num>
  <w:num w:numId="26" w16cid:durableId="1098139064">
    <w:abstractNumId w:val="23"/>
  </w:num>
  <w:num w:numId="27" w16cid:durableId="131411648">
    <w:abstractNumId w:val="19"/>
  </w:num>
  <w:num w:numId="28" w16cid:durableId="1554077197">
    <w:abstractNumId w:val="15"/>
  </w:num>
  <w:num w:numId="29" w16cid:durableId="1309089139">
    <w:abstractNumId w:val="36"/>
  </w:num>
  <w:num w:numId="30" w16cid:durableId="235673223">
    <w:abstractNumId w:val="5"/>
  </w:num>
  <w:num w:numId="31" w16cid:durableId="1868987250">
    <w:abstractNumId w:val="0"/>
  </w:num>
  <w:num w:numId="32" w16cid:durableId="1966891743">
    <w:abstractNumId w:val="27"/>
  </w:num>
  <w:num w:numId="33" w16cid:durableId="1814178968">
    <w:abstractNumId w:val="29"/>
  </w:num>
  <w:num w:numId="34" w16cid:durableId="541015111">
    <w:abstractNumId w:val="14"/>
  </w:num>
  <w:num w:numId="35" w16cid:durableId="572423764">
    <w:abstractNumId w:val="17"/>
  </w:num>
  <w:num w:numId="36" w16cid:durableId="956134998">
    <w:abstractNumId w:val="26"/>
  </w:num>
  <w:num w:numId="37" w16cid:durableId="2102603464">
    <w:abstractNumId w:val="16"/>
  </w:num>
  <w:num w:numId="38" w16cid:durableId="865799992">
    <w:abstractNumId w:val="39"/>
  </w:num>
  <w:num w:numId="39" w16cid:durableId="393236210">
    <w:abstractNumId w:val="6"/>
  </w:num>
  <w:num w:numId="40" w16cid:durableId="966353973">
    <w:abstractNumId w:val="25"/>
  </w:num>
  <w:num w:numId="41" w16cid:durableId="1293634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0C"/>
    <w:rsid w:val="0000510C"/>
    <w:rsid w:val="0001408A"/>
    <w:rsid w:val="00083840"/>
    <w:rsid w:val="000C6E35"/>
    <w:rsid w:val="001501A3"/>
    <w:rsid w:val="001E09A5"/>
    <w:rsid w:val="00370ADE"/>
    <w:rsid w:val="00470C70"/>
    <w:rsid w:val="00512875"/>
    <w:rsid w:val="005739A3"/>
    <w:rsid w:val="006C272D"/>
    <w:rsid w:val="006F51AF"/>
    <w:rsid w:val="007316C6"/>
    <w:rsid w:val="008821F6"/>
    <w:rsid w:val="009A336F"/>
    <w:rsid w:val="009B124C"/>
    <w:rsid w:val="00B5618C"/>
    <w:rsid w:val="00B74EF6"/>
    <w:rsid w:val="00BB106E"/>
    <w:rsid w:val="00CB4746"/>
    <w:rsid w:val="00CE6172"/>
    <w:rsid w:val="00CE64B7"/>
    <w:rsid w:val="00D632C6"/>
    <w:rsid w:val="00E92740"/>
    <w:rsid w:val="00E97023"/>
    <w:rsid w:val="00F20E44"/>
    <w:rsid w:val="00F73196"/>
    <w:rsid w:val="00F86FC5"/>
    <w:rsid w:val="00FE2F25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A76F"/>
  <w15:chartTrackingRefBased/>
  <w15:docId w15:val="{F852353A-C871-42CC-9893-2F36497F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0C"/>
    <w:pPr>
      <w:spacing w:before="160" w:line="240" w:lineRule="auto"/>
    </w:pPr>
    <w:rPr>
      <w:rFonts w:ascii="Arial Narrow" w:eastAsia="Times New Roman" w:hAnsi="Arial Narrow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05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0510C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0510C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05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05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05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005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005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aliases w:val="9,App1,App Heading,Doc Ref"/>
    <w:basedOn w:val="Normal"/>
    <w:next w:val="Normal"/>
    <w:link w:val="Heading9Char"/>
    <w:unhideWhenUsed/>
    <w:qFormat/>
    <w:rsid w:val="00005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aliases w:val="9 Char,App1 Char,App Heading Char,Doc Ref Char"/>
    <w:basedOn w:val="DefaultParagraphFont"/>
    <w:link w:val="Heading9"/>
    <w:uiPriority w:val="9"/>
    <w:semiHidden/>
    <w:rsid w:val="00005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1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10C"/>
    <w:pPr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1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00510C"/>
    <w:pPr>
      <w:spacing w:after="24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oldCentre">
    <w:name w:val="Body Bold Centre"/>
    <w:basedOn w:val="Normal"/>
    <w:qFormat/>
    <w:rsid w:val="0000510C"/>
    <w:pPr>
      <w:keepNext/>
      <w:spacing w:before="220" w:after="220"/>
      <w:ind w:left="709"/>
      <w:jc w:val="center"/>
    </w:pPr>
    <w:rPr>
      <w:b/>
      <w:lang w:val="en-US"/>
    </w:rPr>
  </w:style>
  <w:style w:type="paragraph" w:customStyle="1" w:styleId="StyleCentered">
    <w:name w:val="Style Centered"/>
    <w:basedOn w:val="Normal"/>
    <w:rsid w:val="0000510C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5739A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39A3"/>
    <w:rPr>
      <w:rFonts w:ascii="Arial Narrow" w:eastAsia="Times New Roman" w:hAnsi="Arial Narrow" w:cs="Times New Roman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nhideWhenUsed/>
    <w:rsid w:val="005739A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5739A3"/>
    <w:rPr>
      <w:rFonts w:ascii="Arial Narrow" w:eastAsia="Times New Roman" w:hAnsi="Arial Narrow" w:cs="Times New Roman"/>
      <w:kern w:val="0"/>
      <w:sz w:val="22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140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hys.Smith@tuvsu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1365</Words>
  <Characters>8115</Characters>
  <Application>Microsoft Office Word</Application>
  <DocSecurity>0</DocSecurity>
  <Lines>270</Lines>
  <Paragraphs>243</Paragraphs>
  <ScaleCrop>false</ScaleCrop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Rhys</dc:creator>
  <cp:keywords/>
  <dc:description/>
  <cp:lastModifiedBy>Tim Johnston</cp:lastModifiedBy>
  <cp:revision>24</cp:revision>
  <dcterms:created xsi:type="dcterms:W3CDTF">2026-06-26T19:47:00Z</dcterms:created>
  <dcterms:modified xsi:type="dcterms:W3CDTF">2026-07-08T15:44:00Z</dcterms:modified>
</cp:coreProperties>
</file>