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8DEB" w14:textId="52BE28BE" w:rsidR="00057CE9" w:rsidRDefault="00A006F8">
      <w:pPr>
        <w:spacing w:before="400" w:after="100"/>
        <w:jc w:val="center"/>
      </w:pPr>
      <w:r>
        <w:rPr>
          <w:b/>
          <w:bCs/>
          <w:color w:val="1F4E79"/>
          <w:sz w:val="28"/>
          <w:szCs w:val="28"/>
        </w:rPr>
        <w:t>SERVICE SPECIFICATION</w:t>
      </w:r>
    </w:p>
    <w:p w14:paraId="65538DEC" w14:textId="77777777" w:rsidR="00057CE9" w:rsidRDefault="00A006F8">
      <w:pPr>
        <w:spacing w:after="100"/>
        <w:jc w:val="center"/>
      </w:pPr>
      <w:r>
        <w:rPr>
          <w:b/>
          <w:bCs/>
          <w:sz w:val="40"/>
          <w:szCs w:val="40"/>
        </w:rPr>
        <w:t>Conwy Social Prescribing Service</w:t>
      </w:r>
    </w:p>
    <w:p w14:paraId="4B53A3DC" w14:textId="77777777" w:rsidR="00004747" w:rsidRDefault="00004747">
      <w:pPr>
        <w:pStyle w:val="Heading2"/>
        <w:rPr>
          <w:b w:val="0"/>
          <w:bCs w:val="0"/>
          <w:i/>
          <w:iCs/>
          <w:color w:val="595959"/>
          <w:sz w:val="24"/>
          <w:szCs w:val="24"/>
        </w:rPr>
      </w:pPr>
    </w:p>
    <w:p w14:paraId="65538DEE" w14:textId="2EA00103" w:rsidR="00057CE9" w:rsidRDefault="00F834DC">
      <w:pPr>
        <w:pStyle w:val="Heading2"/>
      </w:pPr>
      <w:r>
        <w:t>Introduction</w:t>
      </w:r>
    </w:p>
    <w:p w14:paraId="722A621A" w14:textId="38CCB5E6" w:rsidR="00004747" w:rsidRPr="00E00B63" w:rsidRDefault="00E00B63">
      <w:pPr>
        <w:pStyle w:val="Heading2"/>
        <w:rPr>
          <w:b w:val="0"/>
          <w:bCs w:val="0"/>
          <w:color w:val="auto"/>
          <w:sz w:val="22"/>
          <w:szCs w:val="22"/>
        </w:rPr>
      </w:pPr>
      <w:r w:rsidRPr="00E00B63">
        <w:rPr>
          <w:b w:val="0"/>
          <w:bCs w:val="0"/>
          <w:color w:val="auto"/>
          <w:sz w:val="22"/>
          <w:szCs w:val="22"/>
        </w:rPr>
        <w:t>Social prescribing is an umbrella term that describes a person-centred approach to connecting people to local community assets</w:t>
      </w:r>
      <w:r w:rsidR="00656041">
        <w:rPr>
          <w:b w:val="0"/>
          <w:bCs w:val="0"/>
          <w:color w:val="auto"/>
          <w:sz w:val="22"/>
          <w:szCs w:val="22"/>
        </w:rPr>
        <w:t xml:space="preserve"> to benefit their health and wellbeing</w:t>
      </w:r>
      <w:r w:rsidRPr="00E00B63">
        <w:rPr>
          <w:b w:val="0"/>
          <w:bCs w:val="0"/>
          <w:color w:val="auto"/>
          <w:sz w:val="22"/>
          <w:szCs w:val="22"/>
        </w:rPr>
        <w:t>. Community assets include community groups, interventions and services which could be delivered online or in person, as well as buildings, land or even a person within a community. Social prescribing is a way of connecting people, whatever their age or background, with their community to better manage their health and wellbeing</w:t>
      </w:r>
      <w:r w:rsidR="00656041">
        <w:rPr>
          <w:b w:val="0"/>
          <w:bCs w:val="0"/>
          <w:color w:val="auto"/>
          <w:sz w:val="22"/>
          <w:szCs w:val="22"/>
        </w:rPr>
        <w:t>, focussing on prevention and early intervention</w:t>
      </w:r>
      <w:r w:rsidRPr="00E00B63">
        <w:rPr>
          <w:b w:val="0"/>
          <w:bCs w:val="0"/>
          <w:color w:val="auto"/>
          <w:sz w:val="22"/>
          <w:szCs w:val="22"/>
        </w:rPr>
        <w:t xml:space="preserve">. It can help empower individuals to recognise their own needs, strengths, and personal assets and to connect with their own communities for </w:t>
      </w:r>
      <w:r w:rsidR="00656041">
        <w:rPr>
          <w:b w:val="0"/>
          <w:bCs w:val="0"/>
          <w:color w:val="auto"/>
          <w:sz w:val="22"/>
          <w:szCs w:val="22"/>
        </w:rPr>
        <w:t xml:space="preserve">sustainable </w:t>
      </w:r>
      <w:r w:rsidRPr="00E00B63">
        <w:rPr>
          <w:b w:val="0"/>
          <w:bCs w:val="0"/>
          <w:color w:val="auto"/>
          <w:sz w:val="22"/>
          <w:szCs w:val="22"/>
        </w:rPr>
        <w:t>support</w:t>
      </w:r>
      <w:r w:rsidR="00656041">
        <w:rPr>
          <w:b w:val="0"/>
          <w:bCs w:val="0"/>
          <w:color w:val="auto"/>
          <w:sz w:val="22"/>
          <w:szCs w:val="22"/>
        </w:rPr>
        <w:t>.</w:t>
      </w:r>
    </w:p>
    <w:p w14:paraId="7D553B92" w14:textId="3DFF0D73" w:rsidR="00004747" w:rsidRDefault="00004747" w:rsidP="00004747">
      <w:pPr>
        <w:pStyle w:val="Heading2"/>
        <w:jc w:val="center"/>
      </w:pPr>
      <w:r w:rsidRPr="00004747">
        <w:rPr>
          <w:noProof/>
        </w:rPr>
        <w:drawing>
          <wp:inline distT="0" distB="0" distL="0" distR="0" wp14:anchorId="7CB3CFA9" wp14:editId="5E89EDF7">
            <wp:extent cx="5731510" cy="1899285"/>
            <wp:effectExtent l="0" t="0" r="2540" b="5715"/>
            <wp:docPr id="189364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46104" name=""/>
                    <pic:cNvPicPr/>
                  </pic:nvPicPr>
                  <pic:blipFill>
                    <a:blip r:embed="rId8"/>
                    <a:stretch>
                      <a:fillRect/>
                    </a:stretch>
                  </pic:blipFill>
                  <pic:spPr>
                    <a:xfrm>
                      <a:off x="0" y="0"/>
                      <a:ext cx="5731510" cy="1899285"/>
                    </a:xfrm>
                    <a:prstGeom prst="rect">
                      <a:avLst/>
                    </a:prstGeom>
                  </pic:spPr>
                </pic:pic>
              </a:graphicData>
            </a:graphic>
          </wp:inline>
        </w:drawing>
      </w:r>
    </w:p>
    <w:p w14:paraId="08042EA4" w14:textId="2DDEE3D8" w:rsidR="00E00B63" w:rsidRPr="00E00B63" w:rsidRDefault="00E00B63" w:rsidP="00E00B63">
      <w:pPr>
        <w:pStyle w:val="Heading2"/>
        <w:rPr>
          <w:b w:val="0"/>
          <w:bCs w:val="0"/>
          <w:color w:val="auto"/>
          <w:sz w:val="22"/>
          <w:szCs w:val="22"/>
        </w:rPr>
      </w:pPr>
      <w:r w:rsidRPr="00E00B63">
        <w:rPr>
          <w:b w:val="0"/>
          <w:bCs w:val="0"/>
          <w:color w:val="auto"/>
          <w:sz w:val="22"/>
          <w:szCs w:val="22"/>
        </w:rPr>
        <w:t xml:space="preserve">Social prescribing is </w:t>
      </w:r>
      <w:r w:rsidRPr="00E00B63">
        <w:rPr>
          <w:color w:val="auto"/>
          <w:sz w:val="22"/>
          <w:szCs w:val="22"/>
        </w:rPr>
        <w:t>not</w:t>
      </w:r>
      <w:r w:rsidRPr="00E00B63">
        <w:rPr>
          <w:b w:val="0"/>
          <w:bCs w:val="0"/>
          <w:color w:val="auto"/>
          <w:sz w:val="22"/>
          <w:szCs w:val="22"/>
        </w:rPr>
        <w:t xml:space="preserve"> a clinical intervention or a substitute for medical treatment or statutory services. It does not replace diagnosis, therapy, or specialist care where these are required. </w:t>
      </w:r>
      <w:r>
        <w:rPr>
          <w:b w:val="0"/>
          <w:bCs w:val="0"/>
          <w:color w:val="auto"/>
          <w:sz w:val="22"/>
          <w:szCs w:val="22"/>
        </w:rPr>
        <w:t>It also does not duplicate</w:t>
      </w:r>
      <w:r w:rsidR="00BE64D0">
        <w:rPr>
          <w:b w:val="0"/>
          <w:bCs w:val="0"/>
          <w:color w:val="auto"/>
          <w:sz w:val="22"/>
          <w:szCs w:val="22"/>
        </w:rPr>
        <w:t xml:space="preserve"> community assets</w:t>
      </w:r>
      <w:r w:rsidR="008C0BD3">
        <w:rPr>
          <w:b w:val="0"/>
          <w:bCs w:val="0"/>
          <w:color w:val="auto"/>
          <w:sz w:val="22"/>
          <w:szCs w:val="22"/>
        </w:rPr>
        <w:t xml:space="preserve">. </w:t>
      </w:r>
      <w:r w:rsidRPr="00E00B63">
        <w:rPr>
          <w:b w:val="0"/>
          <w:bCs w:val="0"/>
          <w:color w:val="auto"/>
          <w:sz w:val="22"/>
          <w:szCs w:val="22"/>
        </w:rPr>
        <w:t>Instead, it complements them by addressing wider social, emotional and practical needs.</w:t>
      </w:r>
    </w:p>
    <w:p w14:paraId="310EE586" w14:textId="18AA5617" w:rsidR="00E00B63" w:rsidRPr="00E00B63" w:rsidRDefault="00E00B63" w:rsidP="00E00B63">
      <w:pPr>
        <w:pStyle w:val="Heading2"/>
        <w:numPr>
          <w:ilvl w:val="0"/>
          <w:numId w:val="5"/>
        </w:numPr>
        <w:rPr>
          <w:b w:val="0"/>
          <w:bCs w:val="0"/>
          <w:color w:val="auto"/>
          <w:sz w:val="22"/>
          <w:szCs w:val="22"/>
        </w:rPr>
      </w:pPr>
      <w:r w:rsidRPr="00E00B63">
        <w:rPr>
          <w:b w:val="0"/>
          <w:bCs w:val="0"/>
          <w:color w:val="auto"/>
          <w:sz w:val="22"/>
          <w:szCs w:val="22"/>
        </w:rPr>
        <w:t>It is not simply signposting or handing out information; effective social prescribing involves a structured, person</w:t>
      </w:r>
      <w:r w:rsidRPr="00E00B63">
        <w:rPr>
          <w:rFonts w:ascii="Cambria Math" w:hAnsi="Cambria Math" w:cs="Cambria Math"/>
          <w:b w:val="0"/>
          <w:bCs w:val="0"/>
          <w:color w:val="auto"/>
          <w:sz w:val="22"/>
          <w:szCs w:val="22"/>
        </w:rPr>
        <w:t>‑</w:t>
      </w:r>
      <w:r w:rsidRPr="00E00B63">
        <w:rPr>
          <w:b w:val="0"/>
          <w:bCs w:val="0"/>
          <w:color w:val="auto"/>
          <w:sz w:val="22"/>
          <w:szCs w:val="22"/>
        </w:rPr>
        <w:t>centred process (including a “what matters” conversation and co</w:t>
      </w:r>
      <w:r w:rsidRPr="00E00B63">
        <w:rPr>
          <w:rFonts w:ascii="Cambria Math" w:hAnsi="Cambria Math" w:cs="Cambria Math"/>
          <w:b w:val="0"/>
          <w:bCs w:val="0"/>
          <w:color w:val="auto"/>
          <w:sz w:val="22"/>
          <w:szCs w:val="22"/>
        </w:rPr>
        <w:t>‑</w:t>
      </w:r>
      <w:r w:rsidRPr="00E00B63">
        <w:rPr>
          <w:b w:val="0"/>
          <w:bCs w:val="0"/>
          <w:color w:val="auto"/>
          <w:sz w:val="22"/>
          <w:szCs w:val="22"/>
        </w:rPr>
        <w:t>produced plan).</w:t>
      </w:r>
    </w:p>
    <w:p w14:paraId="35D3CE15" w14:textId="642035B1" w:rsidR="00E00B63" w:rsidRPr="00E00B63" w:rsidRDefault="00E00B63" w:rsidP="00E00B63">
      <w:pPr>
        <w:pStyle w:val="Heading2"/>
        <w:numPr>
          <w:ilvl w:val="0"/>
          <w:numId w:val="5"/>
        </w:numPr>
        <w:rPr>
          <w:b w:val="0"/>
          <w:bCs w:val="0"/>
          <w:color w:val="auto"/>
          <w:sz w:val="22"/>
          <w:szCs w:val="22"/>
        </w:rPr>
      </w:pPr>
      <w:r w:rsidRPr="00E00B63">
        <w:rPr>
          <w:b w:val="0"/>
          <w:bCs w:val="0"/>
          <w:color w:val="auto"/>
          <w:sz w:val="22"/>
          <w:szCs w:val="22"/>
        </w:rPr>
        <w:t>It is not a one</w:t>
      </w:r>
      <w:r w:rsidRPr="00E00B63">
        <w:rPr>
          <w:rFonts w:ascii="Cambria Math" w:hAnsi="Cambria Math" w:cs="Cambria Math"/>
          <w:b w:val="0"/>
          <w:bCs w:val="0"/>
          <w:color w:val="auto"/>
          <w:sz w:val="22"/>
          <w:szCs w:val="22"/>
        </w:rPr>
        <w:t>‑</w:t>
      </w:r>
      <w:r w:rsidRPr="00E00B63">
        <w:rPr>
          <w:b w:val="0"/>
          <w:bCs w:val="0"/>
          <w:color w:val="auto"/>
          <w:sz w:val="22"/>
          <w:szCs w:val="22"/>
        </w:rPr>
        <w:t>size</w:t>
      </w:r>
      <w:r w:rsidRPr="00E00B63">
        <w:rPr>
          <w:rFonts w:ascii="Cambria Math" w:hAnsi="Cambria Math" w:cs="Cambria Math"/>
          <w:b w:val="0"/>
          <w:bCs w:val="0"/>
          <w:color w:val="auto"/>
          <w:sz w:val="22"/>
          <w:szCs w:val="22"/>
        </w:rPr>
        <w:t>‑</w:t>
      </w:r>
      <w:r w:rsidRPr="00E00B63">
        <w:rPr>
          <w:b w:val="0"/>
          <w:bCs w:val="0"/>
          <w:color w:val="auto"/>
          <w:sz w:val="22"/>
          <w:szCs w:val="22"/>
        </w:rPr>
        <w:t>fits</w:t>
      </w:r>
      <w:r w:rsidRPr="00E00B63">
        <w:rPr>
          <w:rFonts w:ascii="Cambria Math" w:hAnsi="Cambria Math" w:cs="Cambria Math"/>
          <w:b w:val="0"/>
          <w:bCs w:val="0"/>
          <w:color w:val="auto"/>
          <w:sz w:val="22"/>
          <w:szCs w:val="22"/>
        </w:rPr>
        <w:t>‑</w:t>
      </w:r>
      <w:r w:rsidRPr="00E00B63">
        <w:rPr>
          <w:b w:val="0"/>
          <w:bCs w:val="0"/>
          <w:color w:val="auto"/>
          <w:sz w:val="22"/>
          <w:szCs w:val="22"/>
        </w:rPr>
        <w:t>all service or a single programme, but a flexible approach delivered across sectors, tailored to individual needs and local community assets.</w:t>
      </w:r>
    </w:p>
    <w:p w14:paraId="1995D535" w14:textId="5F1303EB" w:rsidR="00E00B63" w:rsidRPr="00E00B63" w:rsidRDefault="00E00B63" w:rsidP="00E00B63">
      <w:pPr>
        <w:pStyle w:val="Heading2"/>
        <w:numPr>
          <w:ilvl w:val="0"/>
          <w:numId w:val="5"/>
        </w:numPr>
        <w:rPr>
          <w:b w:val="0"/>
          <w:bCs w:val="0"/>
          <w:color w:val="auto"/>
          <w:sz w:val="22"/>
          <w:szCs w:val="22"/>
        </w:rPr>
      </w:pPr>
      <w:r w:rsidRPr="00E00B63">
        <w:rPr>
          <w:b w:val="0"/>
          <w:bCs w:val="0"/>
          <w:color w:val="auto"/>
          <w:sz w:val="22"/>
          <w:szCs w:val="22"/>
        </w:rPr>
        <w:t>It is also not solely healthcare</w:t>
      </w:r>
      <w:r w:rsidRPr="00E00B63">
        <w:rPr>
          <w:rFonts w:ascii="Cambria Math" w:hAnsi="Cambria Math" w:cs="Cambria Math"/>
          <w:b w:val="0"/>
          <w:bCs w:val="0"/>
          <w:color w:val="auto"/>
          <w:sz w:val="22"/>
          <w:szCs w:val="22"/>
        </w:rPr>
        <w:t>‑</w:t>
      </w:r>
      <w:r w:rsidRPr="00E00B63">
        <w:rPr>
          <w:b w:val="0"/>
          <w:bCs w:val="0"/>
          <w:color w:val="auto"/>
          <w:sz w:val="22"/>
          <w:szCs w:val="22"/>
        </w:rPr>
        <w:t>led; social prescribing operates across a “no wrong door” model, with referrals from multiple sources (including self</w:t>
      </w:r>
      <w:r w:rsidRPr="00E00B63">
        <w:rPr>
          <w:rFonts w:ascii="Cambria Math" w:hAnsi="Cambria Math" w:cs="Cambria Math"/>
          <w:b w:val="0"/>
          <w:bCs w:val="0"/>
          <w:color w:val="auto"/>
          <w:sz w:val="22"/>
          <w:szCs w:val="22"/>
        </w:rPr>
        <w:t>‑</w:t>
      </w:r>
      <w:r w:rsidRPr="00E00B63">
        <w:rPr>
          <w:b w:val="0"/>
          <w:bCs w:val="0"/>
          <w:color w:val="auto"/>
          <w:sz w:val="22"/>
          <w:szCs w:val="22"/>
        </w:rPr>
        <w:t>referral), reflecting its broader community</w:t>
      </w:r>
      <w:r w:rsidRPr="00E00B63">
        <w:rPr>
          <w:rFonts w:ascii="Cambria Math" w:hAnsi="Cambria Math" w:cs="Cambria Math"/>
          <w:b w:val="0"/>
          <w:bCs w:val="0"/>
          <w:color w:val="auto"/>
          <w:sz w:val="22"/>
          <w:szCs w:val="22"/>
        </w:rPr>
        <w:t>‑</w:t>
      </w:r>
      <w:r w:rsidRPr="00E00B63">
        <w:rPr>
          <w:b w:val="0"/>
          <w:bCs w:val="0"/>
          <w:color w:val="auto"/>
          <w:sz w:val="22"/>
          <w:szCs w:val="22"/>
        </w:rPr>
        <w:t>based, whole</w:t>
      </w:r>
      <w:r w:rsidRPr="00E00B63">
        <w:rPr>
          <w:rFonts w:ascii="Cambria Math" w:hAnsi="Cambria Math" w:cs="Cambria Math"/>
          <w:b w:val="0"/>
          <w:bCs w:val="0"/>
          <w:color w:val="auto"/>
          <w:sz w:val="22"/>
          <w:szCs w:val="22"/>
        </w:rPr>
        <w:t>‑</w:t>
      </w:r>
      <w:r w:rsidRPr="00E00B63">
        <w:rPr>
          <w:b w:val="0"/>
          <w:bCs w:val="0"/>
          <w:color w:val="auto"/>
          <w:sz w:val="22"/>
          <w:szCs w:val="22"/>
        </w:rPr>
        <w:t>system nature.</w:t>
      </w:r>
    </w:p>
    <w:p w14:paraId="6BF8577D" w14:textId="77777777" w:rsidR="00F834DC" w:rsidRDefault="00F834DC">
      <w:pPr>
        <w:pStyle w:val="Heading2"/>
        <w:rPr>
          <w:b w:val="0"/>
          <w:bCs w:val="0"/>
          <w:color w:val="auto"/>
          <w:sz w:val="22"/>
          <w:szCs w:val="22"/>
        </w:rPr>
      </w:pPr>
    </w:p>
    <w:p w14:paraId="30557A50" w14:textId="77777777" w:rsidR="008C0BD3" w:rsidRDefault="008C0BD3">
      <w:pPr>
        <w:pStyle w:val="Heading2"/>
        <w:rPr>
          <w:b w:val="0"/>
          <w:bCs w:val="0"/>
          <w:color w:val="auto"/>
          <w:sz w:val="22"/>
          <w:szCs w:val="22"/>
        </w:rPr>
      </w:pPr>
    </w:p>
    <w:p w14:paraId="0D481D27" w14:textId="77777777" w:rsidR="008C0BD3" w:rsidRDefault="008C0BD3">
      <w:pPr>
        <w:pStyle w:val="Heading2"/>
      </w:pPr>
    </w:p>
    <w:p w14:paraId="65538DEF" w14:textId="210648D7" w:rsidR="00057CE9" w:rsidRDefault="00A006F8">
      <w:pPr>
        <w:spacing w:after="120"/>
      </w:pPr>
      <w:r>
        <w:lastRenderedPageBreak/>
        <w:t xml:space="preserve">This service specification has been prepared to support the recommissioning of social prescribing in Conwy from </w:t>
      </w:r>
      <w:r w:rsidR="00062AA7">
        <w:t xml:space="preserve">November </w:t>
      </w:r>
      <w:r>
        <w:t xml:space="preserve">2026. It builds on </w:t>
      </w:r>
      <w:r w:rsidR="00A952F2">
        <w:t>the following key policy drivers and</w:t>
      </w:r>
      <w:r w:rsidR="003A7789">
        <w:t xml:space="preserve"> sources of</w:t>
      </w:r>
      <w:r>
        <w:t xml:space="preserve"> evidence</w:t>
      </w:r>
      <w:r w:rsidR="005E064A">
        <w:t>:</w:t>
      </w:r>
      <w:r w:rsidR="00A952F2">
        <w:t xml:space="preserve"> </w:t>
      </w:r>
    </w:p>
    <w:p w14:paraId="65538DF0" w14:textId="71D772CE" w:rsidR="00057CE9" w:rsidRDefault="00A006F8">
      <w:pPr>
        <w:pStyle w:val="ListParagraph"/>
        <w:numPr>
          <w:ilvl w:val="0"/>
          <w:numId w:val="2"/>
        </w:numPr>
        <w:spacing w:after="80"/>
      </w:pPr>
      <w:r>
        <w:t>the Welsh Government</w:t>
      </w:r>
      <w:r w:rsidR="00ED0BAA">
        <w:t>’s National Framework for Social Prescribing</w:t>
      </w:r>
      <w:r w:rsidR="00BF4408">
        <w:rPr>
          <w:rStyle w:val="FootnoteReference"/>
        </w:rPr>
        <w:footnoteReference w:id="1"/>
      </w:r>
      <w:r w:rsidR="00ED0BAA">
        <w:t xml:space="preserve"> and</w:t>
      </w:r>
      <w:r>
        <w:t xml:space="preserve"> Core Standards and Values for Social Prescribing in Wales (March 2026</w:t>
      </w:r>
      <w:r w:rsidR="00F64FC2">
        <w:rPr>
          <w:rStyle w:val="FootnoteReference"/>
        </w:rPr>
        <w:footnoteReference w:id="2"/>
      </w:r>
      <w:r>
        <w:t>), which set out national expectations;</w:t>
      </w:r>
    </w:p>
    <w:p w14:paraId="22034BB4" w14:textId="287EFA95" w:rsidR="000E2B93" w:rsidRDefault="005E064A" w:rsidP="00062AA7">
      <w:pPr>
        <w:pStyle w:val="ListParagraph"/>
        <w:numPr>
          <w:ilvl w:val="0"/>
          <w:numId w:val="2"/>
        </w:numPr>
        <w:spacing w:after="80"/>
      </w:pPr>
      <w:r>
        <w:t>the Wellbeing of Future Generations Act Wellbeing Goals</w:t>
      </w:r>
      <w:r w:rsidR="005645E5">
        <w:t xml:space="preserve">, </w:t>
      </w:r>
      <w:r w:rsidR="00062AA7" w:rsidRPr="00062AA7">
        <w:t>particularly A Healthier Wales, A More Equal Wales and A Wales of Cohesive Communities, which align closely with the aims of social prescribing.</w:t>
      </w:r>
    </w:p>
    <w:p w14:paraId="3210143C" w14:textId="77777777" w:rsidR="008C0BD3" w:rsidRDefault="005645E5" w:rsidP="000E2B93">
      <w:pPr>
        <w:pStyle w:val="ListParagraph"/>
        <w:numPr>
          <w:ilvl w:val="0"/>
          <w:numId w:val="2"/>
        </w:numPr>
        <w:spacing w:after="80"/>
      </w:pPr>
      <w:r>
        <w:t>A Healthier Wales</w:t>
      </w:r>
      <w:r w:rsidR="002310C5">
        <w:t xml:space="preserve">, Welsh Government’s </w:t>
      </w:r>
      <w:r w:rsidR="000E2B93">
        <w:t>long-term</w:t>
      </w:r>
      <w:r w:rsidR="002310C5">
        <w:t xml:space="preserve"> plan for Health and Social Care, which prioritises services that </w:t>
      </w:r>
      <w:r w:rsidR="003D529D">
        <w:t>help people to stay well throug</w:t>
      </w:r>
      <w:r w:rsidR="00C41EC6">
        <w:t>h</w:t>
      </w:r>
      <w:r w:rsidR="003D529D">
        <w:t xml:space="preserve"> person centred approaches, prevention and early intervention, and connecting people with </w:t>
      </w:r>
      <w:r w:rsidR="000E2B93">
        <w:t>community-based</w:t>
      </w:r>
      <w:r w:rsidR="00C41EC6">
        <w:t xml:space="preserve"> service</w:t>
      </w:r>
      <w:r w:rsidR="000E2B93">
        <w:t>s</w:t>
      </w:r>
      <w:r w:rsidR="00E00B63">
        <w:t>.</w:t>
      </w:r>
      <w:r w:rsidR="008C0BD3">
        <w:t xml:space="preserve"> </w:t>
      </w:r>
    </w:p>
    <w:p w14:paraId="65538DF1" w14:textId="7693C095" w:rsidR="00057CE9" w:rsidRDefault="008C0BD3" w:rsidP="000E2B93">
      <w:pPr>
        <w:pStyle w:val="ListParagraph"/>
        <w:numPr>
          <w:ilvl w:val="0"/>
          <w:numId w:val="2"/>
        </w:numPr>
        <w:spacing w:after="80"/>
      </w:pPr>
      <w:r>
        <w:t>T</w:t>
      </w:r>
      <w:r w:rsidR="00A006F8">
        <w:t xml:space="preserve">he Public Health population needs profile for the Central Integrated Health Community area, and </w:t>
      </w:r>
      <w:r w:rsidR="00E449C6">
        <w:t>a review of</w:t>
      </w:r>
      <w:r w:rsidR="00A006F8">
        <w:t xml:space="preserve"> evidence of what works in social prescribing</w:t>
      </w:r>
      <w:r>
        <w:t>.</w:t>
      </w:r>
    </w:p>
    <w:p w14:paraId="472F55D6" w14:textId="77777777" w:rsidR="000E2B93" w:rsidRDefault="000E2B93" w:rsidP="00E00B63">
      <w:pPr>
        <w:spacing w:after="80"/>
      </w:pPr>
    </w:p>
    <w:p w14:paraId="162D4AEF" w14:textId="7B022F27" w:rsidR="00893C5D" w:rsidRPr="00E00B63" w:rsidRDefault="000E2B93" w:rsidP="00E00B63">
      <w:pPr>
        <w:shd w:val="clear" w:color="auto" w:fill="FFFFFF" w:themeFill="background1"/>
        <w:tabs>
          <w:tab w:val="left" w:pos="360"/>
        </w:tabs>
        <w:spacing w:after="120" w:line="259" w:lineRule="auto"/>
        <w:contextualSpacing/>
        <w:rPr>
          <w:shd w:val="clear" w:color="auto" w:fill="FCF9F4"/>
        </w:rPr>
      </w:pPr>
      <w:r w:rsidRPr="00893C5D">
        <w:t>Th</w:t>
      </w:r>
      <w:r w:rsidR="00172722" w:rsidRPr="00893C5D">
        <w:t>e Social Prescribing service also responds directly to the new Welsh Government’s manifesto commitments</w:t>
      </w:r>
      <w:r w:rsidR="00EE47F3">
        <w:rPr>
          <w:rStyle w:val="FootnoteReference"/>
        </w:rPr>
        <w:footnoteReference w:id="3"/>
      </w:r>
      <w:r w:rsidR="00172722" w:rsidRPr="00893C5D">
        <w:t xml:space="preserve"> around </w:t>
      </w:r>
      <w:r w:rsidR="0015041B">
        <w:t xml:space="preserve">tackling inequalities, </w:t>
      </w:r>
      <w:r w:rsidR="00FB2546">
        <w:t xml:space="preserve">shifting resources </w:t>
      </w:r>
      <w:r w:rsidR="007E424F">
        <w:t xml:space="preserve">in the system </w:t>
      </w:r>
      <w:r w:rsidR="00FB2546">
        <w:t xml:space="preserve">to </w:t>
      </w:r>
      <w:r w:rsidR="007E424F">
        <w:t xml:space="preserve">promote better health and wellbeing, and </w:t>
      </w:r>
      <w:r w:rsidR="007E424F" w:rsidRPr="00E00B63">
        <w:rPr>
          <w:rFonts w:eastAsia="Times New Roman"/>
        </w:rPr>
        <w:t>p</w:t>
      </w:r>
      <w:r w:rsidR="00893C5D" w:rsidRPr="00E00B63">
        <w:rPr>
          <w:rFonts w:eastAsia="Times New Roman"/>
        </w:rPr>
        <w:t>romoti</w:t>
      </w:r>
      <w:r w:rsidR="007E424F" w:rsidRPr="00E00B63">
        <w:rPr>
          <w:rFonts w:eastAsia="Times New Roman"/>
        </w:rPr>
        <w:t>ng</w:t>
      </w:r>
      <w:r w:rsidR="00893C5D" w:rsidRPr="00E00B63">
        <w:rPr>
          <w:rFonts w:eastAsia="Times New Roman"/>
        </w:rPr>
        <w:t xml:space="preserve"> of social prescribing and nature-based interventions</w:t>
      </w:r>
      <w:r w:rsidR="007E424F" w:rsidRPr="00E00B63">
        <w:rPr>
          <w:rFonts w:eastAsia="Times New Roman"/>
        </w:rPr>
        <w:t>.</w:t>
      </w:r>
    </w:p>
    <w:p w14:paraId="65538DF5" w14:textId="77777777" w:rsidR="00057CE9" w:rsidRDefault="00057CE9"/>
    <w:p w14:paraId="65538DF6" w14:textId="77777777" w:rsidR="00057CE9" w:rsidRDefault="00A006F8">
      <w:pPr>
        <w:pStyle w:val="Heading1"/>
      </w:pPr>
      <w:r>
        <w:t>1. Service aim</w:t>
      </w:r>
    </w:p>
    <w:p w14:paraId="65538DF7" w14:textId="77777777" w:rsidR="00057CE9" w:rsidRDefault="00A006F8">
      <w:pPr>
        <w:spacing w:after="120"/>
      </w:pPr>
      <w:r>
        <w:t>To deliver a high-quality, person-centred social prescribing service for Conwy that connects residents to community-based support so they can better manage their health and wellbeing — in line with the Core Standards and Values for Social Prescribing in Wales (March 2026) and the National Framework for Social Prescribing (2023).</w:t>
      </w:r>
    </w:p>
    <w:p w14:paraId="391A8EFF" w14:textId="77777777" w:rsidR="005B1CD3" w:rsidRPr="005B1CD3" w:rsidRDefault="005B1CD3" w:rsidP="005B1CD3">
      <w:pPr>
        <w:spacing w:after="120"/>
      </w:pPr>
      <w:r w:rsidRPr="005B1CD3">
        <w:t>This service is informed by the Welsh Government’s National Framework for Social Prescribing (2023), which sets out a consistent, person-centred approach to connecting individuals with community assets to improve health and wellbeing.</w:t>
      </w:r>
    </w:p>
    <w:p w14:paraId="4AEC9AC9" w14:textId="77777777" w:rsidR="005B1CD3" w:rsidRPr="005B1CD3" w:rsidRDefault="005B1CD3" w:rsidP="005B1CD3">
      <w:pPr>
        <w:spacing w:after="120"/>
      </w:pPr>
      <w:r w:rsidRPr="005B1CD3">
        <w:t>The Framework describes social prescribing as an approach that supports people to recognise their own strengths and needs, and to access community-based support that addresses the wider determinants of health. It promotes a whole-system, preventative model, delivered through collaboration across health, social care and the voluntary and community sector, and underpinned by a “no wrong door” approach to access.</w:t>
      </w:r>
    </w:p>
    <w:p w14:paraId="71FAFC2A" w14:textId="77777777" w:rsidR="005B1CD3" w:rsidRPr="005B1CD3" w:rsidRDefault="005B1CD3" w:rsidP="005B1CD3">
      <w:pPr>
        <w:spacing w:after="120"/>
      </w:pPr>
      <w:r w:rsidRPr="005B1CD3">
        <w:t>The Framework also highlights the role of social prescribing in reducing inequalities, strengthening community resilience, and supporting individuals to improve their physical, mental and social wellbeing through non-clinical interventions.</w:t>
      </w:r>
    </w:p>
    <w:p w14:paraId="0258CC8C" w14:textId="477A6105" w:rsidR="005B1CD3" w:rsidRDefault="005B1CD3" w:rsidP="005B1CD3">
      <w:pPr>
        <w:spacing w:after="120"/>
      </w:pPr>
      <w:r w:rsidRPr="005B1CD3">
        <w:t>This service will align with these national principles, delivering a flexible, person-centred model that integrates with local pathways, responds to population need, and promotes equitable access to community-based support.</w:t>
      </w:r>
      <w:r>
        <w:br/>
      </w:r>
      <w:r>
        <w:br/>
        <w:t xml:space="preserve">The service will be available through the medium of Welsh as an active offer, and will prioritise people for whom community-based support has the greatest potential to reduce </w:t>
      </w:r>
      <w:r>
        <w:lastRenderedPageBreak/>
        <w:t>avoidable demand on primary, secondary and statutory services.</w:t>
      </w:r>
      <w:r>
        <w:br/>
      </w:r>
    </w:p>
    <w:p w14:paraId="65538DF9" w14:textId="77777777" w:rsidR="00057CE9" w:rsidRDefault="00A006F8">
      <w:pPr>
        <w:pStyle w:val="Heading1"/>
      </w:pPr>
      <w:r>
        <w:t>2. Service objectives</w:t>
      </w:r>
    </w:p>
    <w:p w14:paraId="65538DFA" w14:textId="77777777" w:rsidR="00057CE9" w:rsidRDefault="00A006F8">
      <w:pPr>
        <w:spacing w:after="120"/>
      </w:pPr>
      <w:r>
        <w:t>The Provider will:</w:t>
      </w:r>
    </w:p>
    <w:p w14:paraId="65538DFB" w14:textId="265DD1BA" w:rsidR="00057CE9" w:rsidRDefault="00A006F8">
      <w:pPr>
        <w:pStyle w:val="ListParagraph"/>
        <w:numPr>
          <w:ilvl w:val="0"/>
          <w:numId w:val="2"/>
        </w:numPr>
        <w:spacing w:after="80"/>
      </w:pPr>
      <w:r>
        <w:t>Deliver high-quality, time-</w:t>
      </w:r>
      <w:r w:rsidR="00A40B41">
        <w:t>limited</w:t>
      </w:r>
      <w:r>
        <w:t xml:space="preserve"> social prescribing support to eligible residents through trained Social Prescribing Practitioners, in line with the HEIW Competence Framework for Social Prescribing Practitioners in Wales.</w:t>
      </w:r>
    </w:p>
    <w:p w14:paraId="65538DFC" w14:textId="77777777" w:rsidR="00057CE9" w:rsidRDefault="00A006F8">
      <w:pPr>
        <w:pStyle w:val="ListParagraph"/>
        <w:numPr>
          <w:ilvl w:val="0"/>
          <w:numId w:val="2"/>
        </w:numPr>
        <w:spacing w:after="80"/>
      </w:pPr>
      <w:r>
        <w:t>Hold a meaningful 'What Matters' conversation with each person and co-produce a personalised action plan that builds on their own strengths, networks and chosen goals.</w:t>
      </w:r>
    </w:p>
    <w:p w14:paraId="65538DFD" w14:textId="77777777" w:rsidR="00057CE9" w:rsidRDefault="00A006F8">
      <w:pPr>
        <w:pStyle w:val="ListParagraph"/>
        <w:numPr>
          <w:ilvl w:val="0"/>
          <w:numId w:val="2"/>
        </w:numPr>
        <w:spacing w:after="80"/>
      </w:pPr>
      <w:r>
        <w:t>Establish and maintain trusted referral pathways with primary care, the Community Resource Teams (CRTs), the Single Point of Access (SPOA), Family Centres, Conwy Mind, Carers Trust North Wales and other community partners — including a clear self-referral route.</w:t>
      </w:r>
    </w:p>
    <w:p w14:paraId="65538DFE" w14:textId="77777777" w:rsidR="00057CE9" w:rsidRDefault="00A006F8">
      <w:pPr>
        <w:pStyle w:val="ListParagraph"/>
        <w:numPr>
          <w:ilvl w:val="0"/>
          <w:numId w:val="2"/>
        </w:numPr>
        <w:spacing w:after="80"/>
      </w:pPr>
      <w:r>
        <w:t>Make warm handovers to community assets rather than passive signposting, with active follow-up to confirm engagement.</w:t>
      </w:r>
    </w:p>
    <w:p w14:paraId="65538DFF" w14:textId="67AED547" w:rsidR="00057CE9" w:rsidRDefault="00A006F8">
      <w:pPr>
        <w:pStyle w:val="ListParagraph"/>
        <w:numPr>
          <w:ilvl w:val="0"/>
          <w:numId w:val="2"/>
        </w:numPr>
        <w:spacing w:after="80"/>
      </w:pPr>
      <w:r>
        <w:t xml:space="preserve">Operate </w:t>
      </w:r>
      <w:r w:rsidR="008C0BD3">
        <w:t>a service</w:t>
      </w:r>
      <w:r>
        <w:t xml:space="preserve"> that allows additional time and intensity to be directed to people experiencing the greatest disadvantage, while keeping a lighter-touch route for people whose needs can be met through information</w:t>
      </w:r>
      <w:r w:rsidR="008C0BD3">
        <w:t xml:space="preserve"> and</w:t>
      </w:r>
      <w:r>
        <w:t xml:space="preserve"> signposting.</w:t>
      </w:r>
    </w:p>
    <w:p w14:paraId="65538E00" w14:textId="1A18AC26" w:rsidR="00057CE9" w:rsidRDefault="00A006F8">
      <w:pPr>
        <w:pStyle w:val="ListParagraph"/>
        <w:numPr>
          <w:ilvl w:val="0"/>
          <w:numId w:val="2"/>
        </w:numPr>
        <w:spacing w:after="80"/>
      </w:pPr>
      <w:r>
        <w:t>Take a deliberate, planned approach to reaching residents in the most deprived communities of east Conwy and the rural south, recognising that these populations are under-served by current provision.</w:t>
      </w:r>
    </w:p>
    <w:p w14:paraId="0B53A9EE" w14:textId="0375F32D" w:rsidR="00062AA7" w:rsidRDefault="00A006F8" w:rsidP="00062AA7">
      <w:pPr>
        <w:pStyle w:val="ListParagraph"/>
        <w:numPr>
          <w:ilvl w:val="0"/>
          <w:numId w:val="2"/>
        </w:numPr>
        <w:spacing w:after="80"/>
      </w:pPr>
      <w:r>
        <w:t>Identify gaps in local community provision through casework and feed these systematically into CVSC, the Regional Partnership Board and the Commissioner</w:t>
      </w:r>
      <w:r w:rsidR="00062AA7">
        <w:t>s</w:t>
      </w:r>
      <w:r>
        <w:t>.</w:t>
      </w:r>
    </w:p>
    <w:p w14:paraId="1847B7F5" w14:textId="64272EA5" w:rsidR="00062AA7" w:rsidRDefault="00A006F8" w:rsidP="00062AA7">
      <w:pPr>
        <w:pStyle w:val="ListParagraph"/>
        <w:numPr>
          <w:ilvl w:val="0"/>
          <w:numId w:val="2"/>
        </w:numPr>
        <w:spacing w:after="80"/>
      </w:pPr>
      <w:r>
        <w:t>Operate a single unified case management system across the whole county and collect the Welsh Government Core Data Set in full</w:t>
      </w:r>
      <w:r w:rsidR="00A8498D">
        <w:t xml:space="preserve"> (see Section 12 for details)</w:t>
      </w:r>
      <w:r>
        <w:t>.</w:t>
      </w:r>
    </w:p>
    <w:p w14:paraId="65538E03" w14:textId="68C92BFD" w:rsidR="00057CE9" w:rsidRDefault="00062AA7">
      <w:pPr>
        <w:pStyle w:val="ListParagraph"/>
        <w:numPr>
          <w:ilvl w:val="0"/>
          <w:numId w:val="2"/>
        </w:numPr>
        <w:spacing w:after="80"/>
      </w:pPr>
      <w:r w:rsidRPr="00062AA7">
        <w:t>Actively contribute to regional Social Prescribing learning and quality improvement opportunities</w:t>
      </w:r>
      <w:r w:rsidR="00A006F8">
        <w:t>.</w:t>
      </w:r>
    </w:p>
    <w:p w14:paraId="27616CD9" w14:textId="77777777" w:rsidR="00F834DC" w:rsidRDefault="00F834DC" w:rsidP="007D2F06">
      <w:pPr>
        <w:spacing w:after="80"/>
      </w:pPr>
    </w:p>
    <w:p w14:paraId="60C3BC8D" w14:textId="77777777" w:rsidR="007D2F06" w:rsidRDefault="007D2F06" w:rsidP="007D2F06">
      <w:pPr>
        <w:spacing w:after="80"/>
      </w:pPr>
    </w:p>
    <w:p w14:paraId="40F6048E" w14:textId="133ED3A8" w:rsidR="007D2F06" w:rsidRPr="00545385" w:rsidRDefault="00545385" w:rsidP="007D2F06">
      <w:pPr>
        <w:spacing w:after="80"/>
        <w:rPr>
          <w:b/>
          <w:bCs/>
          <w:color w:val="1F4E79"/>
          <w:sz w:val="32"/>
          <w:szCs w:val="32"/>
        </w:rPr>
      </w:pPr>
      <w:r>
        <w:rPr>
          <w:b/>
          <w:bCs/>
          <w:color w:val="1F4E79"/>
          <w:sz w:val="32"/>
          <w:szCs w:val="32"/>
        </w:rPr>
        <w:t xml:space="preserve">3. </w:t>
      </w:r>
      <w:r w:rsidR="007D2F06" w:rsidRPr="00545385">
        <w:rPr>
          <w:b/>
          <w:bCs/>
          <w:color w:val="1F4E79"/>
          <w:sz w:val="32"/>
          <w:szCs w:val="32"/>
        </w:rPr>
        <w:t>Service outcomes</w:t>
      </w:r>
    </w:p>
    <w:p w14:paraId="788A4293" w14:textId="77777777" w:rsidR="007D2F06" w:rsidRDefault="007D2F06" w:rsidP="007D2F06">
      <w:pPr>
        <w:spacing w:after="80"/>
      </w:pPr>
    </w:p>
    <w:p w14:paraId="7C387573" w14:textId="77777777" w:rsidR="008E174E" w:rsidRDefault="008E174E" w:rsidP="008E174E">
      <w:pPr>
        <w:spacing w:after="80"/>
      </w:pPr>
      <w:r>
        <w:t>The service will deliver outcomes aligned with the National Framework for Social Prescribing and Core Standards for Social Prescribing in Wales, supporting a person-centred, preventative and inequality-focused approach to improving health and wellbeing. Outcomes should reflect the broader aims of social prescribing to improve mental, physical and social wellbeing, strengthen community connections, and address the wider determinants of health.</w:t>
      </w:r>
    </w:p>
    <w:p w14:paraId="1CFEC7EC" w14:textId="77777777" w:rsidR="008E174E" w:rsidRDefault="008E174E" w:rsidP="008E174E">
      <w:pPr>
        <w:spacing w:after="80"/>
      </w:pPr>
      <w:r>
        <w:t>The Provider will be expected to demonstrate delivery against the following key outcome areas:</w:t>
      </w:r>
    </w:p>
    <w:p w14:paraId="7548680C" w14:textId="77777777" w:rsidR="008E174E" w:rsidRDefault="008E174E" w:rsidP="008E174E">
      <w:pPr>
        <w:spacing w:after="80"/>
      </w:pPr>
    </w:p>
    <w:p w14:paraId="75CC80DA" w14:textId="77777777" w:rsidR="008E174E" w:rsidRDefault="008E174E" w:rsidP="008E174E">
      <w:pPr>
        <w:pStyle w:val="ListParagraph"/>
        <w:numPr>
          <w:ilvl w:val="0"/>
          <w:numId w:val="8"/>
        </w:numPr>
        <w:spacing w:after="80"/>
      </w:pPr>
      <w:r>
        <w:t>Reducing social isolation and loneliness by increasing meaningful social connections and engagement with community assets.</w:t>
      </w:r>
    </w:p>
    <w:p w14:paraId="41782BFF" w14:textId="77777777" w:rsidR="008E174E" w:rsidRDefault="008E174E" w:rsidP="008E174E">
      <w:pPr>
        <w:pStyle w:val="ListParagraph"/>
        <w:numPr>
          <w:ilvl w:val="0"/>
          <w:numId w:val="8"/>
        </w:numPr>
        <w:spacing w:after="80"/>
      </w:pPr>
      <w:r>
        <w:t>Addressing inequalities by targeting and supporting individuals and communities experiencing disadvantage, particularly in deprived neighbourhoods, and reducing barriers to access.</w:t>
      </w:r>
    </w:p>
    <w:p w14:paraId="3A3CB8C4" w14:textId="77777777" w:rsidR="008E174E" w:rsidRDefault="008E174E" w:rsidP="008E174E">
      <w:pPr>
        <w:pStyle w:val="ListParagraph"/>
        <w:numPr>
          <w:ilvl w:val="0"/>
          <w:numId w:val="8"/>
        </w:numPr>
        <w:spacing w:after="80"/>
      </w:pPr>
      <w:r>
        <w:lastRenderedPageBreak/>
        <w:t>Supporting prevention and early intervention through effective integration with existing pathways, promoting improved physical and mental health and wellbeing.</w:t>
      </w:r>
    </w:p>
    <w:p w14:paraId="46891CF5" w14:textId="77777777" w:rsidR="008E174E" w:rsidRDefault="008E174E" w:rsidP="008E174E">
      <w:pPr>
        <w:pStyle w:val="ListParagraph"/>
        <w:numPr>
          <w:ilvl w:val="0"/>
          <w:numId w:val="8"/>
        </w:numPr>
        <w:spacing w:after="80"/>
      </w:pPr>
      <w:r>
        <w:t>Delivering responsive, person-centred support that adapts to individual needs and local demand, ensuring services remain flexible, accessible and relevant to the population served.</w:t>
      </w:r>
    </w:p>
    <w:p w14:paraId="1528B01C" w14:textId="77777777" w:rsidR="008E174E" w:rsidRDefault="008E174E" w:rsidP="008E174E">
      <w:pPr>
        <w:spacing w:after="80"/>
      </w:pPr>
    </w:p>
    <w:p w14:paraId="2935F2A6" w14:textId="54F8D220" w:rsidR="007D2F06" w:rsidRDefault="008E174E" w:rsidP="008E174E">
      <w:pPr>
        <w:spacing w:after="80"/>
      </w:pPr>
      <w:r>
        <w:t>The Provider must evidence how these outcomes are achieved through a holistic, strengths-based approach that empowers individuals, builds resilience, and contributes to improved wellbeing at both an individual and community level.</w:t>
      </w:r>
    </w:p>
    <w:p w14:paraId="3B86F943" w14:textId="77777777" w:rsidR="007D2F06" w:rsidRDefault="007D2F06" w:rsidP="007D2F06">
      <w:pPr>
        <w:spacing w:after="80"/>
      </w:pPr>
    </w:p>
    <w:p w14:paraId="65538E04" w14:textId="149EBB1D" w:rsidR="00057CE9" w:rsidRDefault="00545385">
      <w:pPr>
        <w:pStyle w:val="Heading1"/>
      </w:pPr>
      <w:r>
        <w:t>4</w:t>
      </w:r>
      <w:r w:rsidR="00A006F8">
        <w:t>. Strategic and statutory context</w:t>
      </w:r>
    </w:p>
    <w:p w14:paraId="65538E05" w14:textId="77777777" w:rsidR="00057CE9" w:rsidRDefault="00A006F8">
      <w:pPr>
        <w:spacing w:after="120"/>
      </w:pPr>
      <w:r>
        <w:t>The service will be delivered in compliance with, and in support of:</w:t>
      </w:r>
    </w:p>
    <w:p w14:paraId="65538E06" w14:textId="77777777" w:rsidR="00057CE9" w:rsidRDefault="00A006F8">
      <w:pPr>
        <w:pStyle w:val="ListParagraph"/>
        <w:numPr>
          <w:ilvl w:val="0"/>
          <w:numId w:val="2"/>
        </w:numPr>
        <w:spacing w:after="80"/>
      </w:pPr>
      <w:r>
        <w:t>Core Standards and Values for Social Prescribing in Wales (Welsh Government, March 2026)</w:t>
      </w:r>
    </w:p>
    <w:p w14:paraId="65538E07" w14:textId="77777777" w:rsidR="00057CE9" w:rsidRDefault="00A006F8">
      <w:pPr>
        <w:pStyle w:val="ListParagraph"/>
        <w:numPr>
          <w:ilvl w:val="0"/>
          <w:numId w:val="2"/>
        </w:numPr>
        <w:spacing w:after="80"/>
      </w:pPr>
      <w:r>
        <w:t>National Framework for Social Prescribing (Welsh Government, December 2023)</w:t>
      </w:r>
    </w:p>
    <w:p w14:paraId="65538E08" w14:textId="77777777" w:rsidR="00057CE9" w:rsidRDefault="00A006F8">
      <w:pPr>
        <w:pStyle w:val="ListParagraph"/>
        <w:numPr>
          <w:ilvl w:val="0"/>
          <w:numId w:val="2"/>
        </w:numPr>
        <w:spacing w:after="80"/>
      </w:pPr>
      <w:r>
        <w:t>Social Services and Well-being (Wales) Act 2014, including Part 7 safeguarding duties</w:t>
      </w:r>
    </w:p>
    <w:p w14:paraId="65538E09" w14:textId="77777777" w:rsidR="00057CE9" w:rsidRDefault="00A006F8">
      <w:pPr>
        <w:pStyle w:val="ListParagraph"/>
        <w:numPr>
          <w:ilvl w:val="0"/>
          <w:numId w:val="2"/>
        </w:numPr>
        <w:spacing w:after="80"/>
      </w:pPr>
      <w:r>
        <w:t>Well-being of Future Generations (Wales) Act 2015</w:t>
      </w:r>
    </w:p>
    <w:p w14:paraId="65538E0A" w14:textId="77777777" w:rsidR="00057CE9" w:rsidRDefault="00A006F8">
      <w:pPr>
        <w:pStyle w:val="ListParagraph"/>
        <w:numPr>
          <w:ilvl w:val="0"/>
          <w:numId w:val="2"/>
        </w:numPr>
        <w:spacing w:after="80"/>
      </w:pPr>
      <w:r>
        <w:t>Welsh Language (Wales) Measure 2011 and 'More than just words' — the Active Offer</w:t>
      </w:r>
    </w:p>
    <w:p w14:paraId="65538E0B" w14:textId="77777777" w:rsidR="00057CE9" w:rsidRDefault="00A006F8">
      <w:pPr>
        <w:pStyle w:val="ListParagraph"/>
        <w:numPr>
          <w:ilvl w:val="0"/>
          <w:numId w:val="2"/>
        </w:numPr>
        <w:spacing w:after="80"/>
      </w:pPr>
      <w:r>
        <w:t>Equality Act 2010 and the Public Sector Equality Duty (Wales) Regulations 2011</w:t>
      </w:r>
    </w:p>
    <w:p w14:paraId="65538E0C" w14:textId="77777777" w:rsidR="00057CE9" w:rsidRDefault="00A006F8">
      <w:pPr>
        <w:pStyle w:val="ListParagraph"/>
        <w:numPr>
          <w:ilvl w:val="0"/>
          <w:numId w:val="2"/>
        </w:numPr>
        <w:spacing w:after="80"/>
      </w:pPr>
      <w:r>
        <w:t>Mental Health and Wellbeing Strategy for Wales 2025–2035</w:t>
      </w:r>
    </w:p>
    <w:p w14:paraId="65538E0D" w14:textId="77777777" w:rsidR="00057CE9" w:rsidRDefault="00A006F8">
      <w:pPr>
        <w:pStyle w:val="ListParagraph"/>
        <w:numPr>
          <w:ilvl w:val="0"/>
          <w:numId w:val="2"/>
        </w:numPr>
        <w:spacing w:after="80"/>
      </w:pPr>
      <w:r>
        <w:t>Connected Communities Strategy (Welsh Government)</w:t>
      </w:r>
    </w:p>
    <w:p w14:paraId="65538E0E" w14:textId="77777777" w:rsidR="00057CE9" w:rsidRDefault="00A006F8">
      <w:pPr>
        <w:pStyle w:val="ListParagraph"/>
        <w:numPr>
          <w:ilvl w:val="0"/>
          <w:numId w:val="2"/>
        </w:numPr>
        <w:spacing w:after="80"/>
      </w:pPr>
      <w:r>
        <w:t>Strategy for an Ageing Society and the WHO Age-Friendly Communities approach</w:t>
      </w:r>
    </w:p>
    <w:p w14:paraId="65538E0F" w14:textId="77777777" w:rsidR="00057CE9" w:rsidRDefault="00A006F8">
      <w:pPr>
        <w:pStyle w:val="ListParagraph"/>
        <w:numPr>
          <w:ilvl w:val="0"/>
          <w:numId w:val="2"/>
        </w:numPr>
        <w:spacing w:after="80"/>
      </w:pPr>
      <w:r>
        <w:t>Trauma-Informed Wales framework and the TrACE Toolkit</w:t>
      </w:r>
    </w:p>
    <w:p w14:paraId="65538E10" w14:textId="7208C396" w:rsidR="00057CE9" w:rsidRDefault="00A006F8">
      <w:pPr>
        <w:pStyle w:val="ListParagraph"/>
        <w:numPr>
          <w:ilvl w:val="0"/>
          <w:numId w:val="2"/>
        </w:numPr>
        <w:spacing w:after="80"/>
      </w:pPr>
      <w:r>
        <w:t>Conwy and Denbighshire Population Needs Assessment</w:t>
      </w:r>
      <w:r w:rsidR="00DA69FB">
        <w:t>.</w:t>
      </w:r>
    </w:p>
    <w:p w14:paraId="65538E11" w14:textId="645658F8" w:rsidR="00057CE9" w:rsidRDefault="00545385">
      <w:pPr>
        <w:pStyle w:val="Heading1"/>
      </w:pPr>
      <w:r>
        <w:t>5</w:t>
      </w:r>
      <w:r w:rsidR="00A006F8">
        <w:t>. Local needs and design implications</w:t>
      </w:r>
    </w:p>
    <w:p w14:paraId="65538E12" w14:textId="2F787250" w:rsidR="00057CE9" w:rsidRDefault="00A006F8">
      <w:pPr>
        <w:spacing w:after="120"/>
      </w:pPr>
      <w:r>
        <w:t xml:space="preserve">The </w:t>
      </w:r>
      <w:r w:rsidR="007462B3">
        <w:t>BCUHB Population Health</w:t>
      </w:r>
      <w:r>
        <w:t xml:space="preserve"> profile and </w:t>
      </w:r>
      <w:r w:rsidR="00FD6D19">
        <w:t>local</w:t>
      </w:r>
      <w:r>
        <w:t xml:space="preserve"> service mapping</w:t>
      </w:r>
      <w:r w:rsidR="00FD6D19">
        <w:t xml:space="preserve"> exercises</w:t>
      </w:r>
      <w:r>
        <w:t xml:space="preserve"> point to the population groups most likely to benefit from social prescribing </w:t>
      </w:r>
      <w:r w:rsidR="00FD6D19">
        <w:t>within Conwy</w:t>
      </w:r>
      <w:r>
        <w:t>, and to the areas where existing provision is thinnest. The service is expected to take active account of the following: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480"/>
        <w:gridCol w:w="3680"/>
      </w:tblGrid>
      <w:tr w:rsidR="00057CE9" w14:paraId="65538E16" w14:textId="77777777">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5538E13" w14:textId="77777777" w:rsidR="00057CE9" w:rsidRDefault="00A006F8">
            <w:pPr>
              <w:spacing w:after="60"/>
            </w:pPr>
            <w:r>
              <w:rPr>
                <w:b/>
                <w:bCs/>
                <w:color w:val="FFFFFF"/>
              </w:rPr>
              <w:t>Need</w:t>
            </w:r>
          </w:p>
        </w:tc>
        <w:tc>
          <w:tcPr>
            <w:tcW w:w="348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5538E14" w14:textId="77777777" w:rsidR="00057CE9" w:rsidRDefault="00A006F8">
            <w:pPr>
              <w:spacing w:after="60"/>
            </w:pPr>
            <w:r>
              <w:rPr>
                <w:b/>
                <w:bCs/>
                <w:color w:val="FFFFFF"/>
              </w:rPr>
              <w:t>What the evidence shows</w:t>
            </w:r>
          </w:p>
        </w:tc>
        <w:tc>
          <w:tcPr>
            <w:tcW w:w="368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5538E15" w14:textId="77777777" w:rsidR="00057CE9" w:rsidRDefault="00A006F8">
            <w:pPr>
              <w:spacing w:after="60"/>
            </w:pPr>
            <w:r>
              <w:rPr>
                <w:b/>
                <w:bCs/>
                <w:color w:val="FFFFFF"/>
              </w:rPr>
              <w:t>Implication for the service</w:t>
            </w:r>
          </w:p>
        </w:tc>
      </w:tr>
      <w:tr w:rsidR="00057CE9" w14:paraId="65538E1A"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17" w14:textId="77777777" w:rsidR="00057CE9" w:rsidRDefault="00A006F8">
            <w:pPr>
              <w:spacing w:after="60"/>
            </w:pPr>
            <w:r>
              <w:t>Older population and risk of isolation</w:t>
            </w:r>
          </w:p>
        </w:tc>
        <w:tc>
          <w:tcPr>
            <w:tcW w:w="34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18" w14:textId="77777777" w:rsidR="00057CE9" w:rsidRDefault="00A006F8">
            <w:pPr>
              <w:spacing w:after="60"/>
            </w:pPr>
            <w:r>
              <w:t>Over a quarter of Conwy residents are aged 65+, with around 4% over 85. 34% of households are one-person; 18% of older adults live alone. Life satisfaction among older adults is below the Wales average.</w:t>
            </w:r>
          </w:p>
        </w:tc>
        <w:tc>
          <w:tcPr>
            <w:tcW w:w="3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19" w14:textId="77777777" w:rsidR="00057CE9" w:rsidRDefault="00A006F8">
            <w:pPr>
              <w:spacing w:after="60"/>
            </w:pPr>
            <w:r>
              <w:t>A significant proportion of caseload will continue to be older adults, particularly those living alone, recently bereaved, or recently retired. Group-based, repeat-contact interventions with shared purpose have the strongest evidence here.</w:t>
            </w:r>
          </w:p>
        </w:tc>
      </w:tr>
      <w:tr w:rsidR="00057CE9" w14:paraId="65538E1E"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1B" w14:textId="77777777" w:rsidR="00057CE9" w:rsidRDefault="00A006F8">
            <w:pPr>
              <w:spacing w:after="60"/>
            </w:pPr>
            <w:r>
              <w:t>Deprivation, unevenly distributed</w:t>
            </w:r>
          </w:p>
        </w:tc>
        <w:tc>
          <w:tcPr>
            <w:tcW w:w="348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1C" w14:textId="77777777" w:rsidR="00057CE9" w:rsidRDefault="00A006F8">
            <w:pPr>
              <w:spacing w:after="60"/>
            </w:pPr>
            <w:r>
              <w:t xml:space="preserve">Conwy East is significantly more deprived than Conwy West. Kinmel Bay, Towyn and parts of </w:t>
            </w:r>
            <w:r>
              <w:lastRenderedPageBreak/>
              <w:t>Colwyn Bay rank among the most deprived areas in Wales. Healthy life expectancy gaps between deprived and affluent areas are large.</w:t>
            </w:r>
          </w:p>
        </w:tc>
        <w:tc>
          <w:tcPr>
            <w:tcW w:w="368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1D" w14:textId="77777777" w:rsidR="00057CE9" w:rsidRDefault="00A006F8">
            <w:pPr>
              <w:spacing w:after="60"/>
            </w:pPr>
            <w:r>
              <w:lastRenderedPageBreak/>
              <w:t xml:space="preserve">Open referral routes risk benefiting the easiest to engage. A targeted, planned approach to deprived </w:t>
            </w:r>
            <w:r>
              <w:lastRenderedPageBreak/>
              <w:t>communities is required, with practical support pathways for housing, debt, energy and benefits, and active outreach rather than waiting for self-referral.</w:t>
            </w:r>
          </w:p>
        </w:tc>
      </w:tr>
      <w:tr w:rsidR="00057CE9" w14:paraId="65538E22"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1F" w14:textId="77777777" w:rsidR="00057CE9" w:rsidRDefault="00A006F8">
            <w:pPr>
              <w:spacing w:after="60"/>
            </w:pPr>
            <w:r>
              <w:lastRenderedPageBreak/>
              <w:t>Rural access in the south and west</w:t>
            </w:r>
          </w:p>
        </w:tc>
        <w:tc>
          <w:tcPr>
            <w:tcW w:w="34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20" w14:textId="77777777" w:rsidR="00057CE9" w:rsidRDefault="00A006F8">
            <w:pPr>
              <w:spacing w:after="60"/>
            </w:pPr>
            <w:r>
              <w:t>Llanrwst, Betws-y-Coed and Cerrigydrudion communities travel 15–30+ miles for services. Public transport is limited. Welsh language use is higher.</w:t>
            </w:r>
          </w:p>
        </w:tc>
        <w:tc>
          <w:tcPr>
            <w:tcW w:w="3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21" w14:textId="068A9F47" w:rsidR="00057CE9" w:rsidRDefault="00A006F8">
            <w:pPr>
              <w:spacing w:after="60"/>
            </w:pPr>
            <w:r>
              <w:t xml:space="preserve">A rural delivery </w:t>
            </w:r>
            <w:r w:rsidR="00745614">
              <w:t xml:space="preserve">plan </w:t>
            </w:r>
            <w:r>
              <w:t>is required: in-person presence in Llanrwst and Betws-y-Coed, mobile or peripatetic working, and Welsh-medium delivery as a default, not an exception.</w:t>
            </w:r>
          </w:p>
        </w:tc>
      </w:tr>
      <w:tr w:rsidR="00057CE9" w14:paraId="65538E26"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23" w14:textId="77777777" w:rsidR="00057CE9" w:rsidRDefault="00A006F8">
            <w:pPr>
              <w:spacing w:after="60"/>
            </w:pPr>
            <w:r>
              <w:t>Long-term conditions and low physical activity</w:t>
            </w:r>
          </w:p>
        </w:tc>
        <w:tc>
          <w:tcPr>
            <w:tcW w:w="348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24" w14:textId="77777777" w:rsidR="00057CE9" w:rsidRDefault="00A006F8">
            <w:pPr>
              <w:spacing w:after="60"/>
            </w:pPr>
            <w:r>
              <w:t>Significant burden of chronic disease, especially in Conwy East. Adult physical activity rates are low. Ffit Conwy provides good infrastructure but participation among older, frail or isolated adults is weak.</w:t>
            </w:r>
          </w:p>
        </w:tc>
        <w:tc>
          <w:tcPr>
            <w:tcW w:w="368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25" w14:textId="1E197E56" w:rsidR="00057CE9" w:rsidRDefault="00A006F8">
            <w:pPr>
              <w:spacing w:after="60"/>
            </w:pPr>
            <w:r>
              <w:t>Strong link with primary care for people with multimorbidity. Walking groups, social strollers and gentle group-based activity emphasising belonging and routine, rather than performance, work best.</w:t>
            </w:r>
            <w:r w:rsidR="00A90ABA">
              <w:t xml:space="preserve"> </w:t>
            </w:r>
            <w:r w:rsidR="008D3D5B">
              <w:t xml:space="preserve">Good evidence </w:t>
            </w:r>
            <w:r w:rsidR="00C21C8A">
              <w:t>for</w:t>
            </w:r>
            <w:r w:rsidR="008D3D5B">
              <w:t xml:space="preserve"> resistance exercise in helping to improve muscle functioning</w:t>
            </w:r>
            <w:r w:rsidR="00323A88">
              <w:t>, metabolic health, cardiovascular functioning, balance and mobility, and mental wellbeing</w:t>
            </w:r>
            <w:r w:rsidR="008D3D5B">
              <w:t xml:space="preserve"> in adults of all ages</w:t>
            </w:r>
            <w:r w:rsidR="00323A88">
              <w:t xml:space="preserve">. </w:t>
            </w:r>
            <w:r w:rsidR="00A90ABA">
              <w:t xml:space="preserve">Opportunity to also </w:t>
            </w:r>
            <w:r w:rsidR="00226DD8">
              <w:t>integrate</w:t>
            </w:r>
            <w:r w:rsidR="00A90ABA">
              <w:t xml:space="preserve"> physical activity opportunities as part of other wellbeing </w:t>
            </w:r>
            <w:r w:rsidR="00226DD8">
              <w:t>offers</w:t>
            </w:r>
            <w:r w:rsidR="00323A88">
              <w:t>.</w:t>
            </w:r>
            <w:r w:rsidR="00AE44B7">
              <w:t xml:space="preserve"> Having effective discussions with people about lifestyle chang</w:t>
            </w:r>
            <w:r w:rsidR="0060761E">
              <w:t>e</w:t>
            </w:r>
            <w:r w:rsidR="00AE44B7">
              <w:t xml:space="preserve"> requires </w:t>
            </w:r>
            <w:r w:rsidR="00A36F1B">
              <w:t>a good level of knowledge, skill</w:t>
            </w:r>
            <w:r w:rsidR="0060761E">
              <w:t>s</w:t>
            </w:r>
            <w:r w:rsidR="00A36F1B">
              <w:t xml:space="preserve"> and confidence – which can be improved by accessing Making Every Contact Count (MECC) training. </w:t>
            </w:r>
          </w:p>
        </w:tc>
      </w:tr>
      <w:tr w:rsidR="00057CE9" w14:paraId="65538E2A"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27" w14:textId="77777777" w:rsidR="00057CE9" w:rsidRDefault="00A006F8">
            <w:pPr>
              <w:spacing w:after="60"/>
            </w:pPr>
            <w:r>
              <w:t>Mild to moderate mental health needs</w:t>
            </w:r>
          </w:p>
        </w:tc>
        <w:tc>
          <w:tcPr>
            <w:tcW w:w="34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28" w14:textId="77777777" w:rsidR="00057CE9" w:rsidRDefault="00A006F8">
            <w:pPr>
              <w:spacing w:after="60"/>
            </w:pPr>
            <w:r>
              <w:t>An estimated 30,000 Conwy residents experience a mental health difficulty each year. Demand on Conwy Mind and Parabl outstrips supply, with waits of up to six months reported for downstream support.</w:t>
            </w:r>
          </w:p>
        </w:tc>
        <w:tc>
          <w:tcPr>
            <w:tcW w:w="3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29" w14:textId="4DDE7CD5" w:rsidR="00057CE9" w:rsidRDefault="00A006F8">
            <w:pPr>
              <w:spacing w:after="60"/>
            </w:pPr>
            <w:r>
              <w:t xml:space="preserve">A complementary, preventative role is appropriate, with warm handovers. The service must not promise clinical work it cannot </w:t>
            </w:r>
            <w:r w:rsidR="00C04AC6">
              <w:t>deliver and</w:t>
            </w:r>
            <w:r>
              <w:t xml:space="preserve"> </w:t>
            </w:r>
            <w:r w:rsidR="00F5590E">
              <w:t>should</w:t>
            </w:r>
            <w:r>
              <w:t xml:space="preserve"> hold people safely while they wait for downstream services.</w:t>
            </w:r>
            <w:r w:rsidR="00213264">
              <w:t xml:space="preserve"> It is also important to work with partner agencies to ensure appropriate referrals into the Social Prescribing Services. </w:t>
            </w:r>
          </w:p>
        </w:tc>
      </w:tr>
      <w:tr w:rsidR="00057CE9" w14:paraId="65538E2E"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2B" w14:textId="77777777" w:rsidR="00057CE9" w:rsidRDefault="00A006F8">
            <w:pPr>
              <w:spacing w:after="60"/>
            </w:pPr>
            <w:r>
              <w:t>Unpaid carers</w:t>
            </w:r>
          </w:p>
        </w:tc>
        <w:tc>
          <w:tcPr>
            <w:tcW w:w="348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2C" w14:textId="2C7D0B0C" w:rsidR="00057CE9" w:rsidRDefault="00A006F8">
            <w:pPr>
              <w:spacing w:after="60"/>
            </w:pPr>
            <w:r>
              <w:t xml:space="preserve">Wales has over 310,000 unpaid carers. Carers Trust North </w:t>
            </w:r>
            <w:r>
              <w:lastRenderedPageBreak/>
              <w:t>Wales</w:t>
            </w:r>
            <w:r w:rsidR="00E66333">
              <w:t>, Carer’s Outreach, Adferiad</w:t>
            </w:r>
            <w:r>
              <w:t xml:space="preserve"> and CCBC Carer Support Officers cover known carers, but identification of hidden carers is patchy.</w:t>
            </w:r>
          </w:p>
        </w:tc>
        <w:tc>
          <w:tcPr>
            <w:tcW w:w="368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2D" w14:textId="77777777" w:rsidR="00057CE9" w:rsidRDefault="00A006F8">
            <w:pPr>
              <w:spacing w:after="60"/>
            </w:pPr>
            <w:r>
              <w:lastRenderedPageBreak/>
              <w:t xml:space="preserve">Routine identification and signposting of carers (including via </w:t>
            </w:r>
            <w:r>
              <w:lastRenderedPageBreak/>
              <w:t>'What Matters' conversations), with a defined route into a Carer's Needs Assessment.</w:t>
            </w:r>
          </w:p>
        </w:tc>
      </w:tr>
      <w:tr w:rsidR="00057CE9" w14:paraId="65538E32"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2F" w14:textId="77777777" w:rsidR="00057CE9" w:rsidRDefault="00A006F8">
            <w:pPr>
              <w:spacing w:after="60"/>
            </w:pPr>
            <w:r>
              <w:lastRenderedPageBreak/>
              <w:t>Children, young people and families</w:t>
            </w:r>
          </w:p>
        </w:tc>
        <w:tc>
          <w:tcPr>
            <w:tcW w:w="34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30" w14:textId="758395C4" w:rsidR="00057CE9" w:rsidRDefault="00A006F8">
            <w:pPr>
              <w:spacing w:after="60"/>
            </w:pPr>
            <w:r>
              <w:t>Around a quarter of children in Conwy live in poverty. Teenage conception rates are above average. National guidance highlights under-18s as under-served.</w:t>
            </w:r>
          </w:p>
        </w:tc>
        <w:tc>
          <w:tcPr>
            <w:tcW w:w="3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31" w14:textId="1C96A8DD" w:rsidR="00057CE9" w:rsidRDefault="00C04AC6">
            <w:pPr>
              <w:spacing w:after="60"/>
            </w:pPr>
            <w:r>
              <w:t xml:space="preserve">See section 6: Eligibility. </w:t>
            </w:r>
          </w:p>
        </w:tc>
      </w:tr>
    </w:tbl>
    <w:p w14:paraId="7C7B24F0" w14:textId="77777777" w:rsidR="00DB17B8" w:rsidRDefault="00DB17B8">
      <w:pPr>
        <w:pStyle w:val="Heading1"/>
      </w:pPr>
    </w:p>
    <w:p w14:paraId="65538E33" w14:textId="0C8F9CB3" w:rsidR="00057CE9" w:rsidRDefault="00545385">
      <w:pPr>
        <w:pStyle w:val="Heading1"/>
      </w:pPr>
      <w:r>
        <w:t>6</w:t>
      </w:r>
      <w:r w:rsidR="00A006F8">
        <w:t>. Eligibility</w:t>
      </w:r>
    </w:p>
    <w:p w14:paraId="65538E35" w14:textId="77777777" w:rsidR="00057CE9" w:rsidRDefault="00057CE9"/>
    <w:p w14:paraId="2443BD12" w14:textId="7252FF0D" w:rsidR="00337506" w:rsidRDefault="00337506">
      <w:r>
        <w:t xml:space="preserve">The primary target cohort for the service are adults, </w:t>
      </w:r>
      <w:r w:rsidR="009D6747">
        <w:t>(</w:t>
      </w:r>
      <w:r>
        <w:t>18+</w:t>
      </w:r>
      <w:r w:rsidR="009D6747">
        <w:t>)</w:t>
      </w:r>
      <w:r>
        <w:t xml:space="preserve">. </w:t>
      </w:r>
    </w:p>
    <w:p w14:paraId="561B17E2" w14:textId="77777777" w:rsidR="00337506" w:rsidRDefault="00337506"/>
    <w:p w14:paraId="0E47549D" w14:textId="4F90B832" w:rsidR="00337506" w:rsidRDefault="00337506">
      <w:r>
        <w:t xml:space="preserve">However, the service needs to operate in a holistic and </w:t>
      </w:r>
      <w:r w:rsidR="00C04AC6">
        <w:t>family-oriented</w:t>
      </w:r>
      <w:r>
        <w:t xml:space="preserve"> manner, which will require close working relationships with Conwy’s Family Centres, schools</w:t>
      </w:r>
      <w:r w:rsidR="009D6747">
        <w:t xml:space="preserve"> and appropriate partners. </w:t>
      </w:r>
    </w:p>
    <w:p w14:paraId="6C8C189C" w14:textId="77777777" w:rsidR="009D6747" w:rsidRDefault="009D6747"/>
    <w:p w14:paraId="034575A4" w14:textId="77777777" w:rsidR="009D6747" w:rsidRPr="009D6747" w:rsidRDefault="009D6747" w:rsidP="009D6747">
      <w:r w:rsidRPr="009D6747">
        <w:t>The Provider must therefore demonstrate:</w:t>
      </w:r>
    </w:p>
    <w:p w14:paraId="1ABEC61C" w14:textId="77777777" w:rsidR="009D6747" w:rsidRPr="009D6747" w:rsidRDefault="009D6747" w:rsidP="009D6747">
      <w:pPr>
        <w:numPr>
          <w:ilvl w:val="0"/>
          <w:numId w:val="7"/>
        </w:numPr>
      </w:pPr>
      <w:r w:rsidRPr="009D6747">
        <w:t>A clear eligibility framework centred on adults (18+)</w:t>
      </w:r>
    </w:p>
    <w:p w14:paraId="23C2D620" w14:textId="77777777" w:rsidR="009D6747" w:rsidRPr="009D6747" w:rsidRDefault="009D6747" w:rsidP="009D6747">
      <w:pPr>
        <w:numPr>
          <w:ilvl w:val="0"/>
          <w:numId w:val="7"/>
        </w:numPr>
      </w:pPr>
      <w:r w:rsidRPr="009D6747">
        <w:t>A targeted approach reflecting the predominance of older people within the cohort</w:t>
      </w:r>
    </w:p>
    <w:p w14:paraId="216E66E7" w14:textId="77777777" w:rsidR="009D6747" w:rsidRPr="009D6747" w:rsidRDefault="009D6747" w:rsidP="009D6747">
      <w:pPr>
        <w:numPr>
          <w:ilvl w:val="0"/>
          <w:numId w:val="7"/>
        </w:numPr>
      </w:pPr>
      <w:r w:rsidRPr="009D6747">
        <w:t>Strong partnership arrangements with Family Centres and other relevant services</w:t>
      </w:r>
    </w:p>
    <w:p w14:paraId="236E60F8" w14:textId="77777777" w:rsidR="009D6747" w:rsidRPr="009D6747" w:rsidRDefault="009D6747" w:rsidP="009D6747">
      <w:pPr>
        <w:numPr>
          <w:ilvl w:val="0"/>
          <w:numId w:val="7"/>
        </w:numPr>
      </w:pPr>
      <w:r w:rsidRPr="009D6747">
        <w:t>Clear boundaries and referral processes for CYP support</w:t>
      </w:r>
    </w:p>
    <w:p w14:paraId="2B530AAF" w14:textId="77777777" w:rsidR="00147BF1" w:rsidRDefault="00147BF1" w:rsidP="00147BF1">
      <w:pPr>
        <w:spacing w:after="80"/>
      </w:pPr>
    </w:p>
    <w:p w14:paraId="65538E52" w14:textId="44DCB869" w:rsidR="00057CE9" w:rsidRDefault="00545385">
      <w:pPr>
        <w:pStyle w:val="Heading1"/>
      </w:pPr>
      <w:r>
        <w:t>7</w:t>
      </w:r>
      <w:r w:rsidR="00A006F8">
        <w:t>. Priority cohorts</w:t>
      </w:r>
    </w:p>
    <w:p w14:paraId="65538E53" w14:textId="083C0BE7" w:rsidR="00057CE9" w:rsidRDefault="00A006F8">
      <w:pPr>
        <w:spacing w:after="120"/>
      </w:pPr>
      <w:r>
        <w:t xml:space="preserve">The evidence review and the Conwy population profile both point clearly to the fact that targeted approaches outperform 'open to all' models, particularly for people with higher need. The service will continue to accept referrals on a no-wrong-door basis, but capacity </w:t>
      </w:r>
      <w:r w:rsidR="009401D9">
        <w:t xml:space="preserve">and engagement </w:t>
      </w:r>
      <w:r>
        <w:t>will be deliberately weighted toward the following priority cohorts:</w:t>
      </w:r>
    </w:p>
    <w:p w14:paraId="65538E54" w14:textId="77777777" w:rsidR="00057CE9" w:rsidRDefault="00A006F8">
      <w:pPr>
        <w:pStyle w:val="ListParagraph"/>
        <w:numPr>
          <w:ilvl w:val="0"/>
          <w:numId w:val="2"/>
        </w:numPr>
        <w:spacing w:after="80"/>
      </w:pPr>
      <w:r>
        <w:t>Older adults living alone, particularly following bereavement, hospital discharge, or a change in mobility;</w:t>
      </w:r>
    </w:p>
    <w:p w14:paraId="65538E55" w14:textId="6B5FC035" w:rsidR="00057CE9" w:rsidRDefault="00A006F8">
      <w:pPr>
        <w:pStyle w:val="ListParagraph"/>
        <w:numPr>
          <w:ilvl w:val="0"/>
          <w:numId w:val="2"/>
        </w:numPr>
        <w:spacing w:after="80"/>
      </w:pPr>
      <w:r>
        <w:t xml:space="preserve">Residents in the most </w:t>
      </w:r>
      <w:r w:rsidR="009A586A">
        <w:t xml:space="preserve">socio-economically </w:t>
      </w:r>
      <w:r>
        <w:t>deprived neighbourhoods of east Conwy (Kinmel Bay, Towyn, Pensarn, parts of Colwyn Bay) and rural south Conwy (Llanrwst and Conwy Valley);</w:t>
      </w:r>
    </w:p>
    <w:p w14:paraId="65538E56" w14:textId="7DF73CBD" w:rsidR="00057CE9" w:rsidRDefault="00A006F8">
      <w:pPr>
        <w:pStyle w:val="ListParagraph"/>
        <w:numPr>
          <w:ilvl w:val="0"/>
          <w:numId w:val="2"/>
        </w:numPr>
        <w:spacing w:after="80"/>
      </w:pPr>
      <w:r>
        <w:t>People with one or more long-term conditions, particularly frequent attenders to primary care</w:t>
      </w:r>
      <w:r w:rsidR="00113167">
        <w:t xml:space="preserve"> and Emergency Departments</w:t>
      </w:r>
      <w:r w:rsidR="00613D93">
        <w:t>/minor injuries units</w:t>
      </w:r>
    </w:p>
    <w:p w14:paraId="65538E57" w14:textId="11BF3A9A" w:rsidR="00057CE9" w:rsidRDefault="00A006F8">
      <w:pPr>
        <w:pStyle w:val="ListParagraph"/>
        <w:numPr>
          <w:ilvl w:val="0"/>
          <w:numId w:val="2"/>
        </w:numPr>
        <w:spacing w:after="80"/>
      </w:pPr>
      <w:r>
        <w:t xml:space="preserve">People experiencing mild to moderate mental health difficulties, including those on a waiting list for Conwy Mind, Parabl or NHS talking therapies, who would benefit from </w:t>
      </w:r>
      <w:r w:rsidR="009A586A">
        <w:t xml:space="preserve">a more holistic service offer and </w:t>
      </w:r>
      <w:r w:rsidR="00AE1E07">
        <w:t xml:space="preserve">who can </w:t>
      </w:r>
      <w:r>
        <w:t>be held safely in community while they wait;</w:t>
      </w:r>
    </w:p>
    <w:p w14:paraId="65538E58" w14:textId="2FC2304F" w:rsidR="00057CE9" w:rsidRDefault="00A006F8">
      <w:pPr>
        <w:pStyle w:val="ListParagraph"/>
        <w:numPr>
          <w:ilvl w:val="0"/>
          <w:numId w:val="2"/>
        </w:numPr>
        <w:spacing w:after="80"/>
      </w:pPr>
      <w:r>
        <w:lastRenderedPageBreak/>
        <w:t>Unpaid carers, including hidden carers identified through the 'What Matters' conversation</w:t>
      </w:r>
      <w:r w:rsidR="004F75BD">
        <w:t>s</w:t>
      </w:r>
      <w:r>
        <w:t>;</w:t>
      </w:r>
    </w:p>
    <w:p w14:paraId="65538E5A" w14:textId="4844229A" w:rsidR="00057CE9" w:rsidRDefault="00A006F8">
      <w:pPr>
        <w:spacing w:after="120"/>
      </w:pPr>
      <w:r>
        <w:t>People experiencing financial hardship, fuel poverty, or housing pressure, where these are contributing to ill-health or distress.The Provider will be expected to evidence proactive activity to reach these cohorts, including outreach via trusted partners (</w:t>
      </w:r>
      <w:r w:rsidR="00622EA9">
        <w:t xml:space="preserve">for example </w:t>
      </w:r>
      <w:r w:rsidR="00137497">
        <w:t xml:space="preserve">CRT’s, </w:t>
      </w:r>
      <w:r>
        <w:t>CVSC, Family Centres, faith communities, community pharmacies, foodbanks, Conwy Mind drop-ins). Reliance on inbound GP referral alone will not be considered sufficient.</w:t>
      </w:r>
    </w:p>
    <w:p w14:paraId="65538E5B" w14:textId="6E067AB1" w:rsidR="00057CE9" w:rsidRDefault="00545385">
      <w:pPr>
        <w:pStyle w:val="Heading1"/>
      </w:pPr>
      <w:r>
        <w:t>8</w:t>
      </w:r>
      <w:r w:rsidR="00A006F8">
        <w:t>. Service delivery model</w:t>
      </w:r>
    </w:p>
    <w:p w14:paraId="46A86201" w14:textId="4BA8175F" w:rsidR="00545385" w:rsidRPr="00545385" w:rsidRDefault="00545385" w:rsidP="00545385">
      <w:pPr>
        <w:pStyle w:val="Heading2"/>
        <w:rPr>
          <w:b w:val="0"/>
          <w:bCs w:val="0"/>
          <w:color w:val="auto"/>
          <w:sz w:val="22"/>
          <w:szCs w:val="22"/>
        </w:rPr>
      </w:pPr>
      <w:r w:rsidRPr="00545385">
        <w:rPr>
          <w:b w:val="0"/>
          <w:bCs w:val="0"/>
          <w:color w:val="auto"/>
          <w:sz w:val="22"/>
          <w:szCs w:val="22"/>
        </w:rPr>
        <w:t xml:space="preserve">The Provider must deliver the service in line with the </w:t>
      </w:r>
      <w:hyperlink r:id="rId9" w:history="1">
        <w:r w:rsidRPr="00C818DB">
          <w:rPr>
            <w:rStyle w:val="Hyperlink"/>
            <w:b w:val="0"/>
            <w:bCs w:val="0"/>
            <w:sz w:val="22"/>
            <w:szCs w:val="22"/>
          </w:rPr>
          <w:t>Core Standards for Social Prescribing in Wales</w:t>
        </w:r>
      </w:hyperlink>
      <w:r w:rsidRPr="00545385">
        <w:rPr>
          <w:b w:val="0"/>
          <w:bCs w:val="0"/>
          <w:color w:val="auto"/>
          <w:sz w:val="22"/>
          <w:szCs w:val="22"/>
        </w:rPr>
        <w:t>, ensuring these are embedded throughout the design, delivery and continuous improvement of the service. The delivery model must be demonstrably aligned to the following six guiding standards:</w:t>
      </w:r>
    </w:p>
    <w:p w14:paraId="44C4A824" w14:textId="77777777" w:rsidR="00545385" w:rsidRPr="00545385" w:rsidRDefault="00545385" w:rsidP="00545385">
      <w:pPr>
        <w:pStyle w:val="Heading2"/>
        <w:numPr>
          <w:ilvl w:val="0"/>
          <w:numId w:val="6"/>
        </w:numPr>
        <w:rPr>
          <w:b w:val="0"/>
          <w:bCs w:val="0"/>
          <w:color w:val="auto"/>
          <w:sz w:val="22"/>
          <w:szCs w:val="22"/>
        </w:rPr>
      </w:pPr>
      <w:r w:rsidRPr="00545385">
        <w:rPr>
          <w:b w:val="0"/>
          <w:bCs w:val="0"/>
          <w:color w:val="auto"/>
          <w:sz w:val="22"/>
          <w:szCs w:val="22"/>
        </w:rPr>
        <w:t>Person-centred – services must be based on a “what matters” approach, with support co-produced with individuals and tailored to their strengths, needs and preferences.</w:t>
      </w:r>
    </w:p>
    <w:p w14:paraId="47733682" w14:textId="77777777" w:rsidR="00545385" w:rsidRPr="00545385" w:rsidRDefault="00545385" w:rsidP="00545385">
      <w:pPr>
        <w:pStyle w:val="Heading2"/>
        <w:numPr>
          <w:ilvl w:val="0"/>
          <w:numId w:val="6"/>
        </w:numPr>
        <w:rPr>
          <w:b w:val="0"/>
          <w:bCs w:val="0"/>
          <w:color w:val="auto"/>
          <w:sz w:val="22"/>
          <w:szCs w:val="22"/>
        </w:rPr>
      </w:pPr>
      <w:r w:rsidRPr="00545385">
        <w:rPr>
          <w:b w:val="0"/>
          <w:bCs w:val="0"/>
          <w:color w:val="auto"/>
          <w:sz w:val="22"/>
          <w:szCs w:val="22"/>
        </w:rPr>
        <w:t>Address inequalities – the Provider must proactively identify and reduce barriers to access, ensuring equitable provision for underserved and marginalised groups.</w:t>
      </w:r>
    </w:p>
    <w:p w14:paraId="29FEF35E" w14:textId="77777777" w:rsidR="00545385" w:rsidRPr="00545385" w:rsidRDefault="00545385" w:rsidP="00545385">
      <w:pPr>
        <w:pStyle w:val="Heading2"/>
        <w:numPr>
          <w:ilvl w:val="0"/>
          <w:numId w:val="6"/>
        </w:numPr>
        <w:rPr>
          <w:b w:val="0"/>
          <w:bCs w:val="0"/>
          <w:color w:val="auto"/>
          <w:sz w:val="22"/>
          <w:szCs w:val="22"/>
        </w:rPr>
      </w:pPr>
      <w:r w:rsidRPr="00545385">
        <w:rPr>
          <w:b w:val="0"/>
          <w:bCs w:val="0"/>
          <w:color w:val="auto"/>
          <w:sz w:val="22"/>
          <w:szCs w:val="22"/>
        </w:rPr>
        <w:t>Safeguarding and managing risks – robust safeguarding arrangements must be embedded across the pathway, with clear processes for identifying, managing and escalating risk.</w:t>
      </w:r>
    </w:p>
    <w:p w14:paraId="34CB2455" w14:textId="77777777" w:rsidR="00545385" w:rsidRPr="00545385" w:rsidRDefault="00545385" w:rsidP="00545385">
      <w:pPr>
        <w:pStyle w:val="Heading2"/>
        <w:numPr>
          <w:ilvl w:val="0"/>
          <w:numId w:val="6"/>
        </w:numPr>
        <w:rPr>
          <w:b w:val="0"/>
          <w:bCs w:val="0"/>
          <w:color w:val="auto"/>
          <w:sz w:val="22"/>
          <w:szCs w:val="22"/>
        </w:rPr>
      </w:pPr>
      <w:r w:rsidRPr="00545385">
        <w:rPr>
          <w:b w:val="0"/>
          <w:bCs w:val="0"/>
          <w:color w:val="auto"/>
          <w:sz w:val="22"/>
          <w:szCs w:val="22"/>
        </w:rPr>
        <w:t>Trauma-informed and relationship-focused – delivery must be grounded in safe, trusting relationships and informed by an understanding of trauma and its impact on engagement.</w:t>
      </w:r>
    </w:p>
    <w:p w14:paraId="703D99C8" w14:textId="77777777" w:rsidR="00545385" w:rsidRPr="00545385" w:rsidRDefault="00545385" w:rsidP="00545385">
      <w:pPr>
        <w:pStyle w:val="Heading2"/>
        <w:numPr>
          <w:ilvl w:val="0"/>
          <w:numId w:val="6"/>
        </w:numPr>
        <w:rPr>
          <w:b w:val="0"/>
          <w:bCs w:val="0"/>
          <w:color w:val="auto"/>
          <w:sz w:val="22"/>
          <w:szCs w:val="22"/>
        </w:rPr>
      </w:pPr>
      <w:r w:rsidRPr="00545385">
        <w:rPr>
          <w:b w:val="0"/>
          <w:bCs w:val="0"/>
          <w:color w:val="auto"/>
          <w:sz w:val="22"/>
          <w:szCs w:val="22"/>
        </w:rPr>
        <w:t>Life course – the model should support individuals across all ages and stages of life, with an emphasis on prevention, early intervention and long-term wellbeing.</w:t>
      </w:r>
    </w:p>
    <w:p w14:paraId="064183BF" w14:textId="77777777" w:rsidR="00545385" w:rsidRPr="00545385" w:rsidRDefault="00545385" w:rsidP="00545385">
      <w:pPr>
        <w:pStyle w:val="Heading2"/>
        <w:numPr>
          <w:ilvl w:val="0"/>
          <w:numId w:val="6"/>
        </w:numPr>
        <w:rPr>
          <w:b w:val="0"/>
          <w:bCs w:val="0"/>
          <w:color w:val="auto"/>
          <w:sz w:val="22"/>
          <w:szCs w:val="22"/>
        </w:rPr>
      </w:pPr>
      <w:r w:rsidRPr="00545385">
        <w:rPr>
          <w:b w:val="0"/>
          <w:bCs w:val="0"/>
          <w:color w:val="auto"/>
          <w:sz w:val="22"/>
          <w:szCs w:val="22"/>
        </w:rPr>
        <w:t>Welsh language – services must enable access through the medium of Welsh, recognising language as integral to person-centred and culturally competent care.</w:t>
      </w:r>
    </w:p>
    <w:p w14:paraId="1A67F40E" w14:textId="77777777" w:rsidR="00545385" w:rsidRDefault="00545385" w:rsidP="00545385">
      <w:pPr>
        <w:pStyle w:val="Heading2"/>
        <w:rPr>
          <w:b w:val="0"/>
          <w:bCs w:val="0"/>
          <w:color w:val="auto"/>
          <w:sz w:val="22"/>
          <w:szCs w:val="22"/>
        </w:rPr>
      </w:pPr>
      <w:r w:rsidRPr="00545385">
        <w:rPr>
          <w:b w:val="0"/>
          <w:bCs w:val="0"/>
          <w:color w:val="auto"/>
          <w:sz w:val="22"/>
          <w:szCs w:val="22"/>
        </w:rPr>
        <w:t>The Provider must evidence how these standards are operationalised within day-to-day practice, workforce capability, partnership working, and service outcomes, ensuring a consistent, high-quality and whole-system approach to social prescribing.</w:t>
      </w:r>
    </w:p>
    <w:p w14:paraId="2102E326" w14:textId="198B5645" w:rsidR="00622EA9" w:rsidRDefault="00622EA9" w:rsidP="00545385">
      <w:pPr>
        <w:pStyle w:val="Heading2"/>
        <w:rPr>
          <w:b w:val="0"/>
          <w:bCs w:val="0"/>
          <w:color w:val="auto"/>
          <w:sz w:val="22"/>
          <w:szCs w:val="22"/>
        </w:rPr>
      </w:pPr>
      <w:r w:rsidRPr="00622EA9">
        <w:rPr>
          <w:b w:val="0"/>
          <w:bCs w:val="0"/>
          <w:color w:val="auto"/>
          <w:sz w:val="22"/>
          <w:szCs w:val="22"/>
        </w:rPr>
        <w:t xml:space="preserve">In addition, the Provider should have regard to </w:t>
      </w:r>
      <w:hyperlink r:id="rId10" w:history="1">
        <w:r w:rsidRPr="00622EA9">
          <w:rPr>
            <w:rStyle w:val="Hyperlink"/>
            <w:b w:val="0"/>
            <w:bCs w:val="0"/>
            <w:sz w:val="22"/>
            <w:szCs w:val="22"/>
          </w:rPr>
          <w:t>NHS England guidance on the delivery of social prescribing</w:t>
        </w:r>
      </w:hyperlink>
      <w:r w:rsidRPr="00622EA9">
        <w:rPr>
          <w:b w:val="0"/>
          <w:bCs w:val="0"/>
          <w:color w:val="auto"/>
          <w:sz w:val="22"/>
          <w:szCs w:val="22"/>
        </w:rPr>
        <w:t>, which describes a structured, relationship-based model of support delivered over a series of contacts. Typically, individuals are supported through multiple interactions (commonly in the range of 6 to 12 contacts), allowing time to build trust, undertake a “what matters” conversation, co-produce a personalised plan, and provide follow-up to enable sustained engagement with community assets. The Provider should apply this as a guiding benchmark, while maintaining flexibility to tailor the intensity and duration of support to individual need, complexity and outcomes.</w:t>
      </w:r>
    </w:p>
    <w:p w14:paraId="166B9EA6" w14:textId="77777777" w:rsidR="00622EA9" w:rsidRDefault="00622EA9" w:rsidP="00545385">
      <w:pPr>
        <w:pStyle w:val="Heading2"/>
        <w:rPr>
          <w:b w:val="0"/>
          <w:bCs w:val="0"/>
          <w:color w:val="auto"/>
          <w:sz w:val="22"/>
          <w:szCs w:val="22"/>
        </w:rPr>
      </w:pPr>
    </w:p>
    <w:p w14:paraId="5377A5B9" w14:textId="77777777" w:rsidR="006B24EB" w:rsidRDefault="006B24EB" w:rsidP="00545385">
      <w:pPr>
        <w:pStyle w:val="Heading2"/>
        <w:rPr>
          <w:b w:val="0"/>
          <w:bCs w:val="0"/>
          <w:color w:val="auto"/>
          <w:sz w:val="22"/>
          <w:szCs w:val="22"/>
        </w:rPr>
      </w:pPr>
    </w:p>
    <w:p w14:paraId="65538E71" w14:textId="13109A58" w:rsidR="00057CE9" w:rsidRDefault="00545385">
      <w:pPr>
        <w:pStyle w:val="Heading2"/>
      </w:pPr>
      <w:r>
        <w:lastRenderedPageBreak/>
        <w:t>8</w:t>
      </w:r>
      <w:r w:rsidR="00A006F8">
        <w:t>.2 Referral pathways</w:t>
      </w:r>
    </w:p>
    <w:p w14:paraId="65538E72" w14:textId="7D3E61BE" w:rsidR="00057CE9" w:rsidRDefault="00A006F8">
      <w:pPr>
        <w:spacing w:after="120"/>
      </w:pPr>
      <w:r>
        <w:t>The service will accept referrals from</w:t>
      </w:r>
      <w:r w:rsidR="004A6BA1">
        <w:t xml:space="preserve"> (not limited to)</w:t>
      </w:r>
      <w:r>
        <w:t>:</w:t>
      </w:r>
    </w:p>
    <w:p w14:paraId="65538E73" w14:textId="77777777" w:rsidR="00057CE9" w:rsidRDefault="00A006F8">
      <w:pPr>
        <w:pStyle w:val="ListParagraph"/>
        <w:numPr>
          <w:ilvl w:val="0"/>
          <w:numId w:val="2"/>
        </w:numPr>
        <w:spacing w:after="80"/>
      </w:pPr>
      <w:r>
        <w:t>Self-referral (online form, telephone, in person at agreed venues);</w:t>
      </w:r>
    </w:p>
    <w:p w14:paraId="65538E74" w14:textId="6662448D" w:rsidR="00057CE9" w:rsidRDefault="00A006F8">
      <w:pPr>
        <w:pStyle w:val="ListParagraph"/>
        <w:numPr>
          <w:ilvl w:val="0"/>
          <w:numId w:val="2"/>
        </w:numPr>
        <w:spacing w:after="80"/>
      </w:pPr>
      <w:r>
        <w:t>Primary care (GP practices</w:t>
      </w:r>
      <w:r w:rsidR="00C818DB">
        <w:t>,</w:t>
      </w:r>
      <w:r w:rsidR="004A6BA1">
        <w:t xml:space="preserve"> opticians, pharmacies, dental services</w:t>
      </w:r>
      <w:r>
        <w:t>);</w:t>
      </w:r>
    </w:p>
    <w:p w14:paraId="366F99A8" w14:textId="77F036CC" w:rsidR="004A6BA1" w:rsidRDefault="004A6BA1">
      <w:pPr>
        <w:pStyle w:val="ListParagraph"/>
        <w:numPr>
          <w:ilvl w:val="0"/>
          <w:numId w:val="2"/>
        </w:numPr>
        <w:spacing w:after="80"/>
      </w:pPr>
      <w:r w:rsidRPr="004A6BA1">
        <w:t>Minor Injuries Units and Emergency Departments</w:t>
      </w:r>
    </w:p>
    <w:p w14:paraId="65538E75" w14:textId="77777777" w:rsidR="00057CE9" w:rsidRDefault="00A006F8">
      <w:pPr>
        <w:pStyle w:val="ListParagraph"/>
        <w:numPr>
          <w:ilvl w:val="0"/>
          <w:numId w:val="2"/>
        </w:numPr>
        <w:spacing w:after="80"/>
      </w:pPr>
      <w:r>
        <w:t>Community Resource Teams and the Single Point of Access (SPOA);</w:t>
      </w:r>
    </w:p>
    <w:p w14:paraId="65538E76" w14:textId="77777777" w:rsidR="00057CE9" w:rsidRDefault="00A006F8">
      <w:pPr>
        <w:pStyle w:val="ListParagraph"/>
        <w:numPr>
          <w:ilvl w:val="0"/>
          <w:numId w:val="2"/>
        </w:numPr>
        <w:spacing w:after="80"/>
      </w:pPr>
      <w:r>
        <w:t>Conwy Family Centres;</w:t>
      </w:r>
    </w:p>
    <w:p w14:paraId="65538E77" w14:textId="799E455A" w:rsidR="00057CE9" w:rsidRDefault="00A006F8">
      <w:pPr>
        <w:pStyle w:val="ListParagraph"/>
        <w:numPr>
          <w:ilvl w:val="0"/>
          <w:numId w:val="2"/>
        </w:numPr>
        <w:spacing w:after="80"/>
      </w:pPr>
      <w:r>
        <w:t>Conwy Mind, Parabl, Carers Trust North Wales;</w:t>
      </w:r>
    </w:p>
    <w:p w14:paraId="5E26B616" w14:textId="45D12D1B" w:rsidR="00C818DB" w:rsidRDefault="00C818DB">
      <w:pPr>
        <w:pStyle w:val="ListParagraph"/>
        <w:numPr>
          <w:ilvl w:val="0"/>
          <w:numId w:val="2"/>
        </w:numPr>
        <w:spacing w:after="80"/>
      </w:pPr>
      <w:r>
        <w:t>Voluntary sector organisations and community groups</w:t>
      </w:r>
    </w:p>
    <w:p w14:paraId="65538E78" w14:textId="77777777" w:rsidR="00057CE9" w:rsidRDefault="00A006F8">
      <w:pPr>
        <w:pStyle w:val="ListParagraph"/>
        <w:numPr>
          <w:ilvl w:val="0"/>
          <w:numId w:val="2"/>
        </w:numPr>
        <w:spacing w:after="80"/>
      </w:pPr>
      <w:r>
        <w:t>Conwy CBC Community Wellbeing Team;</w:t>
      </w:r>
    </w:p>
    <w:p w14:paraId="40163065" w14:textId="4D957073" w:rsidR="0017785C" w:rsidRDefault="0017785C">
      <w:pPr>
        <w:pStyle w:val="ListParagraph"/>
        <w:numPr>
          <w:ilvl w:val="0"/>
          <w:numId w:val="2"/>
        </w:numPr>
        <w:spacing w:after="80"/>
      </w:pPr>
      <w:r>
        <w:t>Library services</w:t>
      </w:r>
    </w:p>
    <w:p w14:paraId="65538E79" w14:textId="77777777" w:rsidR="00057CE9" w:rsidRDefault="00A006F8">
      <w:pPr>
        <w:pStyle w:val="ListParagraph"/>
        <w:numPr>
          <w:ilvl w:val="0"/>
          <w:numId w:val="2"/>
        </w:numPr>
        <w:spacing w:after="80"/>
      </w:pPr>
      <w:r>
        <w:t>Hospital discharge teams and community pharmacy (where pathways exist);</w:t>
      </w:r>
    </w:p>
    <w:p w14:paraId="65538E7A" w14:textId="29710562" w:rsidR="00057CE9" w:rsidRDefault="00A006F8">
      <w:pPr>
        <w:pStyle w:val="ListParagraph"/>
        <w:numPr>
          <w:ilvl w:val="0"/>
          <w:numId w:val="2"/>
        </w:numPr>
        <w:spacing w:after="80"/>
      </w:pPr>
      <w:r>
        <w:t>Other statutory partners including housing, welfare rights</w:t>
      </w:r>
      <w:r w:rsidR="0017785C">
        <w:t xml:space="preserve"> </w:t>
      </w:r>
      <w:r>
        <w:t>and the police.</w:t>
      </w:r>
    </w:p>
    <w:p w14:paraId="65538E7B" w14:textId="373FEE26" w:rsidR="00057CE9" w:rsidRDefault="00A006F8">
      <w:pPr>
        <w:spacing w:after="120"/>
      </w:pPr>
      <w:r>
        <w:t>A standard minimum-dataset referral form will be agreed with the Commissioner and required for all professional referrals</w:t>
      </w:r>
      <w:r w:rsidR="00C818DB">
        <w:t>.</w:t>
      </w:r>
    </w:p>
    <w:p w14:paraId="0404976A" w14:textId="77777777" w:rsidR="0017785C" w:rsidRDefault="0017785C">
      <w:pPr>
        <w:spacing w:after="120"/>
      </w:pPr>
    </w:p>
    <w:p w14:paraId="65538E7C" w14:textId="424F84C2" w:rsidR="00057CE9" w:rsidRDefault="00545385">
      <w:pPr>
        <w:pStyle w:val="Heading2"/>
      </w:pPr>
      <w:r>
        <w:t>8</w:t>
      </w:r>
      <w:r w:rsidR="00A006F8">
        <w:t>.3 The 'What Matters' conversation</w:t>
      </w:r>
    </w:p>
    <w:p w14:paraId="65538E7D" w14:textId="5240B93C" w:rsidR="00057CE9" w:rsidRDefault="00A006F8">
      <w:pPr>
        <w:spacing w:after="120"/>
      </w:pPr>
      <w:r>
        <w:t>Every contact will begin with a 'What Matters' conversation</w:t>
      </w:r>
      <w:r w:rsidR="00F17E0D">
        <w:t>,</w:t>
      </w:r>
      <w:r>
        <w:t xml:space="preserve"> conducted in line with the HEIW Competence Framework. The conversation will:</w:t>
      </w:r>
    </w:p>
    <w:p w14:paraId="65538E7E" w14:textId="77777777" w:rsidR="00057CE9" w:rsidRDefault="00A006F8">
      <w:pPr>
        <w:pStyle w:val="ListParagraph"/>
        <w:numPr>
          <w:ilvl w:val="0"/>
          <w:numId w:val="2"/>
        </w:numPr>
        <w:spacing w:after="80"/>
      </w:pPr>
      <w:r>
        <w:t>be person-led, strengths-based and trauma-informed;</w:t>
      </w:r>
    </w:p>
    <w:p w14:paraId="65538E7F" w14:textId="77777777" w:rsidR="00057CE9" w:rsidRDefault="00A006F8">
      <w:pPr>
        <w:pStyle w:val="ListParagraph"/>
        <w:numPr>
          <w:ilvl w:val="0"/>
          <w:numId w:val="2"/>
        </w:numPr>
        <w:spacing w:after="80"/>
      </w:pPr>
      <w:r>
        <w:t>explore the person's own goals, networks and resources rather than starting from the referral reason;</w:t>
      </w:r>
    </w:p>
    <w:p w14:paraId="65538E80" w14:textId="77777777" w:rsidR="00057CE9" w:rsidRDefault="00A006F8">
      <w:pPr>
        <w:pStyle w:val="ListParagraph"/>
        <w:numPr>
          <w:ilvl w:val="0"/>
          <w:numId w:val="2"/>
        </w:numPr>
        <w:spacing w:after="80"/>
      </w:pPr>
      <w:r>
        <w:t>be available through the medium of Welsh as an active offer;</w:t>
      </w:r>
    </w:p>
    <w:p w14:paraId="65538E81" w14:textId="77777777" w:rsidR="00057CE9" w:rsidRDefault="00A006F8">
      <w:pPr>
        <w:pStyle w:val="ListParagraph"/>
        <w:numPr>
          <w:ilvl w:val="0"/>
          <w:numId w:val="2"/>
        </w:numPr>
        <w:spacing w:after="80"/>
      </w:pPr>
      <w:r>
        <w:t>identify safeguarding concerns and unpaid caring responsibilities as a matter of routine;</w:t>
      </w:r>
    </w:p>
    <w:p w14:paraId="65538E82" w14:textId="1B4507F2" w:rsidR="00057CE9" w:rsidRDefault="00A006F8">
      <w:pPr>
        <w:pStyle w:val="ListParagraph"/>
        <w:numPr>
          <w:ilvl w:val="0"/>
          <w:numId w:val="2"/>
        </w:numPr>
        <w:spacing w:after="80"/>
      </w:pPr>
      <w:r>
        <w:t>result in a co-produced written action plan, a copy of which is shared with the person.</w:t>
      </w:r>
      <w:r w:rsidR="00DB17B8">
        <w:br/>
      </w:r>
    </w:p>
    <w:p w14:paraId="65538E83" w14:textId="266CADF4" w:rsidR="00057CE9" w:rsidRDefault="00545385">
      <w:pPr>
        <w:pStyle w:val="Heading2"/>
      </w:pPr>
      <w:r>
        <w:t>8</w:t>
      </w:r>
      <w:r w:rsidR="00A006F8">
        <w:t>.4 Warm handovers and follow-up</w:t>
      </w:r>
    </w:p>
    <w:p w14:paraId="65538E84" w14:textId="13605EB1" w:rsidR="00057CE9" w:rsidRDefault="00A006F8">
      <w:pPr>
        <w:spacing w:after="120"/>
      </w:pPr>
      <w:r>
        <w:t xml:space="preserve">Passive signposting alone will not be considered </w:t>
      </w:r>
      <w:r w:rsidR="00D96A9A">
        <w:t>appropriate</w:t>
      </w:r>
      <w:r w:rsidR="00D311F0">
        <w:t xml:space="preserve"> for key cohorts</w:t>
      </w:r>
      <w:r>
        <w:t>. The Provider will be expected to:</w:t>
      </w:r>
    </w:p>
    <w:p w14:paraId="65538E85" w14:textId="77777777" w:rsidR="00057CE9" w:rsidRDefault="00A006F8">
      <w:pPr>
        <w:pStyle w:val="ListParagraph"/>
        <w:numPr>
          <w:ilvl w:val="0"/>
          <w:numId w:val="2"/>
        </w:numPr>
        <w:spacing w:after="80"/>
      </w:pPr>
      <w:r>
        <w:t>make introductions to community partners directly, by phone, email or in person, rather than handing over a leaflet;</w:t>
      </w:r>
    </w:p>
    <w:p w14:paraId="65538E86" w14:textId="77777777" w:rsidR="00057CE9" w:rsidRDefault="00A006F8">
      <w:pPr>
        <w:pStyle w:val="ListParagraph"/>
        <w:numPr>
          <w:ilvl w:val="0"/>
          <w:numId w:val="2"/>
        </w:numPr>
        <w:spacing w:after="80"/>
      </w:pPr>
      <w:r>
        <w:t>where appropriate and capacity allows, accompany the person to a first session;</w:t>
      </w:r>
    </w:p>
    <w:p w14:paraId="65538E87" w14:textId="77777777" w:rsidR="00057CE9" w:rsidRDefault="00A006F8">
      <w:pPr>
        <w:pStyle w:val="ListParagraph"/>
        <w:numPr>
          <w:ilvl w:val="0"/>
          <w:numId w:val="2"/>
        </w:numPr>
        <w:spacing w:after="80"/>
      </w:pPr>
      <w:r>
        <w:t>follow up after attendance to confirm engagement and adjust the action plan;</w:t>
      </w:r>
    </w:p>
    <w:p w14:paraId="65538E88" w14:textId="424E9306" w:rsidR="00057CE9" w:rsidRDefault="00A006F8">
      <w:pPr>
        <w:pStyle w:val="ListParagraph"/>
        <w:numPr>
          <w:ilvl w:val="0"/>
          <w:numId w:val="2"/>
        </w:numPr>
        <w:spacing w:after="80"/>
      </w:pPr>
      <w:r>
        <w:t>record both the offer made and whether the person took it up, in line with the Core Data Set.</w:t>
      </w:r>
      <w:r w:rsidR="00DB17B8">
        <w:br/>
      </w:r>
    </w:p>
    <w:p w14:paraId="65538E89" w14:textId="3779D6E4" w:rsidR="00057CE9" w:rsidRDefault="00545385">
      <w:pPr>
        <w:pStyle w:val="Heading2"/>
      </w:pPr>
      <w:r>
        <w:t>8</w:t>
      </w:r>
      <w:r w:rsidR="00A006F8">
        <w:t>.5 Geographic delivery</w:t>
      </w:r>
    </w:p>
    <w:p w14:paraId="65538E8A" w14:textId="35C57C17" w:rsidR="00057CE9" w:rsidRDefault="00A006F8">
      <w:pPr>
        <w:spacing w:after="120"/>
      </w:pPr>
      <w:r>
        <w:t>The service will operate as one county-wide service. Practitioner caseloads will be allocated by geography to maintain local knowledge and partnership relationships, but referral and data systems will be unified. The Provider will:</w:t>
      </w:r>
    </w:p>
    <w:p w14:paraId="65538E8B" w14:textId="77777777" w:rsidR="00057CE9" w:rsidRDefault="00A006F8">
      <w:pPr>
        <w:pStyle w:val="ListParagraph"/>
        <w:numPr>
          <w:ilvl w:val="0"/>
          <w:numId w:val="2"/>
        </w:numPr>
        <w:spacing w:after="80"/>
      </w:pPr>
      <w:r>
        <w:lastRenderedPageBreak/>
        <w:t>maintain a regular in-person presence in Llanrwst (and ideally Betws-y-Coed) covering rural south Conwy;</w:t>
      </w:r>
    </w:p>
    <w:p w14:paraId="65538E8C" w14:textId="77777777" w:rsidR="00057CE9" w:rsidRDefault="00A006F8">
      <w:pPr>
        <w:pStyle w:val="ListParagraph"/>
        <w:numPr>
          <w:ilvl w:val="0"/>
          <w:numId w:val="2"/>
        </w:numPr>
        <w:spacing w:after="80"/>
      </w:pPr>
      <w:r>
        <w:t>maintain a regular in-person presence in east Conwy, including Kinmel Bay/Towyn and Abergele;</w:t>
      </w:r>
    </w:p>
    <w:p w14:paraId="65538E8D" w14:textId="5B6B2B4A" w:rsidR="00057CE9" w:rsidRDefault="00A006F8">
      <w:pPr>
        <w:pStyle w:val="ListParagraph"/>
        <w:numPr>
          <w:ilvl w:val="0"/>
          <w:numId w:val="2"/>
        </w:numPr>
        <w:spacing w:after="80"/>
      </w:pPr>
      <w:r>
        <w:t xml:space="preserve">run drop-in or appointment slots </w:t>
      </w:r>
      <w:r w:rsidR="00C24D41">
        <w:t>on a rota basis across</w:t>
      </w:r>
      <w:r>
        <w:t xml:space="preserve"> Family Centre</w:t>
      </w:r>
      <w:r w:rsidR="00C24D41">
        <w:t>s</w:t>
      </w:r>
      <w:r>
        <w:t>, the CVSC Community Support Hub, Ffit Conwy or Community Wellbeing venue</w:t>
      </w:r>
      <w:r w:rsidR="00693D55">
        <w:t>s</w:t>
      </w:r>
      <w:r>
        <w:t>;</w:t>
      </w:r>
      <w:r w:rsidR="00DB17B8">
        <w:br/>
      </w:r>
    </w:p>
    <w:p w14:paraId="65538E8F" w14:textId="52FAB99F" w:rsidR="00057CE9" w:rsidRDefault="00545385">
      <w:pPr>
        <w:pStyle w:val="Heading2"/>
      </w:pPr>
      <w:r>
        <w:t>8</w:t>
      </w:r>
      <w:r w:rsidR="00A006F8">
        <w:t>.6 Welsh language</w:t>
      </w:r>
    </w:p>
    <w:p w14:paraId="65538E90" w14:textId="77777777" w:rsidR="00057CE9" w:rsidRDefault="00A006F8">
      <w:pPr>
        <w:spacing w:after="120"/>
      </w:pPr>
      <w:r>
        <w:t>Welsh-medium provision is a right and a need, not a preference. The Provider will operate the Active Offer: the service is offered through the medium of Welsh without the person having to ask. At least one practitioner will be a confident Welsh speaker, with deployment patterns (including in Llanrwst and the Conwy Valley) designed around that. All written materials, the referral form, the action plan template and the feedback survey will be available in Welsh and English of equal quality. Where a Welsh speaker is not immediately available, the Provider will record this and the Commissioner will treat it as a service-level concern, not a routine event.</w:t>
      </w:r>
    </w:p>
    <w:p w14:paraId="370F4652" w14:textId="77777777" w:rsidR="00066A46" w:rsidRDefault="00066A46">
      <w:pPr>
        <w:spacing w:after="120"/>
      </w:pPr>
    </w:p>
    <w:p w14:paraId="6678A973" w14:textId="77777777" w:rsidR="00066A46" w:rsidRDefault="00066A46">
      <w:pPr>
        <w:spacing w:after="120"/>
      </w:pPr>
    </w:p>
    <w:p w14:paraId="65538E91" w14:textId="2867B372" w:rsidR="00057CE9" w:rsidRDefault="00545385">
      <w:pPr>
        <w:pStyle w:val="Heading1"/>
      </w:pPr>
      <w:r>
        <w:t>9</w:t>
      </w:r>
      <w:r w:rsidR="00A006F8">
        <w:t>. Workforce</w:t>
      </w:r>
    </w:p>
    <w:p w14:paraId="10389E77" w14:textId="4AFD363E" w:rsidR="00066A46" w:rsidRDefault="00066A46">
      <w:pPr>
        <w:spacing w:after="120"/>
      </w:pPr>
      <w:r w:rsidRPr="00066A46">
        <w:t xml:space="preserve">The Provider must ensure that workforce capacity and caseloads are managed to support safe, effective and person-centred delivery. In line with </w:t>
      </w:r>
      <w:hyperlink r:id="rId11" w:history="1">
        <w:r w:rsidRPr="00066A46">
          <w:rPr>
            <w:rStyle w:val="Hyperlink"/>
          </w:rPr>
          <w:t>national guidance, social prescribing link workers</w:t>
        </w:r>
      </w:hyperlink>
      <w:r w:rsidRPr="00066A46">
        <w:t xml:space="preserve"> would typically be expected to manage an indicative annual caseload in the region of 200–250 individuals. However, this should be reduced where individuals present with higher levels of complexity or require more intensive support. The Provider should therefore adopt a flexible, needs-led approach to caseload management, ensuring that practitioners have sufficient capacity to provide meaningful, relationship-based support over multiple contacts. The Provider should also have regard to sector intelligence, which indicates that caseloads may vary considerably in practice, with a significant proportion of link workers carrying caseloads above 200 per year. As such, the Provider must demonstrate how caseloads will be safely </w:t>
      </w:r>
      <w:r w:rsidR="006C1CA5">
        <w:t xml:space="preserve">triaged, </w:t>
      </w:r>
      <w:r w:rsidRPr="00066A46">
        <w:t>managed and monitored to maintain quality, workforce wellbeing, and delivery of intended outcomes.</w:t>
      </w:r>
    </w:p>
    <w:p w14:paraId="65538E92" w14:textId="435FC9C2" w:rsidR="00057CE9" w:rsidRDefault="00066A46">
      <w:pPr>
        <w:spacing w:after="120"/>
      </w:pPr>
      <w:r>
        <w:br/>
      </w:r>
      <w:r w:rsidR="00A006F8">
        <w:t>The Commissioner expects the staffing model to:</w:t>
      </w:r>
    </w:p>
    <w:p w14:paraId="65538E93" w14:textId="77777777" w:rsidR="00057CE9" w:rsidRDefault="00A006F8">
      <w:pPr>
        <w:pStyle w:val="ListParagraph"/>
        <w:numPr>
          <w:ilvl w:val="0"/>
          <w:numId w:val="2"/>
        </w:numPr>
        <w:spacing w:after="80"/>
      </w:pPr>
      <w:r>
        <w:t>include adequate management, clinical and reflective supervision arrangements, recognising that supervision in social prescribing differs from clinical supervision in regulated professions;</w:t>
      </w:r>
    </w:p>
    <w:p w14:paraId="65538E94" w14:textId="7B49C584" w:rsidR="00057CE9" w:rsidRDefault="00A006F8">
      <w:pPr>
        <w:pStyle w:val="ListParagraph"/>
        <w:numPr>
          <w:ilvl w:val="0"/>
          <w:numId w:val="2"/>
        </w:numPr>
        <w:spacing w:after="80"/>
      </w:pPr>
      <w:r>
        <w:t xml:space="preserve">include succession and resilience planning so the service is not at risk of collapse on a single retirement </w:t>
      </w:r>
      <w:r w:rsidR="00D97C7F">
        <w:t xml:space="preserve">or </w:t>
      </w:r>
      <w:r w:rsidR="002A52F2">
        <w:t>vacancy arising</w:t>
      </w:r>
      <w:r w:rsidR="00E55E0F">
        <w:t>.</w:t>
      </w:r>
    </w:p>
    <w:p w14:paraId="65538E95" w14:textId="77777777" w:rsidR="00057CE9" w:rsidRDefault="00A006F8">
      <w:pPr>
        <w:pStyle w:val="ListParagraph"/>
        <w:numPr>
          <w:ilvl w:val="0"/>
          <w:numId w:val="2"/>
        </w:numPr>
        <w:spacing w:after="80"/>
      </w:pPr>
      <w:r>
        <w:t>provide clear DBS, safeguarding and trauma-informed training on induction and refreshed annually;</w:t>
      </w:r>
    </w:p>
    <w:p w14:paraId="65538E96" w14:textId="77777777" w:rsidR="00057CE9" w:rsidRDefault="00A006F8">
      <w:pPr>
        <w:pStyle w:val="ListParagraph"/>
        <w:numPr>
          <w:ilvl w:val="0"/>
          <w:numId w:val="2"/>
        </w:numPr>
        <w:spacing w:after="80"/>
      </w:pPr>
      <w:r>
        <w:t>offer the HEIW Competence Framework for Social Prescribing Practitioners as the standard for staff competence;</w:t>
      </w:r>
    </w:p>
    <w:p w14:paraId="65538E97" w14:textId="77777777" w:rsidR="00057CE9" w:rsidRDefault="00A006F8">
      <w:pPr>
        <w:pStyle w:val="ListParagraph"/>
        <w:numPr>
          <w:ilvl w:val="0"/>
          <w:numId w:val="2"/>
        </w:numPr>
        <w:spacing w:after="80"/>
      </w:pPr>
      <w:r>
        <w:t>include appropriate Welsh language capability, with at least one fluent Welsh-speaking practitioner;</w:t>
      </w:r>
    </w:p>
    <w:p w14:paraId="65538E98" w14:textId="77777777" w:rsidR="00057CE9" w:rsidRDefault="00A006F8">
      <w:pPr>
        <w:pStyle w:val="ListParagraph"/>
        <w:numPr>
          <w:ilvl w:val="0"/>
          <w:numId w:val="2"/>
        </w:numPr>
        <w:spacing w:after="80"/>
      </w:pPr>
      <w:r>
        <w:t>describe how volunteers and peer mentors are used to extend, but never to replace, paid practitioner capacity.</w:t>
      </w:r>
    </w:p>
    <w:p w14:paraId="65538E99" w14:textId="77777777" w:rsidR="00057CE9" w:rsidRDefault="00A006F8">
      <w:pPr>
        <w:spacing w:after="120"/>
      </w:pPr>
      <w:r>
        <w:lastRenderedPageBreak/>
        <w:t>The Provider will record and maintain workforce information (FTE, language skills, role, training compliance) and supply this annually to the Commissioner to support strategic workforce planning.</w:t>
      </w:r>
    </w:p>
    <w:p w14:paraId="65538E9A" w14:textId="35F9E35C" w:rsidR="00057CE9" w:rsidRDefault="00545385">
      <w:pPr>
        <w:pStyle w:val="Heading1"/>
      </w:pPr>
      <w:r>
        <w:t>10</w:t>
      </w:r>
      <w:r w:rsidR="00A006F8">
        <w:t>. Safeguarding, risk and clinical boundaries</w:t>
      </w:r>
    </w:p>
    <w:p w14:paraId="65538E9B" w14:textId="77777777" w:rsidR="00057CE9" w:rsidRDefault="00A006F8">
      <w:pPr>
        <w:spacing w:after="120"/>
      </w:pPr>
      <w:r>
        <w:t>Safeguarding is a fundamental responsibility of the service and will underpin every interaction. The Provider will:</w:t>
      </w:r>
    </w:p>
    <w:p w14:paraId="65538E9C" w14:textId="77777777" w:rsidR="00057CE9" w:rsidRDefault="00A006F8">
      <w:pPr>
        <w:pStyle w:val="ListParagraph"/>
        <w:numPr>
          <w:ilvl w:val="0"/>
          <w:numId w:val="2"/>
        </w:numPr>
        <w:spacing w:after="80"/>
      </w:pPr>
      <w:r>
        <w:t>work within the Wales Safeguarding Procedures and Part 7 of the Social Services and Well-being (Wales) Act 2014;</w:t>
      </w:r>
    </w:p>
    <w:p w14:paraId="65538E9D" w14:textId="77777777" w:rsidR="00057CE9" w:rsidRDefault="00A006F8">
      <w:pPr>
        <w:pStyle w:val="ListParagraph"/>
        <w:numPr>
          <w:ilvl w:val="0"/>
          <w:numId w:val="2"/>
        </w:numPr>
        <w:spacing w:after="80"/>
      </w:pPr>
      <w:r>
        <w:t>ensure all staff and volunteers have the correct level of DBS check for their role and have completed appropriate safeguarding training, evidenced on request;</w:t>
      </w:r>
    </w:p>
    <w:p w14:paraId="65538E9E" w14:textId="77777777" w:rsidR="00057CE9" w:rsidRDefault="00A006F8">
      <w:pPr>
        <w:pStyle w:val="ListParagraph"/>
        <w:numPr>
          <w:ilvl w:val="0"/>
          <w:numId w:val="2"/>
        </w:numPr>
        <w:spacing w:after="80"/>
      </w:pPr>
      <w:r>
        <w:t>operate clear, written escalation pathways to CCBC Adult Social Care, Children's Services, the CRT/SPOA, and emergency mental health services;</w:t>
      </w:r>
    </w:p>
    <w:p w14:paraId="65538E9F" w14:textId="77777777" w:rsidR="00057CE9" w:rsidRDefault="00A006F8">
      <w:pPr>
        <w:pStyle w:val="ListParagraph"/>
        <w:numPr>
          <w:ilvl w:val="0"/>
          <w:numId w:val="2"/>
        </w:numPr>
        <w:spacing w:after="80"/>
      </w:pPr>
      <w:r>
        <w:t>recognise that social prescribing is non-clinical: where a person's needs exceed the scope of social prescribing, the Provider will escalate promptly to a regulated clinical or allied health professional rather than holding informally;</w:t>
      </w:r>
    </w:p>
    <w:p w14:paraId="65538EA0" w14:textId="77777777" w:rsidR="00057CE9" w:rsidRDefault="00A006F8">
      <w:pPr>
        <w:pStyle w:val="ListParagraph"/>
        <w:numPr>
          <w:ilvl w:val="0"/>
          <w:numId w:val="2"/>
        </w:numPr>
        <w:spacing w:after="80"/>
      </w:pPr>
      <w:r>
        <w:t>redirect inappropriate referrals (for example acute mental health crisis or active safeguarding) to the right service, with clear written reasoning to the referrer;</w:t>
      </w:r>
    </w:p>
    <w:p w14:paraId="65538EA1" w14:textId="77777777" w:rsidR="00057CE9" w:rsidRDefault="00A006F8">
      <w:pPr>
        <w:pStyle w:val="ListParagraph"/>
        <w:numPr>
          <w:ilvl w:val="0"/>
          <w:numId w:val="2"/>
        </w:numPr>
        <w:spacing w:after="80"/>
      </w:pPr>
      <w:r>
        <w:t>treat the creation of psychologically and physically safe spaces as a core part of practice, not an optional extra.</w:t>
      </w:r>
    </w:p>
    <w:p w14:paraId="65538EA2" w14:textId="4DFEA68F" w:rsidR="00057CE9" w:rsidRDefault="00A006F8">
      <w:pPr>
        <w:pStyle w:val="Heading1"/>
      </w:pPr>
      <w:r>
        <w:t>1</w:t>
      </w:r>
      <w:r w:rsidR="00545385">
        <w:t>1</w:t>
      </w:r>
      <w:r>
        <w:t>. Equity, inclusion and trauma-informed practice</w:t>
      </w:r>
    </w:p>
    <w:p w14:paraId="65538EA3" w14:textId="77777777" w:rsidR="00057CE9" w:rsidRDefault="00A006F8">
      <w:pPr>
        <w:spacing w:after="120"/>
      </w:pPr>
      <w:r>
        <w:t>In line with Core Standards 2 and 4, the Provider will:</w:t>
      </w:r>
    </w:p>
    <w:p w14:paraId="65538EA4" w14:textId="77777777" w:rsidR="00057CE9" w:rsidRDefault="00A006F8">
      <w:pPr>
        <w:pStyle w:val="ListParagraph"/>
        <w:numPr>
          <w:ilvl w:val="0"/>
          <w:numId w:val="2"/>
        </w:numPr>
        <w:spacing w:after="80"/>
      </w:pPr>
      <w:r>
        <w:t>design and deliver the service in ways that actively reduce inequalities, with particular attention to disabled people, people from minoritised ethnic backgrounds, LGBTQ+ residents, people with sensory impairments, and people whose first language is not English or Welsh;</w:t>
      </w:r>
    </w:p>
    <w:p w14:paraId="65538EA5" w14:textId="77777777" w:rsidR="00057CE9" w:rsidRDefault="00A006F8">
      <w:pPr>
        <w:pStyle w:val="ListParagraph"/>
        <w:numPr>
          <w:ilvl w:val="0"/>
          <w:numId w:val="2"/>
        </w:numPr>
        <w:spacing w:after="80"/>
      </w:pPr>
      <w:r>
        <w:t>ensure the service is accessible by non-digital routes, recognising the level of digital exclusion among older and rural residents in Conwy;</w:t>
      </w:r>
    </w:p>
    <w:p w14:paraId="65538EA6" w14:textId="77777777" w:rsidR="00057CE9" w:rsidRDefault="00A006F8">
      <w:pPr>
        <w:pStyle w:val="ListParagraph"/>
        <w:numPr>
          <w:ilvl w:val="0"/>
          <w:numId w:val="2"/>
        </w:numPr>
        <w:spacing w:after="80"/>
      </w:pPr>
      <w:r>
        <w:t>be actively anti-racist and committed to addressing structural inequalities;</w:t>
      </w:r>
    </w:p>
    <w:p w14:paraId="65538EA7" w14:textId="77777777" w:rsidR="00057CE9" w:rsidRDefault="00A006F8">
      <w:pPr>
        <w:pStyle w:val="ListParagraph"/>
        <w:numPr>
          <w:ilvl w:val="0"/>
          <w:numId w:val="2"/>
        </w:numPr>
        <w:spacing w:after="80"/>
      </w:pPr>
      <w:r>
        <w:t>apply a trauma-informed lens to environments, communications and pacing, drawing on the TrACE Toolkit and reflective practice;</w:t>
      </w:r>
    </w:p>
    <w:p w14:paraId="65538EA8" w14:textId="77777777" w:rsidR="00057CE9" w:rsidRDefault="00A006F8">
      <w:pPr>
        <w:pStyle w:val="ListParagraph"/>
        <w:numPr>
          <w:ilvl w:val="0"/>
          <w:numId w:val="2"/>
        </w:numPr>
        <w:spacing w:after="80"/>
      </w:pPr>
      <w:r>
        <w:t>treat lived experience as expertise: involve people who have used social prescribing in design, review and evaluation, with appropriate compensation and support, as set out in Appendix Two of the Core Standards;</w:t>
      </w:r>
    </w:p>
    <w:p w14:paraId="65538EA9" w14:textId="77777777" w:rsidR="00057CE9" w:rsidRDefault="00A006F8">
      <w:pPr>
        <w:pStyle w:val="ListParagraph"/>
        <w:numPr>
          <w:ilvl w:val="0"/>
          <w:numId w:val="2"/>
        </w:numPr>
        <w:spacing w:after="80"/>
      </w:pPr>
      <w:r>
        <w:t>address common practical barriers to engagement in Conwy: transport cost, mobility, caring responsibilities, scheduling, and stigma.</w:t>
      </w:r>
    </w:p>
    <w:p w14:paraId="65538EAA" w14:textId="65DBE042" w:rsidR="00057CE9" w:rsidRDefault="00A006F8">
      <w:pPr>
        <w:pStyle w:val="Heading1"/>
      </w:pPr>
      <w:r>
        <w:t>1</w:t>
      </w:r>
      <w:r w:rsidR="00545385">
        <w:t>2</w:t>
      </w:r>
      <w:r>
        <w:t>. Data, monitoring and evaluation</w:t>
      </w:r>
    </w:p>
    <w:p w14:paraId="65538EAB" w14:textId="0C716572" w:rsidR="00057CE9" w:rsidRDefault="00A006F8">
      <w:pPr>
        <w:pStyle w:val="Heading2"/>
      </w:pPr>
      <w:r>
        <w:t>1</w:t>
      </w:r>
      <w:r w:rsidR="00545385">
        <w:t>2</w:t>
      </w:r>
      <w:r>
        <w:t>.1 A single, unified case management system</w:t>
      </w:r>
    </w:p>
    <w:p w14:paraId="31C8809C" w14:textId="77777777" w:rsidR="003A7A41" w:rsidRDefault="00A006F8">
      <w:pPr>
        <w:spacing w:after="120"/>
      </w:pPr>
      <w:r>
        <w:t xml:space="preserve">The service will operate a single, unified case management system. </w:t>
      </w:r>
    </w:p>
    <w:p w14:paraId="65538EAC" w14:textId="587C40A3" w:rsidR="00057CE9" w:rsidRDefault="00A006F8">
      <w:pPr>
        <w:spacing w:after="120"/>
      </w:pPr>
      <w:r>
        <w:t>The Provider's tender response will set out:</w:t>
      </w:r>
    </w:p>
    <w:p w14:paraId="65538EAD" w14:textId="77777777" w:rsidR="00057CE9" w:rsidRDefault="00A006F8">
      <w:pPr>
        <w:pStyle w:val="ListParagraph"/>
        <w:numPr>
          <w:ilvl w:val="0"/>
          <w:numId w:val="2"/>
        </w:numPr>
        <w:spacing w:after="80"/>
      </w:pPr>
      <w:r>
        <w:t>the proposed system (whether existing, replaced or new);</w:t>
      </w:r>
    </w:p>
    <w:p w14:paraId="65538EAE" w14:textId="77777777" w:rsidR="00057CE9" w:rsidRDefault="00A006F8">
      <w:pPr>
        <w:pStyle w:val="ListParagraph"/>
        <w:numPr>
          <w:ilvl w:val="0"/>
          <w:numId w:val="2"/>
        </w:numPr>
        <w:spacing w:after="80"/>
      </w:pPr>
      <w:r>
        <w:lastRenderedPageBreak/>
        <w:t>how data from current cases will be migrated cleanly without losing case continuity;</w:t>
      </w:r>
    </w:p>
    <w:p w14:paraId="65538EAF" w14:textId="77777777" w:rsidR="00057CE9" w:rsidRDefault="00A006F8">
      <w:pPr>
        <w:pStyle w:val="ListParagraph"/>
        <w:numPr>
          <w:ilvl w:val="0"/>
          <w:numId w:val="2"/>
        </w:numPr>
        <w:spacing w:after="80"/>
      </w:pPr>
      <w:r>
        <w:t>how the system supports the Welsh Government Core Data Set in full;</w:t>
      </w:r>
    </w:p>
    <w:p w14:paraId="65538EB0" w14:textId="77777777" w:rsidR="00057CE9" w:rsidRDefault="00A006F8">
      <w:pPr>
        <w:pStyle w:val="ListParagraph"/>
        <w:numPr>
          <w:ilvl w:val="0"/>
          <w:numId w:val="2"/>
        </w:numPr>
        <w:spacing w:after="80"/>
      </w:pPr>
      <w:r>
        <w:t>information governance arrangements, including DPIA, retention and information-sharing agreements with Conwy CBC and BCUHB.</w:t>
      </w:r>
    </w:p>
    <w:p w14:paraId="65538EB1" w14:textId="1C61ACC5" w:rsidR="00057CE9" w:rsidRDefault="00A006F8">
      <w:pPr>
        <w:pStyle w:val="Heading2"/>
      </w:pPr>
      <w:r>
        <w:t>1</w:t>
      </w:r>
      <w:r w:rsidR="00545385">
        <w:t>2</w:t>
      </w:r>
      <w:r>
        <w:t>.2 Core Data Set</w:t>
      </w:r>
    </w:p>
    <w:p w14:paraId="734CC81F" w14:textId="24F7FAAB" w:rsidR="000F5E39" w:rsidRPr="000F5E39" w:rsidRDefault="000F5E39">
      <w:pPr>
        <w:pStyle w:val="Heading2"/>
        <w:rPr>
          <w:b w:val="0"/>
          <w:bCs w:val="0"/>
          <w:color w:val="auto"/>
          <w:sz w:val="22"/>
          <w:szCs w:val="22"/>
        </w:rPr>
      </w:pPr>
      <w:r w:rsidRPr="000F5E39">
        <w:rPr>
          <w:b w:val="0"/>
          <w:bCs w:val="0"/>
          <w:color w:val="auto"/>
          <w:sz w:val="22"/>
          <w:szCs w:val="22"/>
        </w:rPr>
        <w:t>The Provider must adopt a consistent approach to outcomes measurement, including the collection of a baseline assessment at the point of entry into the service, followed by short-term follow-up at an appropriate interval (e.g. 3, 4 or 6 months) to demonstrate change. This reflects current best practice in social prescribing evaluation, where outcomes are typically measured over shorter timeframes linked to periods of engagement. The Provider is not expected to routinely evidence long-term outcomes beyond 12 months; however, where feasible, longer-term follow-up should be incorporated to support ongoing learning and service development. The approach to measurement should remain proportionate and person-centred, using validated or locally agreed tools, and aligned to emerging evidence on impact measurement within social prescribing.</w:t>
      </w:r>
    </w:p>
    <w:p w14:paraId="7C2AB4AB" w14:textId="77777777" w:rsidR="000F5E39" w:rsidRDefault="000F5E39">
      <w:pPr>
        <w:pStyle w:val="Heading2"/>
      </w:pPr>
    </w:p>
    <w:p w14:paraId="65538EB2" w14:textId="5D473AED" w:rsidR="00057CE9" w:rsidRDefault="00A006F8">
      <w:pPr>
        <w:spacing w:after="120"/>
      </w:pPr>
      <w:r>
        <w:t>The Provider will collect the Welsh Government Core Data Set in full. Performance reporting will be aligned to the Outcome-Based Accountability (OBA / RBA) framework and will report against the following at minimum, in line with the recommended measures in the Core Standards</w:t>
      </w:r>
      <w:r w:rsidR="00BE76E1">
        <w:t>, and aligned with our service aims</w:t>
      </w:r>
      <w:r>
        <w:t>:</w:t>
      </w:r>
    </w:p>
    <w:p w14:paraId="65538EB3" w14:textId="77777777" w:rsidR="00057CE9" w:rsidRDefault="00057CE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5108"/>
        <w:gridCol w:w="1852"/>
      </w:tblGrid>
      <w:tr w:rsidR="00057CE9" w14:paraId="65538EB7" w14:textId="77777777" w:rsidTr="00E54660">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5538EB4" w14:textId="77777777" w:rsidR="00057CE9" w:rsidRDefault="00A006F8">
            <w:pPr>
              <w:spacing w:after="60"/>
            </w:pPr>
            <w:r>
              <w:rPr>
                <w:b/>
                <w:bCs/>
                <w:color w:val="FFFFFF"/>
              </w:rPr>
              <w:t>OBA question</w:t>
            </w:r>
          </w:p>
        </w:tc>
        <w:tc>
          <w:tcPr>
            <w:tcW w:w="5108"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5538EB5" w14:textId="77777777" w:rsidR="00057CE9" w:rsidRDefault="00A006F8">
            <w:pPr>
              <w:spacing w:after="60"/>
            </w:pPr>
            <w:r>
              <w:rPr>
                <w:b/>
                <w:bCs/>
                <w:color w:val="FFFFFF"/>
              </w:rPr>
              <w:t>Measures</w:t>
            </w:r>
          </w:p>
        </w:tc>
        <w:tc>
          <w:tcPr>
            <w:tcW w:w="1852"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5538EB6" w14:textId="77777777" w:rsidR="00057CE9" w:rsidRDefault="00A006F8">
            <w:pPr>
              <w:spacing w:after="60"/>
            </w:pPr>
            <w:r>
              <w:rPr>
                <w:b/>
                <w:bCs/>
                <w:color w:val="FFFFFF"/>
              </w:rPr>
              <w:t>Source</w:t>
            </w:r>
          </w:p>
        </w:tc>
      </w:tr>
      <w:tr w:rsidR="00057CE9" w14:paraId="65538EBB" w14:textId="77777777" w:rsidTr="00E54660">
        <w:tc>
          <w:tcPr>
            <w:tcW w:w="2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B8" w14:textId="77777777" w:rsidR="00057CE9" w:rsidRDefault="00A006F8">
            <w:pPr>
              <w:spacing w:after="60"/>
            </w:pPr>
            <w:r>
              <w:t>How much did we do?</w:t>
            </w:r>
          </w:p>
        </w:tc>
        <w:tc>
          <w:tcPr>
            <w:tcW w:w="510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FE4E12C" w14:textId="4F885F1F" w:rsidR="009D7C52" w:rsidRDefault="00E54660" w:rsidP="001F0C98">
            <w:pPr>
              <w:pStyle w:val="ListParagraph"/>
              <w:numPr>
                <w:ilvl w:val="0"/>
                <w:numId w:val="9"/>
              </w:numPr>
              <w:spacing w:after="60"/>
            </w:pPr>
            <w:r>
              <w:t xml:space="preserve">Number </w:t>
            </w:r>
            <w:r w:rsidR="005D4960">
              <w:t xml:space="preserve">and source </w:t>
            </w:r>
            <w:r>
              <w:t>of referrals received</w:t>
            </w:r>
            <w:r w:rsidR="00D806C5">
              <w:t>, and d</w:t>
            </w:r>
            <w:r w:rsidR="009D7C52">
              <w:t>emographic data</w:t>
            </w:r>
            <w:r w:rsidR="00D806C5">
              <w:t xml:space="preserve"> (including data relating to inequalities / priority cohorts)</w:t>
            </w:r>
          </w:p>
          <w:p w14:paraId="5FB87D5A" w14:textId="544349C6" w:rsidR="00E54660" w:rsidRDefault="00E54660" w:rsidP="001F0C98">
            <w:pPr>
              <w:pStyle w:val="ListParagraph"/>
              <w:numPr>
                <w:ilvl w:val="0"/>
                <w:numId w:val="9"/>
              </w:numPr>
              <w:spacing w:after="60"/>
            </w:pPr>
            <w:r>
              <w:t>Number of individuals receiving a “what matters” conversation</w:t>
            </w:r>
            <w:r w:rsidR="00BC5B9B">
              <w:t xml:space="preserve">, </w:t>
            </w:r>
            <w:r w:rsidR="00C04AC6" w:rsidRPr="00C04AC6">
              <w:t xml:space="preserve">by </w:t>
            </w:r>
            <w:r w:rsidR="00C04AC6">
              <w:t xml:space="preserve">identified </w:t>
            </w:r>
            <w:r w:rsidR="00C04AC6" w:rsidRPr="00C04AC6">
              <w:t>primary wellbeing need</w:t>
            </w:r>
            <w:r w:rsidR="00C04AC6">
              <w:t>.</w:t>
            </w:r>
          </w:p>
          <w:p w14:paraId="43ADBDE3" w14:textId="77777777" w:rsidR="00E54660" w:rsidRDefault="00E54660" w:rsidP="001F0C98">
            <w:pPr>
              <w:pStyle w:val="ListParagraph"/>
              <w:numPr>
                <w:ilvl w:val="0"/>
                <w:numId w:val="9"/>
              </w:numPr>
              <w:spacing w:after="60"/>
            </w:pPr>
            <w:r>
              <w:t>Number of contacts per individual (average and range)</w:t>
            </w:r>
          </w:p>
          <w:p w14:paraId="3EDC3CE8" w14:textId="1D164B86" w:rsidR="001F0C98" w:rsidRDefault="001F0C98" w:rsidP="001F0C98">
            <w:pPr>
              <w:pStyle w:val="ListParagraph"/>
              <w:numPr>
                <w:ilvl w:val="0"/>
                <w:numId w:val="9"/>
              </w:numPr>
              <w:spacing w:after="60"/>
            </w:pPr>
            <w:r w:rsidRPr="003A7A41">
              <w:t>Breakdown of contact type (including Welsh language provision where applicable)</w:t>
            </w:r>
          </w:p>
          <w:p w14:paraId="7B5A7F49" w14:textId="2D4666B0" w:rsidR="00E54660" w:rsidRDefault="00E54660" w:rsidP="001F0C98">
            <w:pPr>
              <w:pStyle w:val="ListParagraph"/>
              <w:numPr>
                <w:ilvl w:val="0"/>
                <w:numId w:val="9"/>
              </w:numPr>
              <w:spacing w:after="60"/>
            </w:pPr>
            <w:r>
              <w:t>Number of onward referrals to community assets and services</w:t>
            </w:r>
          </w:p>
          <w:p w14:paraId="7CB5CB5C" w14:textId="3A46A749" w:rsidR="00E54660" w:rsidRDefault="00E54660" w:rsidP="001F0C98">
            <w:pPr>
              <w:pStyle w:val="ListParagraph"/>
              <w:numPr>
                <w:ilvl w:val="0"/>
                <w:numId w:val="9"/>
              </w:numPr>
              <w:spacing w:after="60"/>
            </w:pPr>
            <w:r>
              <w:t xml:space="preserve">Number of community assets </w:t>
            </w:r>
            <w:r w:rsidR="00E73F8B">
              <w:t xml:space="preserve">and services </w:t>
            </w:r>
            <w:r>
              <w:t>engaged with</w:t>
            </w:r>
          </w:p>
          <w:p w14:paraId="72BEFBE1" w14:textId="77777777" w:rsidR="003A7A41" w:rsidRDefault="003A7A41" w:rsidP="001F0C98">
            <w:pPr>
              <w:pStyle w:val="ListParagraph"/>
              <w:numPr>
                <w:ilvl w:val="0"/>
                <w:numId w:val="9"/>
              </w:numPr>
              <w:spacing w:after="60"/>
            </w:pPr>
            <w:r w:rsidRPr="003A7A41">
              <w:t>Evidence of safeguarding processes (e.g. number of safeguarding concerns identified and appropriately managed)</w:t>
            </w:r>
          </w:p>
          <w:p w14:paraId="591208E3" w14:textId="77777777" w:rsidR="003A7A41" w:rsidRDefault="003A7A41" w:rsidP="001F0C98">
            <w:pPr>
              <w:pStyle w:val="ListParagraph"/>
              <w:numPr>
                <w:ilvl w:val="0"/>
                <w:numId w:val="9"/>
              </w:numPr>
              <w:spacing w:after="60"/>
            </w:pPr>
            <w:r w:rsidRPr="003A7A41">
              <w:t>DNA / disengagement rates by cohort</w:t>
            </w:r>
          </w:p>
          <w:p w14:paraId="44D0B601" w14:textId="734F70FF" w:rsidR="001F0C98" w:rsidRPr="003A7A41" w:rsidRDefault="001F0C98" w:rsidP="001F0C98">
            <w:pPr>
              <w:pStyle w:val="ListParagraph"/>
              <w:numPr>
                <w:ilvl w:val="0"/>
                <w:numId w:val="9"/>
              </w:numPr>
              <w:spacing w:after="60"/>
            </w:pPr>
            <w:r w:rsidRPr="003A7A41">
              <w:t>Percentage of individuals</w:t>
            </w:r>
            <w:r>
              <w:t xml:space="preserve"> </w:t>
            </w:r>
            <w:r w:rsidRPr="003A7A41">
              <w:t>receiving support in Welsh</w:t>
            </w:r>
          </w:p>
          <w:p w14:paraId="65538EB9" w14:textId="33CD229F" w:rsidR="00E54660" w:rsidRDefault="00E54660" w:rsidP="00E54660">
            <w:pPr>
              <w:spacing w:after="60"/>
            </w:pPr>
          </w:p>
        </w:tc>
        <w:tc>
          <w:tcPr>
            <w:tcW w:w="185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BA" w14:textId="77777777" w:rsidR="00057CE9" w:rsidRDefault="00A006F8">
            <w:pPr>
              <w:spacing w:after="60"/>
            </w:pPr>
            <w:r>
              <w:t>Case management system; referral form; quarterly returns.</w:t>
            </w:r>
          </w:p>
        </w:tc>
      </w:tr>
      <w:tr w:rsidR="00057CE9" w14:paraId="65538EBF" w14:textId="77777777" w:rsidTr="00E54660">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BC" w14:textId="77777777" w:rsidR="00057CE9" w:rsidRDefault="00A006F8">
            <w:pPr>
              <w:spacing w:after="60"/>
            </w:pPr>
            <w:r>
              <w:lastRenderedPageBreak/>
              <w:t>How well did we do it?</w:t>
            </w:r>
          </w:p>
        </w:tc>
        <w:tc>
          <w:tcPr>
            <w:tcW w:w="510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ADD5558" w14:textId="77777777" w:rsidR="003A7A41" w:rsidRPr="003A7A41" w:rsidRDefault="003A7A41" w:rsidP="003A7A41">
            <w:pPr>
              <w:pStyle w:val="ListParagraph"/>
              <w:numPr>
                <w:ilvl w:val="0"/>
                <w:numId w:val="10"/>
              </w:numPr>
              <w:spacing w:after="60"/>
            </w:pPr>
            <w:r w:rsidRPr="003A7A41">
              <w:t>Percentage of individuals with recorded “what matters” outcomes (not just plans)</w:t>
            </w:r>
          </w:p>
          <w:p w14:paraId="78977985" w14:textId="77777777" w:rsidR="00E54660" w:rsidRDefault="00E54660" w:rsidP="00E54660">
            <w:pPr>
              <w:pStyle w:val="ListParagraph"/>
              <w:numPr>
                <w:ilvl w:val="0"/>
                <w:numId w:val="10"/>
              </w:numPr>
              <w:spacing w:after="60"/>
            </w:pPr>
            <w:r>
              <w:t>Percentage of individuals receiving a co-produced, personalised plan</w:t>
            </w:r>
          </w:p>
          <w:p w14:paraId="661DD1FC" w14:textId="77777777" w:rsidR="00E54660" w:rsidRDefault="00E54660" w:rsidP="00E54660">
            <w:pPr>
              <w:pStyle w:val="ListParagraph"/>
              <w:numPr>
                <w:ilvl w:val="0"/>
                <w:numId w:val="10"/>
              </w:numPr>
              <w:spacing w:after="60"/>
            </w:pPr>
            <w:r>
              <w:t>Percentage of individuals seen within an agreed timeframe (e.g. referral to first contact)</w:t>
            </w:r>
          </w:p>
          <w:p w14:paraId="210D9554" w14:textId="77777777" w:rsidR="00E54660" w:rsidRDefault="00E54660" w:rsidP="00E54660">
            <w:pPr>
              <w:pStyle w:val="ListParagraph"/>
              <w:numPr>
                <w:ilvl w:val="0"/>
                <w:numId w:val="10"/>
              </w:numPr>
              <w:spacing w:after="60"/>
            </w:pPr>
            <w:r>
              <w:t>Percentage of individuals reporting a positive experience of the service</w:t>
            </w:r>
          </w:p>
          <w:p w14:paraId="212676C2" w14:textId="77777777" w:rsidR="00E54660" w:rsidRDefault="00E54660" w:rsidP="00E54660">
            <w:pPr>
              <w:pStyle w:val="ListParagraph"/>
              <w:numPr>
                <w:ilvl w:val="0"/>
                <w:numId w:val="10"/>
              </w:numPr>
              <w:spacing w:after="60"/>
            </w:pPr>
            <w:r>
              <w:t>Percentage of individuals reporting they felt involved in decisions about their support</w:t>
            </w:r>
          </w:p>
          <w:p w14:paraId="5BA6AFA4" w14:textId="77777777" w:rsidR="00E54660" w:rsidRDefault="00E54660" w:rsidP="00E54660">
            <w:pPr>
              <w:pStyle w:val="ListParagraph"/>
              <w:numPr>
                <w:ilvl w:val="0"/>
                <w:numId w:val="10"/>
              </w:numPr>
              <w:spacing w:after="60"/>
            </w:pPr>
            <w:r>
              <w:t>Percentage of individuals who successfully engage with a community asset following referral</w:t>
            </w:r>
          </w:p>
          <w:p w14:paraId="24AD0524" w14:textId="77777777" w:rsidR="00E54660" w:rsidRDefault="00E54660" w:rsidP="00E54660">
            <w:pPr>
              <w:pStyle w:val="ListParagraph"/>
              <w:numPr>
                <w:ilvl w:val="0"/>
                <w:numId w:val="10"/>
              </w:numPr>
              <w:spacing w:after="60"/>
            </w:pPr>
            <w:r>
              <w:t>Evidence of partnership working with key stakeholders (e.g. Family Centres, community organisations)</w:t>
            </w:r>
          </w:p>
          <w:p w14:paraId="75C65A44" w14:textId="77777777" w:rsidR="00E54660" w:rsidRDefault="00E54660" w:rsidP="00E54660">
            <w:pPr>
              <w:pStyle w:val="ListParagraph"/>
              <w:numPr>
                <w:ilvl w:val="0"/>
                <w:numId w:val="10"/>
              </w:numPr>
              <w:spacing w:after="60"/>
            </w:pPr>
            <w:r>
              <w:t>Evidence of outreach and engagement with underserved groups</w:t>
            </w:r>
          </w:p>
          <w:p w14:paraId="65538EBD" w14:textId="1CAAF266" w:rsidR="003A7A41" w:rsidRDefault="003A7A41" w:rsidP="001F0C98">
            <w:pPr>
              <w:pStyle w:val="ListParagraph"/>
              <w:spacing w:after="60"/>
              <w:ind w:left="720"/>
            </w:pPr>
          </w:p>
        </w:tc>
        <w:tc>
          <w:tcPr>
            <w:tcW w:w="1852"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538EBE" w14:textId="77777777" w:rsidR="00057CE9" w:rsidRDefault="00A006F8">
            <w:pPr>
              <w:spacing w:after="60"/>
            </w:pPr>
            <w:r>
              <w:t>Pre/post assessment; exit feedback; case notes.</w:t>
            </w:r>
          </w:p>
        </w:tc>
      </w:tr>
      <w:tr w:rsidR="00057CE9" w14:paraId="65538EC3" w14:textId="77777777" w:rsidTr="00E54660">
        <w:tc>
          <w:tcPr>
            <w:tcW w:w="2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C0" w14:textId="77777777" w:rsidR="00057CE9" w:rsidRDefault="00A006F8">
            <w:pPr>
              <w:spacing w:after="60"/>
            </w:pPr>
            <w:r>
              <w:t>Is anyone better off?</w:t>
            </w:r>
          </w:p>
        </w:tc>
        <w:tc>
          <w:tcPr>
            <w:tcW w:w="510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16AB864" w14:textId="77777777" w:rsidR="00235A4D" w:rsidRDefault="00235A4D" w:rsidP="00235A4D">
            <w:pPr>
              <w:pStyle w:val="ListParagraph"/>
              <w:numPr>
                <w:ilvl w:val="0"/>
                <w:numId w:val="11"/>
              </w:numPr>
              <w:spacing w:after="60"/>
            </w:pPr>
            <w:r>
              <w:t>Percentage of individuals reporting reduced loneliness or social isolation</w:t>
            </w:r>
          </w:p>
          <w:p w14:paraId="16309452" w14:textId="77777777" w:rsidR="00235A4D" w:rsidRDefault="00235A4D" w:rsidP="00235A4D">
            <w:pPr>
              <w:pStyle w:val="ListParagraph"/>
              <w:numPr>
                <w:ilvl w:val="0"/>
                <w:numId w:val="11"/>
              </w:numPr>
              <w:spacing w:after="60"/>
            </w:pPr>
            <w:r>
              <w:t>Percentage of individuals reporting improved social connections or support networks</w:t>
            </w:r>
          </w:p>
          <w:p w14:paraId="60B6C5E9" w14:textId="77777777" w:rsidR="00235A4D" w:rsidRDefault="00235A4D" w:rsidP="00235A4D">
            <w:pPr>
              <w:pStyle w:val="ListParagraph"/>
              <w:numPr>
                <w:ilvl w:val="0"/>
                <w:numId w:val="11"/>
              </w:numPr>
              <w:spacing w:after="60"/>
            </w:pPr>
            <w:r>
              <w:t>Percentage of individuals reporting improved mental wellbeing</w:t>
            </w:r>
          </w:p>
          <w:p w14:paraId="5ED3575B" w14:textId="77777777" w:rsidR="00235A4D" w:rsidRDefault="00235A4D" w:rsidP="00235A4D">
            <w:pPr>
              <w:pStyle w:val="ListParagraph"/>
              <w:numPr>
                <w:ilvl w:val="0"/>
                <w:numId w:val="11"/>
              </w:numPr>
              <w:spacing w:after="60"/>
            </w:pPr>
            <w:r>
              <w:t>Percentage of individuals reporting improved physical wellbeing or activity levels</w:t>
            </w:r>
          </w:p>
          <w:p w14:paraId="6CCB247C" w14:textId="77777777" w:rsidR="00235A4D" w:rsidRDefault="00235A4D" w:rsidP="00235A4D">
            <w:pPr>
              <w:pStyle w:val="ListParagraph"/>
              <w:numPr>
                <w:ilvl w:val="0"/>
                <w:numId w:val="11"/>
              </w:numPr>
              <w:spacing w:after="60"/>
            </w:pPr>
            <w:r>
              <w:t>Percentage of individuals achieving their personal goals or outcomes</w:t>
            </w:r>
          </w:p>
          <w:p w14:paraId="48438E80" w14:textId="77777777" w:rsidR="00235A4D" w:rsidRDefault="00235A4D" w:rsidP="00235A4D">
            <w:pPr>
              <w:pStyle w:val="ListParagraph"/>
              <w:numPr>
                <w:ilvl w:val="0"/>
                <w:numId w:val="11"/>
              </w:numPr>
              <w:spacing w:after="60"/>
            </w:pPr>
            <w:r>
              <w:t>Percentage of individuals sustaining engagement with community assets over an agreed period</w:t>
            </w:r>
          </w:p>
          <w:p w14:paraId="65538EC1" w14:textId="62BE9C3D" w:rsidR="00235A4D" w:rsidRDefault="00235A4D" w:rsidP="00235A4D">
            <w:pPr>
              <w:pStyle w:val="ListParagraph"/>
              <w:numPr>
                <w:ilvl w:val="0"/>
                <w:numId w:val="11"/>
              </w:numPr>
              <w:spacing w:after="60"/>
            </w:pPr>
            <w:r>
              <w:t>Percentage of individuals reporting improved access to support or reduced barriers</w:t>
            </w:r>
          </w:p>
        </w:tc>
        <w:tc>
          <w:tcPr>
            <w:tcW w:w="185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538EC2" w14:textId="77777777" w:rsidR="00057CE9" w:rsidRDefault="00A006F8">
            <w:pPr>
              <w:spacing w:after="60"/>
            </w:pPr>
            <w:r>
              <w:t>Validated tools; case studies; multimedia where possible.</w:t>
            </w:r>
          </w:p>
        </w:tc>
      </w:tr>
    </w:tbl>
    <w:p w14:paraId="65538EC4" w14:textId="77777777" w:rsidR="00057CE9" w:rsidRDefault="00057CE9"/>
    <w:p w14:paraId="65538EC5" w14:textId="64E11EE4" w:rsidR="00057CE9" w:rsidRDefault="00A006F8">
      <w:pPr>
        <w:spacing w:after="120"/>
      </w:pPr>
      <w:r>
        <w:t xml:space="preserve">The validated tools used </w:t>
      </w:r>
      <w:r w:rsidR="00E55E0F">
        <w:t>could</w:t>
      </w:r>
      <w:r>
        <w:t xml:space="preserve"> include, as a minimum:</w:t>
      </w:r>
    </w:p>
    <w:p w14:paraId="65538EC6" w14:textId="5B3FF8AE" w:rsidR="00057CE9" w:rsidRDefault="00A006F8">
      <w:pPr>
        <w:pStyle w:val="ListParagraph"/>
        <w:numPr>
          <w:ilvl w:val="0"/>
          <w:numId w:val="2"/>
        </w:numPr>
        <w:spacing w:after="80"/>
      </w:pPr>
      <w:r>
        <w:t xml:space="preserve">SWEMWBS (Short Warwick-Edinburgh Mental Wellbeing Scale) at intake, exit and (for </w:t>
      </w:r>
      <w:r w:rsidR="005D4C92">
        <w:t>more complex cases requiring longer support</w:t>
      </w:r>
      <w:r>
        <w:t>) midpoint;</w:t>
      </w:r>
    </w:p>
    <w:p w14:paraId="65538EC7" w14:textId="77777777" w:rsidR="00057CE9" w:rsidRDefault="00A006F8">
      <w:pPr>
        <w:pStyle w:val="ListParagraph"/>
        <w:numPr>
          <w:ilvl w:val="0"/>
          <w:numId w:val="2"/>
        </w:numPr>
        <w:spacing w:after="80"/>
      </w:pPr>
      <w:r>
        <w:t>ONS-4 wellbeing measures (life satisfaction, worthwhile, happiness, anxiety) at intake and exit;</w:t>
      </w:r>
    </w:p>
    <w:p w14:paraId="65538EC8" w14:textId="77777777" w:rsidR="00057CE9" w:rsidRDefault="00A006F8">
      <w:pPr>
        <w:pStyle w:val="ListParagraph"/>
        <w:numPr>
          <w:ilvl w:val="0"/>
          <w:numId w:val="2"/>
        </w:numPr>
        <w:spacing w:after="80"/>
      </w:pPr>
      <w:r>
        <w:lastRenderedPageBreak/>
        <w:t>a brief loneliness measure (e.g. UCLA-3 or De Jong Gierveld 6-item) at intake and exit;</w:t>
      </w:r>
    </w:p>
    <w:p w14:paraId="1EC848C6" w14:textId="31BB15BA" w:rsidR="00E54660" w:rsidRDefault="00A006F8" w:rsidP="00E54660">
      <w:pPr>
        <w:pStyle w:val="ListParagraph"/>
        <w:numPr>
          <w:ilvl w:val="0"/>
          <w:numId w:val="2"/>
        </w:numPr>
        <w:spacing w:after="80"/>
      </w:pPr>
      <w:r>
        <w:t>Patient Activation Measure (PAM) where appropriate for people managing long-term conditions.</w:t>
      </w:r>
    </w:p>
    <w:p w14:paraId="17651353" w14:textId="37D89992" w:rsidR="00BE76E1" w:rsidRDefault="00BE76E1" w:rsidP="00E54660">
      <w:pPr>
        <w:pStyle w:val="ListParagraph"/>
        <w:numPr>
          <w:ilvl w:val="0"/>
          <w:numId w:val="2"/>
        </w:numPr>
        <w:spacing w:after="80"/>
      </w:pPr>
      <w:r>
        <w:t>PERCCI tool, or similar.</w:t>
      </w:r>
    </w:p>
    <w:p w14:paraId="2D728455" w14:textId="77777777" w:rsidR="00E54660" w:rsidRDefault="00E54660" w:rsidP="00E54660">
      <w:pPr>
        <w:spacing w:after="80"/>
      </w:pPr>
    </w:p>
    <w:p w14:paraId="65538ECA" w14:textId="59363CB2" w:rsidR="00057CE9" w:rsidRDefault="00A006F8">
      <w:pPr>
        <w:pStyle w:val="Heading2"/>
      </w:pPr>
      <w:r>
        <w:t>1</w:t>
      </w:r>
      <w:r w:rsidR="00545385">
        <w:t>2</w:t>
      </w:r>
      <w:r>
        <w:t>.3 Qualitative evidence and lived experience</w:t>
      </w:r>
    </w:p>
    <w:p w14:paraId="65538ECB" w14:textId="77777777" w:rsidR="00057CE9" w:rsidRDefault="00A006F8">
      <w:pPr>
        <w:spacing w:after="120"/>
      </w:pPr>
      <w:r>
        <w:t>Quantitative measures alone will not be sufficient. Each quarter the Provider will share at least one detailed case study (with consent), and at least once a year will provide multimedia case-study evidence (short film, podcast, infographic) reflecting all three perspectives — the person, the practitioner and the community asset — drawn explicitly from priority cohorts.</w:t>
      </w:r>
    </w:p>
    <w:p w14:paraId="65538ECC" w14:textId="5B8AC3BA" w:rsidR="00057CE9" w:rsidRDefault="00A006F8">
      <w:pPr>
        <w:pStyle w:val="Heading2"/>
      </w:pPr>
      <w:r>
        <w:t>1</w:t>
      </w:r>
      <w:r w:rsidR="00545385">
        <w:t>2</w:t>
      </w:r>
      <w:r>
        <w:t>.4 Reporting cycle</w:t>
      </w:r>
    </w:p>
    <w:p w14:paraId="65538ECD" w14:textId="77777777" w:rsidR="00057CE9" w:rsidRDefault="00A006F8">
      <w:pPr>
        <w:spacing w:after="120"/>
      </w:pPr>
      <w:r>
        <w:t>Standard reporting will comprise:</w:t>
      </w:r>
    </w:p>
    <w:p w14:paraId="65538ECE" w14:textId="35C3BF03" w:rsidR="00057CE9" w:rsidRDefault="00A006F8">
      <w:pPr>
        <w:pStyle w:val="ListParagraph"/>
        <w:numPr>
          <w:ilvl w:val="0"/>
          <w:numId w:val="2"/>
        </w:numPr>
        <w:spacing w:after="80"/>
      </w:pPr>
      <w:r>
        <w:t>monthly: high-level activity dashboard (referrals received, accepted, by source and geography; open caseload);</w:t>
      </w:r>
    </w:p>
    <w:p w14:paraId="65538ECF" w14:textId="77777777" w:rsidR="00057CE9" w:rsidRDefault="00A006F8">
      <w:pPr>
        <w:pStyle w:val="ListParagraph"/>
        <w:numPr>
          <w:ilvl w:val="0"/>
          <w:numId w:val="2"/>
        </w:numPr>
        <w:spacing w:after="80"/>
      </w:pPr>
      <w:r>
        <w:t>quarterly: full RBA report with narrative, case studies, demographic breakdown, gaps identified, and risks;</w:t>
      </w:r>
    </w:p>
    <w:p w14:paraId="65538ED0" w14:textId="77777777" w:rsidR="00057CE9" w:rsidRDefault="00A006F8">
      <w:pPr>
        <w:pStyle w:val="ListParagraph"/>
        <w:numPr>
          <w:ilvl w:val="0"/>
          <w:numId w:val="2"/>
        </w:numPr>
        <w:spacing w:after="80"/>
      </w:pPr>
      <w:r>
        <w:t>annually: comprehensive evaluation report including outcome data, lived-experience involvement, contribution to local strategic priorities, and a forward look.</w:t>
      </w:r>
    </w:p>
    <w:p w14:paraId="020D1D92" w14:textId="77777777" w:rsidR="0065232E" w:rsidRDefault="0065232E" w:rsidP="0065232E">
      <w:pPr>
        <w:spacing w:after="80"/>
      </w:pPr>
    </w:p>
    <w:p w14:paraId="07F97621" w14:textId="1AD45495" w:rsidR="0065232E" w:rsidRDefault="0065232E" w:rsidP="0065232E">
      <w:pPr>
        <w:spacing w:after="80"/>
      </w:pPr>
      <w:r>
        <w:t>The Provider must also operate a proactive and responsive approach to performance reporting, ensuring that the Commissioner is informed in a timely manner of any emerging issues that may impact service delivery, quality or outcomes. This includes, but is not limited to:</w:t>
      </w:r>
    </w:p>
    <w:p w14:paraId="08357FB9" w14:textId="77777777" w:rsidR="0065232E" w:rsidRDefault="0065232E" w:rsidP="0065232E">
      <w:pPr>
        <w:pStyle w:val="ListParagraph"/>
        <w:numPr>
          <w:ilvl w:val="0"/>
          <w:numId w:val="12"/>
        </w:numPr>
        <w:spacing w:after="80"/>
      </w:pPr>
      <w:r>
        <w:t>Identified gaps in service provision or community capacity (e.g. lack of available interventions in specific localities or for particular cohorts)</w:t>
      </w:r>
    </w:p>
    <w:p w14:paraId="0771845F" w14:textId="77777777" w:rsidR="0065232E" w:rsidRDefault="0065232E" w:rsidP="0065232E">
      <w:pPr>
        <w:pStyle w:val="ListParagraph"/>
        <w:numPr>
          <w:ilvl w:val="0"/>
          <w:numId w:val="12"/>
        </w:numPr>
        <w:spacing w:after="80"/>
      </w:pPr>
      <w:r>
        <w:t>Risks relating to quality, safety, or effectiveness of delivery</w:t>
      </w:r>
    </w:p>
    <w:p w14:paraId="28EFF1C7" w14:textId="77777777" w:rsidR="0065232E" w:rsidRDefault="0065232E" w:rsidP="0065232E">
      <w:pPr>
        <w:pStyle w:val="ListParagraph"/>
        <w:numPr>
          <w:ilvl w:val="0"/>
          <w:numId w:val="12"/>
        </w:numPr>
        <w:spacing w:after="80"/>
      </w:pPr>
      <w:r>
        <w:t>Significant changes in demand, referrals or caseload pressures</w:t>
      </w:r>
    </w:p>
    <w:p w14:paraId="181B1ACA" w14:textId="77777777" w:rsidR="0065232E" w:rsidRDefault="0065232E" w:rsidP="0065232E">
      <w:pPr>
        <w:pStyle w:val="ListParagraph"/>
        <w:numPr>
          <w:ilvl w:val="0"/>
          <w:numId w:val="12"/>
        </w:numPr>
        <w:spacing w:after="80"/>
      </w:pPr>
      <w:r>
        <w:t>Barriers affecting access, engagement or equity of provision</w:t>
      </w:r>
    </w:p>
    <w:p w14:paraId="62DF7366" w14:textId="77777777" w:rsidR="0065232E" w:rsidRDefault="0065232E" w:rsidP="0065232E">
      <w:pPr>
        <w:spacing w:after="80"/>
      </w:pPr>
    </w:p>
    <w:p w14:paraId="34BBB5C5" w14:textId="315AFCDA" w:rsidR="0065232E" w:rsidRDefault="0065232E" w:rsidP="0065232E">
      <w:pPr>
        <w:spacing w:after="80"/>
      </w:pPr>
      <w:r>
        <w:t>Such issues should be raised as they arise, rather than being deferred to scheduled reporting cycles or review meetings. The Provider must demonstrate clear escalation processes and open communication with the Commissioner to support timely resolution, continuous improvement and system-wide responsiveness.</w:t>
      </w:r>
    </w:p>
    <w:p w14:paraId="65538ED1" w14:textId="32066093" w:rsidR="00057CE9" w:rsidRDefault="00A006F8">
      <w:pPr>
        <w:pStyle w:val="Heading2"/>
      </w:pPr>
      <w:r>
        <w:t>1</w:t>
      </w:r>
      <w:r w:rsidR="00545385">
        <w:t>2</w:t>
      </w:r>
      <w:r>
        <w:t>.5 Lived experience advisory panel</w:t>
      </w:r>
    </w:p>
    <w:p w14:paraId="65538EDF" w14:textId="6E5123B2" w:rsidR="00057CE9" w:rsidRDefault="00A006F8" w:rsidP="00545385">
      <w:pPr>
        <w:spacing w:after="120"/>
      </w:pPr>
      <w:r>
        <w:t>By the end of Year 1 the Provider will have established (or joined) a Lived Experience Advisory Panel feeding into service review and design. This will be appropriately compensated, accessible and trauma-informed, in line with Appendix Two of the Core Standards.</w:t>
      </w:r>
    </w:p>
    <w:p w14:paraId="65538EF8" w14:textId="77777777" w:rsidR="00057CE9" w:rsidRDefault="00A006F8">
      <w:pPr>
        <w:pStyle w:val="Heading1"/>
      </w:pPr>
      <w:r>
        <w:t>13. Quality assurance and governance</w:t>
      </w:r>
    </w:p>
    <w:p w14:paraId="65538EF9" w14:textId="77777777" w:rsidR="00057CE9" w:rsidRDefault="00A006F8">
      <w:pPr>
        <w:pStyle w:val="ListParagraph"/>
        <w:numPr>
          <w:ilvl w:val="0"/>
          <w:numId w:val="2"/>
        </w:numPr>
        <w:spacing w:after="80"/>
      </w:pPr>
      <w:r>
        <w:t>A named senior representative within the Provider will hold service governance accountability and attend quarterly contract review meetings with the Commissioner.</w:t>
      </w:r>
    </w:p>
    <w:p w14:paraId="65538EFA" w14:textId="77777777" w:rsidR="00057CE9" w:rsidRDefault="00A006F8">
      <w:pPr>
        <w:pStyle w:val="ListParagraph"/>
        <w:numPr>
          <w:ilvl w:val="0"/>
          <w:numId w:val="2"/>
        </w:numPr>
        <w:spacing w:after="80"/>
      </w:pPr>
      <w:r>
        <w:lastRenderedPageBreak/>
        <w:t>The Provider will participate in the North Wales Social Prescribing Community of Practice and the Public Service Lab events.</w:t>
      </w:r>
    </w:p>
    <w:p w14:paraId="65538EFB" w14:textId="77777777" w:rsidR="00057CE9" w:rsidRDefault="00A006F8">
      <w:pPr>
        <w:pStyle w:val="ListParagraph"/>
        <w:numPr>
          <w:ilvl w:val="0"/>
          <w:numId w:val="2"/>
        </w:numPr>
        <w:spacing w:after="80"/>
      </w:pPr>
      <w:r>
        <w:t>The Provider will undertake an annual service-user satisfaction survey, the methodology and questions for which will be agreed with the Commissioner.</w:t>
      </w:r>
    </w:p>
    <w:p w14:paraId="65538EFC" w14:textId="6A883871" w:rsidR="00057CE9" w:rsidRDefault="00A006F8">
      <w:pPr>
        <w:pStyle w:val="ListParagraph"/>
        <w:numPr>
          <w:ilvl w:val="0"/>
          <w:numId w:val="2"/>
        </w:numPr>
        <w:spacing w:after="80"/>
      </w:pPr>
      <w:r>
        <w:t>The Provider will operate a written complaints procedure with an escalation route to the Commissioner.</w:t>
      </w:r>
    </w:p>
    <w:p w14:paraId="65538EFD" w14:textId="06EA3EF1" w:rsidR="00057CE9" w:rsidRDefault="00A006F8">
      <w:pPr>
        <w:pStyle w:val="ListParagraph"/>
        <w:numPr>
          <w:ilvl w:val="0"/>
          <w:numId w:val="2"/>
        </w:numPr>
        <w:spacing w:after="80"/>
      </w:pPr>
      <w:r>
        <w:t>The Provider will hold appropriate insurance, business continuity and information governance arrangements.</w:t>
      </w:r>
    </w:p>
    <w:p w14:paraId="65538EFE" w14:textId="2CF6ED0E" w:rsidR="00057CE9" w:rsidRDefault="00A006F8">
      <w:pPr>
        <w:pStyle w:val="ListParagraph"/>
        <w:numPr>
          <w:ilvl w:val="0"/>
          <w:numId w:val="2"/>
        </w:numPr>
        <w:spacing w:after="80"/>
      </w:pPr>
      <w:r>
        <w:t>The Commissioner will undertake annual contract review</w:t>
      </w:r>
      <w:r w:rsidR="006E7F45">
        <w:t xml:space="preserve">s </w:t>
      </w:r>
      <w:r>
        <w:t>to assess delivery against this specification.</w:t>
      </w:r>
    </w:p>
    <w:p w14:paraId="65538F12" w14:textId="77777777" w:rsidR="00057CE9" w:rsidRDefault="00A006F8">
      <w:r>
        <w:br w:type="page"/>
      </w:r>
    </w:p>
    <w:p w14:paraId="65538F13" w14:textId="77777777" w:rsidR="00057CE9" w:rsidRDefault="00A006F8">
      <w:pPr>
        <w:pStyle w:val="Heading1"/>
      </w:pPr>
      <w:r>
        <w:lastRenderedPageBreak/>
        <w:t>Appendix — Source documents and evidence base</w:t>
      </w:r>
    </w:p>
    <w:p w14:paraId="65538F14" w14:textId="77777777" w:rsidR="00057CE9" w:rsidRDefault="00A006F8">
      <w:pPr>
        <w:spacing w:after="120"/>
      </w:pPr>
      <w:r>
        <w:t>This draft specification has been informed by the following sources:</w:t>
      </w:r>
    </w:p>
    <w:p w14:paraId="6E0114E2" w14:textId="77777777" w:rsidR="0031031E" w:rsidRDefault="0031031E" w:rsidP="0031031E">
      <w:pPr>
        <w:spacing w:after="80"/>
      </w:pPr>
    </w:p>
    <w:p w14:paraId="6CA6F2BF" w14:textId="77777777" w:rsidR="0031031E" w:rsidRDefault="0031031E" w:rsidP="0031031E">
      <w:pPr>
        <w:pStyle w:val="ListParagraph"/>
        <w:numPr>
          <w:ilvl w:val="0"/>
          <w:numId w:val="13"/>
        </w:numPr>
        <w:spacing w:after="80"/>
      </w:pPr>
      <w:r>
        <w:t>Welsh Government, Core Standards and Values for Social Prescribing in Wales (March 2026).</w:t>
      </w:r>
    </w:p>
    <w:p w14:paraId="5BBB7608" w14:textId="77777777" w:rsidR="0031031E" w:rsidRDefault="0031031E" w:rsidP="0031031E">
      <w:pPr>
        <w:pStyle w:val="ListParagraph"/>
        <w:numPr>
          <w:ilvl w:val="0"/>
          <w:numId w:val="13"/>
        </w:numPr>
        <w:spacing w:after="80"/>
      </w:pPr>
      <w:r>
        <w:t>Welsh Government, National Framework for Social Prescribing (December 2023).</w:t>
      </w:r>
    </w:p>
    <w:p w14:paraId="41ABF96E" w14:textId="77777777" w:rsidR="0031031E" w:rsidRDefault="0031031E" w:rsidP="0031031E">
      <w:pPr>
        <w:pStyle w:val="ListParagraph"/>
        <w:numPr>
          <w:ilvl w:val="0"/>
          <w:numId w:val="13"/>
        </w:numPr>
        <w:spacing w:after="80"/>
      </w:pPr>
      <w:r>
        <w:t>HEIW, Competence Framework for Social Prescribing Practitioners in Wales.</w:t>
      </w:r>
    </w:p>
    <w:p w14:paraId="7D8CD9B5" w14:textId="77777777" w:rsidR="0031031E" w:rsidRDefault="0031031E" w:rsidP="0031031E">
      <w:pPr>
        <w:pStyle w:val="ListParagraph"/>
        <w:numPr>
          <w:ilvl w:val="0"/>
          <w:numId w:val="13"/>
        </w:numPr>
        <w:spacing w:after="80"/>
      </w:pPr>
      <w:r>
        <w:t>NHS England, Social Prescribing Reference Guide and Technical Annex for Primary Care Networks.</w:t>
      </w:r>
    </w:p>
    <w:p w14:paraId="1F88F269" w14:textId="77777777" w:rsidR="0031031E" w:rsidRDefault="0031031E" w:rsidP="0031031E">
      <w:pPr>
        <w:pStyle w:val="ListParagraph"/>
        <w:numPr>
          <w:ilvl w:val="0"/>
          <w:numId w:val="13"/>
        </w:numPr>
        <w:spacing w:after="80"/>
      </w:pPr>
      <w:r>
        <w:t>NHS England, Workforce Development Framework for Social Prescribing Link Workers.</w:t>
      </w:r>
    </w:p>
    <w:p w14:paraId="63C87125" w14:textId="77777777" w:rsidR="0031031E" w:rsidRDefault="0031031E" w:rsidP="0031031E">
      <w:pPr>
        <w:pStyle w:val="ListParagraph"/>
        <w:numPr>
          <w:ilvl w:val="0"/>
          <w:numId w:val="13"/>
        </w:numPr>
        <w:spacing w:after="80"/>
      </w:pPr>
      <w:r>
        <w:t>Public Health Wales / Central Integrated Health Community, Population Profile 2026/27 (Conwy and Denbighshire).</w:t>
      </w:r>
    </w:p>
    <w:p w14:paraId="1BA991D4" w14:textId="77777777" w:rsidR="0031031E" w:rsidRDefault="0031031E" w:rsidP="0031031E">
      <w:pPr>
        <w:pStyle w:val="ListParagraph"/>
        <w:numPr>
          <w:ilvl w:val="0"/>
          <w:numId w:val="13"/>
        </w:numPr>
        <w:spacing w:after="80"/>
      </w:pPr>
      <w:r>
        <w:t>A Healthier Wales: Long Term Plan for Health and Social Care.</w:t>
      </w:r>
    </w:p>
    <w:p w14:paraId="534C2F62" w14:textId="77777777" w:rsidR="0031031E" w:rsidRDefault="0031031E" w:rsidP="0031031E">
      <w:pPr>
        <w:pStyle w:val="ListParagraph"/>
        <w:numPr>
          <w:ilvl w:val="0"/>
          <w:numId w:val="13"/>
        </w:numPr>
        <w:spacing w:after="80"/>
      </w:pPr>
      <w:r>
        <w:t>Mental Health and Wellbeing Strategy for Wales 2025–2035.</w:t>
      </w:r>
    </w:p>
    <w:p w14:paraId="2CC29360" w14:textId="77777777" w:rsidR="0031031E" w:rsidRDefault="0031031E" w:rsidP="0031031E">
      <w:pPr>
        <w:pStyle w:val="ListParagraph"/>
        <w:numPr>
          <w:ilvl w:val="0"/>
          <w:numId w:val="13"/>
        </w:numPr>
        <w:spacing w:after="80"/>
      </w:pPr>
      <w:r>
        <w:t>Connected Communities Strategy (Welsh Government).</w:t>
      </w:r>
    </w:p>
    <w:p w14:paraId="3F9C9C5F" w14:textId="77777777" w:rsidR="0031031E" w:rsidRDefault="0031031E" w:rsidP="0031031E">
      <w:pPr>
        <w:pStyle w:val="ListParagraph"/>
        <w:numPr>
          <w:ilvl w:val="0"/>
          <w:numId w:val="13"/>
        </w:numPr>
        <w:spacing w:after="80"/>
      </w:pPr>
      <w:r>
        <w:t>Trauma-Informed Wales Framework and the TrACE Toolkit.</w:t>
      </w:r>
    </w:p>
    <w:p w14:paraId="7627C1D3" w14:textId="77777777" w:rsidR="0031031E" w:rsidRDefault="0031031E" w:rsidP="0031031E">
      <w:pPr>
        <w:pStyle w:val="ListParagraph"/>
        <w:numPr>
          <w:ilvl w:val="0"/>
          <w:numId w:val="13"/>
        </w:numPr>
        <w:spacing w:after="80"/>
      </w:pPr>
      <w:r>
        <w:t>WHO Age-Friendly Communities approach.</w:t>
      </w:r>
    </w:p>
    <w:p w14:paraId="6E43A945" w14:textId="77777777" w:rsidR="0031031E" w:rsidRDefault="0031031E" w:rsidP="0031031E">
      <w:pPr>
        <w:pStyle w:val="ListParagraph"/>
        <w:numPr>
          <w:ilvl w:val="0"/>
          <w:numId w:val="13"/>
        </w:numPr>
        <w:spacing w:after="80"/>
      </w:pPr>
      <w:r>
        <w:t>Conwy and Denbighshire Population Needs Assessment.</w:t>
      </w:r>
    </w:p>
    <w:p w14:paraId="34C1B261" w14:textId="77777777" w:rsidR="0031031E" w:rsidRDefault="0031031E" w:rsidP="0031031E">
      <w:pPr>
        <w:pStyle w:val="ListParagraph"/>
        <w:numPr>
          <w:ilvl w:val="0"/>
          <w:numId w:val="13"/>
        </w:numPr>
        <w:spacing w:after="80"/>
      </w:pPr>
      <w:r>
        <w:t>‘What does the evidence suggest might work best for Conwy?’ — local evidence review (2026).</w:t>
      </w:r>
    </w:p>
    <w:p w14:paraId="05E505E3" w14:textId="77777777" w:rsidR="0031031E" w:rsidRDefault="0031031E" w:rsidP="0031031E">
      <w:pPr>
        <w:pStyle w:val="ListParagraph"/>
        <w:numPr>
          <w:ilvl w:val="0"/>
          <w:numId w:val="13"/>
        </w:numPr>
        <w:spacing w:after="80"/>
      </w:pPr>
      <w:r>
        <w:t>Conwy Social Prescribing Services Map (March 2026, internal mapping document).</w:t>
      </w:r>
    </w:p>
    <w:p w14:paraId="3E1F965A" w14:textId="58B9F9DD" w:rsidR="0031031E" w:rsidRDefault="0031031E" w:rsidP="0031031E">
      <w:pPr>
        <w:pStyle w:val="ListParagraph"/>
        <w:numPr>
          <w:ilvl w:val="0"/>
          <w:numId w:val="13"/>
        </w:numPr>
        <w:spacing w:after="80"/>
      </w:pPr>
      <w:r>
        <w:t>Summary of Community Navigator Service performance, 2025/26 (internal review).</w:t>
      </w:r>
    </w:p>
    <w:p w14:paraId="5CD7E012" w14:textId="77777777" w:rsidR="0031031E" w:rsidRDefault="0031031E" w:rsidP="0031031E">
      <w:pPr>
        <w:pStyle w:val="ListParagraph"/>
        <w:numPr>
          <w:ilvl w:val="0"/>
          <w:numId w:val="13"/>
        </w:numPr>
        <w:spacing w:after="80"/>
      </w:pPr>
      <w:r>
        <w:t>ACCORD Study (Elliot &amp; Wallace, 2021), Wales School for Social Prescribing Research.</w:t>
      </w:r>
    </w:p>
    <w:p w14:paraId="28C6449B" w14:textId="77777777" w:rsidR="0031031E" w:rsidRDefault="0031031E" w:rsidP="0031031E">
      <w:pPr>
        <w:pStyle w:val="ListParagraph"/>
        <w:numPr>
          <w:ilvl w:val="0"/>
          <w:numId w:val="13"/>
        </w:numPr>
        <w:spacing w:after="80"/>
      </w:pPr>
      <w:r>
        <w:t>Social Services and Well-being (Wales) Act 2014.</w:t>
      </w:r>
    </w:p>
    <w:p w14:paraId="5942A980" w14:textId="77777777" w:rsidR="0031031E" w:rsidRDefault="0031031E" w:rsidP="0031031E">
      <w:pPr>
        <w:pStyle w:val="ListParagraph"/>
        <w:numPr>
          <w:ilvl w:val="0"/>
          <w:numId w:val="13"/>
        </w:numPr>
        <w:spacing w:after="80"/>
      </w:pPr>
      <w:r>
        <w:t>Well-being of Future Generations (Wales) Act 2015.</w:t>
      </w:r>
    </w:p>
    <w:p w14:paraId="6D6D805E" w14:textId="77777777" w:rsidR="0031031E" w:rsidRDefault="0031031E" w:rsidP="0031031E">
      <w:pPr>
        <w:pStyle w:val="ListParagraph"/>
        <w:numPr>
          <w:ilvl w:val="0"/>
          <w:numId w:val="13"/>
        </w:numPr>
        <w:spacing w:after="80"/>
      </w:pPr>
      <w:r>
        <w:t>Welsh Language (Wales) Measure 2011.</w:t>
      </w:r>
    </w:p>
    <w:p w14:paraId="6EE2CDCE" w14:textId="1CE2936E" w:rsidR="0031031E" w:rsidRDefault="0031031E" w:rsidP="0031031E">
      <w:pPr>
        <w:pStyle w:val="ListParagraph"/>
        <w:numPr>
          <w:ilvl w:val="0"/>
          <w:numId w:val="13"/>
        </w:numPr>
        <w:spacing w:after="80"/>
      </w:pPr>
      <w:r>
        <w:t>Equality Act 2010 and the Public Sector Equality Duty (Wales) Regulations 2011.</w:t>
      </w:r>
    </w:p>
    <w:p w14:paraId="65538F1E" w14:textId="77777777" w:rsidR="00057CE9" w:rsidRDefault="00057CE9"/>
    <w:p w14:paraId="65538F1F" w14:textId="7D8AEF42" w:rsidR="00057CE9" w:rsidRDefault="00057CE9">
      <w:pPr>
        <w:spacing w:after="120"/>
        <w:jc w:val="center"/>
      </w:pPr>
    </w:p>
    <w:sectPr w:rsidR="00057CE9">
      <w:headerReference w:type="default" r:id="rId12"/>
      <w:foot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2CF2" w14:textId="77777777" w:rsidR="00467880" w:rsidRDefault="00467880">
      <w:r>
        <w:separator/>
      </w:r>
    </w:p>
  </w:endnote>
  <w:endnote w:type="continuationSeparator" w:id="0">
    <w:p w14:paraId="0F29A121" w14:textId="77777777" w:rsidR="00467880" w:rsidRDefault="0046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F21" w14:textId="5E8EB931" w:rsidR="00057CE9" w:rsidRDefault="00A006F8">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ED51A0">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ED51A0">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A8CB" w14:textId="77777777" w:rsidR="00467880" w:rsidRDefault="00467880">
      <w:r>
        <w:separator/>
      </w:r>
    </w:p>
  </w:footnote>
  <w:footnote w:type="continuationSeparator" w:id="0">
    <w:p w14:paraId="37CA1873" w14:textId="77777777" w:rsidR="00467880" w:rsidRDefault="00467880">
      <w:r>
        <w:continuationSeparator/>
      </w:r>
    </w:p>
  </w:footnote>
  <w:footnote w:id="1">
    <w:p w14:paraId="05689717" w14:textId="58FF48AD" w:rsidR="00BF4408" w:rsidRPr="00EE47F3" w:rsidRDefault="00BF4408">
      <w:pPr>
        <w:pStyle w:val="FootnoteText"/>
      </w:pPr>
      <w:r w:rsidRPr="00A52D84">
        <w:rPr>
          <w:rStyle w:val="FootnoteReference"/>
        </w:rPr>
        <w:footnoteRef/>
      </w:r>
      <w:r w:rsidRPr="00A52D84">
        <w:t xml:space="preserve"> </w:t>
      </w:r>
      <w:hyperlink r:id="rId1" w:history="1">
        <w:r w:rsidR="00A52D84" w:rsidRPr="00E00B63">
          <w:rPr>
            <w:color w:val="0000FF"/>
            <w:u w:val="single"/>
          </w:rPr>
          <w:t>National framework for social prescribing [HTML] | GOV.WALES</w:t>
        </w:r>
      </w:hyperlink>
    </w:p>
  </w:footnote>
  <w:footnote w:id="2">
    <w:p w14:paraId="5E069C22" w14:textId="180FD96A" w:rsidR="00F64FC2" w:rsidRPr="00EE47F3" w:rsidRDefault="00F64FC2">
      <w:pPr>
        <w:pStyle w:val="FootnoteText"/>
      </w:pPr>
      <w:r w:rsidRPr="00EE47F3">
        <w:rPr>
          <w:rStyle w:val="FootnoteReference"/>
        </w:rPr>
        <w:footnoteRef/>
      </w:r>
      <w:r w:rsidRPr="00EE47F3">
        <w:t xml:space="preserve"> </w:t>
      </w:r>
      <w:hyperlink r:id="rId2" w:history="1">
        <w:r w:rsidRPr="00E00B63">
          <w:rPr>
            <w:color w:val="0000FF"/>
            <w:u w:val="single"/>
          </w:rPr>
          <w:t>Core standards and values for Social Prescribing in Wales | GOV.WALES</w:t>
        </w:r>
      </w:hyperlink>
    </w:p>
  </w:footnote>
  <w:footnote w:id="3">
    <w:p w14:paraId="1DD7D1F9" w14:textId="5D9AD804" w:rsidR="00EE47F3" w:rsidRDefault="00EE47F3">
      <w:pPr>
        <w:pStyle w:val="FootnoteText"/>
      </w:pPr>
      <w:r w:rsidRPr="00EE47F3">
        <w:rPr>
          <w:rStyle w:val="FootnoteReference"/>
        </w:rPr>
        <w:footnoteRef/>
      </w:r>
      <w:r w:rsidRPr="00EE47F3">
        <w:t xml:space="preserve"> </w:t>
      </w:r>
      <w:hyperlink r:id="rId3" w:history="1">
        <w:r w:rsidRPr="008C0BD3">
          <w:rPr>
            <w:color w:val="0000FF"/>
            <w:u w:val="single"/>
          </w:rPr>
          <w:t>Treating the root causes of ill health, not just the symptoms - Party of Wales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F20" w14:textId="22A12446" w:rsidR="00057CE9" w:rsidRDefault="00A006F8">
    <w:pPr>
      <w:jc w:val="right"/>
    </w:pPr>
    <w:r>
      <w:rPr>
        <w:i/>
        <w:iCs/>
        <w:color w:val="595959"/>
        <w:sz w:val="18"/>
        <w:szCs w:val="18"/>
      </w:rPr>
      <w:t>Conwy Social Prescribing — Service Specification 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E3B"/>
    <w:multiLevelType w:val="hybridMultilevel"/>
    <w:tmpl w:val="9A1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95EFF"/>
    <w:multiLevelType w:val="multilevel"/>
    <w:tmpl w:val="6B1A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54BF6"/>
    <w:multiLevelType w:val="hybridMultilevel"/>
    <w:tmpl w:val="E206833C"/>
    <w:lvl w:ilvl="0" w:tplc="2F261BD8">
      <w:start w:val="1"/>
      <w:numFmt w:val="bullet"/>
      <w:lvlText w:val="•"/>
      <w:lvlJc w:val="left"/>
      <w:pPr>
        <w:ind w:left="540" w:hanging="270"/>
      </w:pPr>
    </w:lvl>
    <w:lvl w:ilvl="1" w:tplc="A89CE2EE">
      <w:start w:val="1"/>
      <w:numFmt w:val="bullet"/>
      <w:lvlText w:val="◦"/>
      <w:lvlJc w:val="left"/>
      <w:pPr>
        <w:ind w:left="1080" w:hanging="270"/>
      </w:pPr>
    </w:lvl>
    <w:lvl w:ilvl="2" w:tplc="574EE692">
      <w:numFmt w:val="decimal"/>
      <w:lvlText w:val=""/>
      <w:lvlJc w:val="left"/>
    </w:lvl>
    <w:lvl w:ilvl="3" w:tplc="1BDE914C">
      <w:numFmt w:val="decimal"/>
      <w:lvlText w:val=""/>
      <w:lvlJc w:val="left"/>
    </w:lvl>
    <w:lvl w:ilvl="4" w:tplc="7ABAC9AE">
      <w:numFmt w:val="decimal"/>
      <w:lvlText w:val=""/>
      <w:lvlJc w:val="left"/>
    </w:lvl>
    <w:lvl w:ilvl="5" w:tplc="9000C178">
      <w:numFmt w:val="decimal"/>
      <w:lvlText w:val=""/>
      <w:lvlJc w:val="left"/>
    </w:lvl>
    <w:lvl w:ilvl="6" w:tplc="9A28793E">
      <w:numFmt w:val="decimal"/>
      <w:lvlText w:val=""/>
      <w:lvlJc w:val="left"/>
    </w:lvl>
    <w:lvl w:ilvl="7" w:tplc="C1A0984E">
      <w:numFmt w:val="decimal"/>
      <w:lvlText w:val=""/>
      <w:lvlJc w:val="left"/>
    </w:lvl>
    <w:lvl w:ilvl="8" w:tplc="5D12F5D2">
      <w:numFmt w:val="decimal"/>
      <w:lvlText w:val=""/>
      <w:lvlJc w:val="left"/>
    </w:lvl>
  </w:abstractNum>
  <w:abstractNum w:abstractNumId="3" w15:restartNumberingAfterBreak="0">
    <w:nsid w:val="2AF40F02"/>
    <w:multiLevelType w:val="multilevel"/>
    <w:tmpl w:val="C898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3332C"/>
    <w:multiLevelType w:val="hybridMultilevel"/>
    <w:tmpl w:val="B6E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D1853"/>
    <w:multiLevelType w:val="hybridMultilevel"/>
    <w:tmpl w:val="C15E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42729"/>
    <w:multiLevelType w:val="hybridMultilevel"/>
    <w:tmpl w:val="2868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71372"/>
    <w:multiLevelType w:val="hybridMultilevel"/>
    <w:tmpl w:val="8E446AFC"/>
    <w:lvl w:ilvl="0" w:tplc="DF705A7A">
      <w:start w:val="1"/>
      <w:numFmt w:val="bullet"/>
      <w:lvlText w:val="●"/>
      <w:lvlJc w:val="left"/>
      <w:pPr>
        <w:ind w:left="720" w:hanging="360"/>
      </w:pPr>
    </w:lvl>
    <w:lvl w:ilvl="1" w:tplc="5ECC538E">
      <w:start w:val="1"/>
      <w:numFmt w:val="bullet"/>
      <w:lvlText w:val="○"/>
      <w:lvlJc w:val="left"/>
      <w:pPr>
        <w:ind w:left="1440" w:hanging="360"/>
      </w:pPr>
    </w:lvl>
    <w:lvl w:ilvl="2" w:tplc="D0C828FC">
      <w:start w:val="1"/>
      <w:numFmt w:val="bullet"/>
      <w:lvlText w:val="■"/>
      <w:lvlJc w:val="left"/>
      <w:pPr>
        <w:ind w:left="2160" w:hanging="360"/>
      </w:pPr>
    </w:lvl>
    <w:lvl w:ilvl="3" w:tplc="916C60F0">
      <w:start w:val="1"/>
      <w:numFmt w:val="bullet"/>
      <w:lvlText w:val="●"/>
      <w:lvlJc w:val="left"/>
      <w:pPr>
        <w:ind w:left="2880" w:hanging="360"/>
      </w:pPr>
    </w:lvl>
    <w:lvl w:ilvl="4" w:tplc="71CAD448">
      <w:start w:val="1"/>
      <w:numFmt w:val="bullet"/>
      <w:lvlText w:val="○"/>
      <w:lvlJc w:val="left"/>
      <w:pPr>
        <w:ind w:left="3600" w:hanging="360"/>
      </w:pPr>
    </w:lvl>
    <w:lvl w:ilvl="5" w:tplc="86FA8FE8">
      <w:start w:val="1"/>
      <w:numFmt w:val="bullet"/>
      <w:lvlText w:val="■"/>
      <w:lvlJc w:val="left"/>
      <w:pPr>
        <w:ind w:left="4320" w:hanging="360"/>
      </w:pPr>
    </w:lvl>
    <w:lvl w:ilvl="6" w:tplc="2C1474AA">
      <w:start w:val="1"/>
      <w:numFmt w:val="bullet"/>
      <w:lvlText w:val="●"/>
      <w:lvlJc w:val="left"/>
      <w:pPr>
        <w:ind w:left="5040" w:hanging="360"/>
      </w:pPr>
    </w:lvl>
    <w:lvl w:ilvl="7" w:tplc="F92EE9EA">
      <w:start w:val="1"/>
      <w:numFmt w:val="bullet"/>
      <w:lvlText w:val="●"/>
      <w:lvlJc w:val="left"/>
      <w:pPr>
        <w:ind w:left="5760" w:hanging="360"/>
      </w:pPr>
    </w:lvl>
    <w:lvl w:ilvl="8" w:tplc="72D828FC">
      <w:start w:val="1"/>
      <w:numFmt w:val="bullet"/>
      <w:lvlText w:val="●"/>
      <w:lvlJc w:val="left"/>
      <w:pPr>
        <w:ind w:left="6480" w:hanging="360"/>
      </w:pPr>
    </w:lvl>
  </w:abstractNum>
  <w:abstractNum w:abstractNumId="8" w15:restartNumberingAfterBreak="0">
    <w:nsid w:val="598B623A"/>
    <w:multiLevelType w:val="hybridMultilevel"/>
    <w:tmpl w:val="117A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D45E7"/>
    <w:multiLevelType w:val="hybridMultilevel"/>
    <w:tmpl w:val="DBEE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55C03"/>
    <w:multiLevelType w:val="hybridMultilevel"/>
    <w:tmpl w:val="694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D12F0E"/>
    <w:multiLevelType w:val="hybridMultilevel"/>
    <w:tmpl w:val="DD26AD18"/>
    <w:lvl w:ilvl="0" w:tplc="1E60CD94">
      <w:start w:val="1"/>
      <w:numFmt w:val="decimal"/>
      <w:lvlText w:val="%1."/>
      <w:lvlJc w:val="left"/>
      <w:pPr>
        <w:ind w:left="540" w:hanging="270"/>
      </w:pPr>
    </w:lvl>
    <w:lvl w:ilvl="1" w:tplc="1F4869FE">
      <w:numFmt w:val="decimal"/>
      <w:lvlText w:val=""/>
      <w:lvlJc w:val="left"/>
    </w:lvl>
    <w:lvl w:ilvl="2" w:tplc="A926A252">
      <w:numFmt w:val="decimal"/>
      <w:lvlText w:val=""/>
      <w:lvlJc w:val="left"/>
    </w:lvl>
    <w:lvl w:ilvl="3" w:tplc="9326A696">
      <w:numFmt w:val="decimal"/>
      <w:lvlText w:val=""/>
      <w:lvlJc w:val="left"/>
    </w:lvl>
    <w:lvl w:ilvl="4" w:tplc="50BCAF5A">
      <w:numFmt w:val="decimal"/>
      <w:lvlText w:val=""/>
      <w:lvlJc w:val="left"/>
    </w:lvl>
    <w:lvl w:ilvl="5" w:tplc="9C3E7F4C">
      <w:numFmt w:val="decimal"/>
      <w:lvlText w:val=""/>
      <w:lvlJc w:val="left"/>
    </w:lvl>
    <w:lvl w:ilvl="6" w:tplc="256CE1D4">
      <w:numFmt w:val="decimal"/>
      <w:lvlText w:val=""/>
      <w:lvlJc w:val="left"/>
    </w:lvl>
    <w:lvl w:ilvl="7" w:tplc="1ED89FFE">
      <w:numFmt w:val="decimal"/>
      <w:lvlText w:val=""/>
      <w:lvlJc w:val="left"/>
    </w:lvl>
    <w:lvl w:ilvl="8" w:tplc="4F18E3C6">
      <w:numFmt w:val="decimal"/>
      <w:lvlText w:val=""/>
      <w:lvlJc w:val="left"/>
    </w:lvl>
  </w:abstractNum>
  <w:abstractNum w:abstractNumId="12" w15:restartNumberingAfterBreak="0">
    <w:nsid w:val="711326C7"/>
    <w:multiLevelType w:val="hybridMultilevel"/>
    <w:tmpl w:val="CFBA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F56B7"/>
    <w:multiLevelType w:val="hybridMultilevel"/>
    <w:tmpl w:val="DED2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604986">
    <w:abstractNumId w:val="7"/>
    <w:lvlOverride w:ilvl="0">
      <w:startOverride w:val="1"/>
    </w:lvlOverride>
  </w:num>
  <w:num w:numId="2" w16cid:durableId="1458835474">
    <w:abstractNumId w:val="2"/>
    <w:lvlOverride w:ilvl="0">
      <w:startOverride w:val="1"/>
    </w:lvlOverride>
  </w:num>
  <w:num w:numId="3" w16cid:durableId="459812155">
    <w:abstractNumId w:val="10"/>
  </w:num>
  <w:num w:numId="4" w16cid:durableId="295067746">
    <w:abstractNumId w:val="5"/>
  </w:num>
  <w:num w:numId="5" w16cid:durableId="1557009316">
    <w:abstractNumId w:val="0"/>
  </w:num>
  <w:num w:numId="6" w16cid:durableId="320889580">
    <w:abstractNumId w:val="1"/>
  </w:num>
  <w:num w:numId="7" w16cid:durableId="1209297657">
    <w:abstractNumId w:val="3"/>
  </w:num>
  <w:num w:numId="8" w16cid:durableId="395398762">
    <w:abstractNumId w:val="13"/>
  </w:num>
  <w:num w:numId="9" w16cid:durableId="146478650">
    <w:abstractNumId w:val="12"/>
  </w:num>
  <w:num w:numId="10" w16cid:durableId="1188131778">
    <w:abstractNumId w:val="4"/>
  </w:num>
  <w:num w:numId="11" w16cid:durableId="845024765">
    <w:abstractNumId w:val="9"/>
  </w:num>
  <w:num w:numId="12" w16cid:durableId="1066223275">
    <w:abstractNumId w:val="8"/>
  </w:num>
  <w:num w:numId="13" w16cid:durableId="1390693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E9"/>
    <w:rsid w:val="00004747"/>
    <w:rsid w:val="000119F6"/>
    <w:rsid w:val="000121EA"/>
    <w:rsid w:val="0002133A"/>
    <w:rsid w:val="000415BF"/>
    <w:rsid w:val="000532E6"/>
    <w:rsid w:val="00057CE9"/>
    <w:rsid w:val="00062AA7"/>
    <w:rsid w:val="000632A4"/>
    <w:rsid w:val="00066A46"/>
    <w:rsid w:val="000865DF"/>
    <w:rsid w:val="000C619D"/>
    <w:rsid w:val="000D7651"/>
    <w:rsid w:val="000E2B93"/>
    <w:rsid w:val="000F2D2E"/>
    <w:rsid w:val="000F4387"/>
    <w:rsid w:val="000F5E39"/>
    <w:rsid w:val="000F775C"/>
    <w:rsid w:val="00106382"/>
    <w:rsid w:val="00113167"/>
    <w:rsid w:val="00130579"/>
    <w:rsid w:val="00137497"/>
    <w:rsid w:val="0014156D"/>
    <w:rsid w:val="00147BF1"/>
    <w:rsid w:val="0015041B"/>
    <w:rsid w:val="00152F8D"/>
    <w:rsid w:val="0015601C"/>
    <w:rsid w:val="00163D2D"/>
    <w:rsid w:val="00172722"/>
    <w:rsid w:val="0017785C"/>
    <w:rsid w:val="001A2969"/>
    <w:rsid w:val="001D0EB9"/>
    <w:rsid w:val="001E6D7C"/>
    <w:rsid w:val="001F0C98"/>
    <w:rsid w:val="00213264"/>
    <w:rsid w:val="00224BE6"/>
    <w:rsid w:val="00226DD8"/>
    <w:rsid w:val="002310C5"/>
    <w:rsid w:val="00235A4D"/>
    <w:rsid w:val="002407FD"/>
    <w:rsid w:val="00250A62"/>
    <w:rsid w:val="00250F43"/>
    <w:rsid w:val="00254073"/>
    <w:rsid w:val="0026285A"/>
    <w:rsid w:val="00274724"/>
    <w:rsid w:val="002A52F2"/>
    <w:rsid w:val="002D633E"/>
    <w:rsid w:val="002E4300"/>
    <w:rsid w:val="002F4A49"/>
    <w:rsid w:val="00307CC6"/>
    <w:rsid w:val="0031031E"/>
    <w:rsid w:val="00323A88"/>
    <w:rsid w:val="00325C93"/>
    <w:rsid w:val="0032601E"/>
    <w:rsid w:val="00337506"/>
    <w:rsid w:val="00337FCE"/>
    <w:rsid w:val="00363C85"/>
    <w:rsid w:val="00386499"/>
    <w:rsid w:val="003A1E7B"/>
    <w:rsid w:val="003A7789"/>
    <w:rsid w:val="003A7A41"/>
    <w:rsid w:val="003C4AFB"/>
    <w:rsid w:val="003C5CA3"/>
    <w:rsid w:val="003D529D"/>
    <w:rsid w:val="003D611B"/>
    <w:rsid w:val="003D727F"/>
    <w:rsid w:val="003F5E36"/>
    <w:rsid w:val="00403F02"/>
    <w:rsid w:val="0041307D"/>
    <w:rsid w:val="00437AC5"/>
    <w:rsid w:val="004421DA"/>
    <w:rsid w:val="00443424"/>
    <w:rsid w:val="00467880"/>
    <w:rsid w:val="0047541D"/>
    <w:rsid w:val="004A6BA1"/>
    <w:rsid w:val="004C6EC3"/>
    <w:rsid w:val="004C7387"/>
    <w:rsid w:val="004D161D"/>
    <w:rsid w:val="004F24CA"/>
    <w:rsid w:val="004F75BD"/>
    <w:rsid w:val="00504BB2"/>
    <w:rsid w:val="005057BC"/>
    <w:rsid w:val="00545385"/>
    <w:rsid w:val="00556A34"/>
    <w:rsid w:val="005645E5"/>
    <w:rsid w:val="005B1CD3"/>
    <w:rsid w:val="005C12BD"/>
    <w:rsid w:val="005D4960"/>
    <w:rsid w:val="005D4C92"/>
    <w:rsid w:val="005E064A"/>
    <w:rsid w:val="0060761E"/>
    <w:rsid w:val="00613BB7"/>
    <w:rsid w:val="00613D93"/>
    <w:rsid w:val="00614F34"/>
    <w:rsid w:val="00622EA9"/>
    <w:rsid w:val="00634C6C"/>
    <w:rsid w:val="006358D1"/>
    <w:rsid w:val="0065232E"/>
    <w:rsid w:val="00656041"/>
    <w:rsid w:val="00674142"/>
    <w:rsid w:val="00693D55"/>
    <w:rsid w:val="006A1182"/>
    <w:rsid w:val="006B24EB"/>
    <w:rsid w:val="006C1CA5"/>
    <w:rsid w:val="006C241B"/>
    <w:rsid w:val="006D74E3"/>
    <w:rsid w:val="006E1F1A"/>
    <w:rsid w:val="006E7F45"/>
    <w:rsid w:val="00714C82"/>
    <w:rsid w:val="00741F3D"/>
    <w:rsid w:val="00745614"/>
    <w:rsid w:val="007462B3"/>
    <w:rsid w:val="007536DF"/>
    <w:rsid w:val="007B7F69"/>
    <w:rsid w:val="007C127C"/>
    <w:rsid w:val="007D2F06"/>
    <w:rsid w:val="007D4CC6"/>
    <w:rsid w:val="007E03A3"/>
    <w:rsid w:val="007E424F"/>
    <w:rsid w:val="0080139F"/>
    <w:rsid w:val="00820FE1"/>
    <w:rsid w:val="0082423A"/>
    <w:rsid w:val="00824493"/>
    <w:rsid w:val="00827299"/>
    <w:rsid w:val="00830C19"/>
    <w:rsid w:val="00830C96"/>
    <w:rsid w:val="00851375"/>
    <w:rsid w:val="00892B7E"/>
    <w:rsid w:val="00893C5D"/>
    <w:rsid w:val="00895CC8"/>
    <w:rsid w:val="008A4191"/>
    <w:rsid w:val="008B2FA8"/>
    <w:rsid w:val="008C0BD3"/>
    <w:rsid w:val="008D3D5B"/>
    <w:rsid w:val="008E174E"/>
    <w:rsid w:val="008E4937"/>
    <w:rsid w:val="008F5DA5"/>
    <w:rsid w:val="00901B7F"/>
    <w:rsid w:val="00910395"/>
    <w:rsid w:val="009401D9"/>
    <w:rsid w:val="00957342"/>
    <w:rsid w:val="0098210D"/>
    <w:rsid w:val="00982C89"/>
    <w:rsid w:val="009A0285"/>
    <w:rsid w:val="009A586A"/>
    <w:rsid w:val="009A7FF8"/>
    <w:rsid w:val="009D6747"/>
    <w:rsid w:val="009D7C52"/>
    <w:rsid w:val="009E2947"/>
    <w:rsid w:val="00A006F8"/>
    <w:rsid w:val="00A01971"/>
    <w:rsid w:val="00A07249"/>
    <w:rsid w:val="00A265B9"/>
    <w:rsid w:val="00A36F1B"/>
    <w:rsid w:val="00A40B41"/>
    <w:rsid w:val="00A52D84"/>
    <w:rsid w:val="00A626C5"/>
    <w:rsid w:val="00A8498D"/>
    <w:rsid w:val="00A86C08"/>
    <w:rsid w:val="00A90ABA"/>
    <w:rsid w:val="00A952F2"/>
    <w:rsid w:val="00AB245D"/>
    <w:rsid w:val="00AC7881"/>
    <w:rsid w:val="00AD0B05"/>
    <w:rsid w:val="00AE1E07"/>
    <w:rsid w:val="00AE44B7"/>
    <w:rsid w:val="00AE5873"/>
    <w:rsid w:val="00AF2B15"/>
    <w:rsid w:val="00AF6D06"/>
    <w:rsid w:val="00B02DFE"/>
    <w:rsid w:val="00B05C03"/>
    <w:rsid w:val="00B10EA7"/>
    <w:rsid w:val="00B37854"/>
    <w:rsid w:val="00B50963"/>
    <w:rsid w:val="00B53D15"/>
    <w:rsid w:val="00B83FD5"/>
    <w:rsid w:val="00BA2C18"/>
    <w:rsid w:val="00BC5B9B"/>
    <w:rsid w:val="00BD5C3E"/>
    <w:rsid w:val="00BE1888"/>
    <w:rsid w:val="00BE54DD"/>
    <w:rsid w:val="00BE64D0"/>
    <w:rsid w:val="00BE76E1"/>
    <w:rsid w:val="00BF1569"/>
    <w:rsid w:val="00BF298C"/>
    <w:rsid w:val="00BF4408"/>
    <w:rsid w:val="00BF6D5F"/>
    <w:rsid w:val="00BF717E"/>
    <w:rsid w:val="00C04AC6"/>
    <w:rsid w:val="00C143CD"/>
    <w:rsid w:val="00C21C8A"/>
    <w:rsid w:val="00C24D41"/>
    <w:rsid w:val="00C41EC6"/>
    <w:rsid w:val="00C71218"/>
    <w:rsid w:val="00C818DB"/>
    <w:rsid w:val="00C921BC"/>
    <w:rsid w:val="00C96EB1"/>
    <w:rsid w:val="00CB0E44"/>
    <w:rsid w:val="00CC1762"/>
    <w:rsid w:val="00CE3832"/>
    <w:rsid w:val="00CE506C"/>
    <w:rsid w:val="00D311F0"/>
    <w:rsid w:val="00D3340D"/>
    <w:rsid w:val="00D4220F"/>
    <w:rsid w:val="00D47B3C"/>
    <w:rsid w:val="00D6340C"/>
    <w:rsid w:val="00D65B31"/>
    <w:rsid w:val="00D76197"/>
    <w:rsid w:val="00D80554"/>
    <w:rsid w:val="00D806C5"/>
    <w:rsid w:val="00D96A9A"/>
    <w:rsid w:val="00D97C7F"/>
    <w:rsid w:val="00DA69FB"/>
    <w:rsid w:val="00DB17B8"/>
    <w:rsid w:val="00DD1051"/>
    <w:rsid w:val="00DD1411"/>
    <w:rsid w:val="00DD784C"/>
    <w:rsid w:val="00DE4140"/>
    <w:rsid w:val="00E00B63"/>
    <w:rsid w:val="00E13393"/>
    <w:rsid w:val="00E44163"/>
    <w:rsid w:val="00E449C6"/>
    <w:rsid w:val="00E54660"/>
    <w:rsid w:val="00E55E0F"/>
    <w:rsid w:val="00E60B11"/>
    <w:rsid w:val="00E66333"/>
    <w:rsid w:val="00E73F8B"/>
    <w:rsid w:val="00EA4884"/>
    <w:rsid w:val="00EA5359"/>
    <w:rsid w:val="00EB12E1"/>
    <w:rsid w:val="00ED0BAA"/>
    <w:rsid w:val="00ED51A0"/>
    <w:rsid w:val="00ED6698"/>
    <w:rsid w:val="00EE35F1"/>
    <w:rsid w:val="00EE47F3"/>
    <w:rsid w:val="00F01438"/>
    <w:rsid w:val="00F1702B"/>
    <w:rsid w:val="00F17E0D"/>
    <w:rsid w:val="00F5590E"/>
    <w:rsid w:val="00F607BE"/>
    <w:rsid w:val="00F64FC2"/>
    <w:rsid w:val="00F720B6"/>
    <w:rsid w:val="00F834DC"/>
    <w:rsid w:val="00F95C2A"/>
    <w:rsid w:val="00FB2546"/>
    <w:rsid w:val="00FD6D19"/>
    <w:rsid w:val="00FF4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8DEB"/>
  <w15:docId w15:val="{CEF77962-16ED-48F1-A1C3-D47DE6A1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2"/>
      <w:szCs w:val="32"/>
    </w:rPr>
  </w:style>
  <w:style w:type="paragraph" w:styleId="Heading2">
    <w:name w:val="heading 2"/>
    <w:uiPriority w:val="9"/>
    <w:unhideWhenUsed/>
    <w:qFormat/>
    <w:pPr>
      <w:spacing w:before="280" w:after="160"/>
      <w:outlineLvl w:val="1"/>
    </w:pPr>
    <w:rPr>
      <w:b/>
      <w:bCs/>
      <w:color w:val="1F4E79"/>
      <w:sz w:val="26"/>
      <w:szCs w:val="26"/>
    </w:rPr>
  </w:style>
  <w:style w:type="paragraph" w:styleId="Heading3">
    <w:name w:val="heading 3"/>
    <w:uiPriority w:val="9"/>
    <w:semiHidden/>
    <w:unhideWhenUsed/>
    <w:qFormat/>
    <w:pPr>
      <w:spacing w:before="200" w:after="12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B"/>
    <w:link w:val="ListParagraphChar"/>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FF4F65"/>
    <w:rPr>
      <w:sz w:val="16"/>
      <w:szCs w:val="16"/>
    </w:rPr>
  </w:style>
  <w:style w:type="paragraph" w:styleId="CommentText">
    <w:name w:val="annotation text"/>
    <w:basedOn w:val="Normal"/>
    <w:link w:val="CommentTextChar"/>
    <w:uiPriority w:val="99"/>
    <w:unhideWhenUsed/>
    <w:rsid w:val="00FF4F65"/>
    <w:rPr>
      <w:sz w:val="20"/>
      <w:szCs w:val="20"/>
    </w:rPr>
  </w:style>
  <w:style w:type="character" w:customStyle="1" w:styleId="CommentTextChar">
    <w:name w:val="Comment Text Char"/>
    <w:basedOn w:val="DefaultParagraphFont"/>
    <w:link w:val="CommentText"/>
    <w:uiPriority w:val="99"/>
    <w:rsid w:val="00FF4F65"/>
    <w:rPr>
      <w:sz w:val="20"/>
      <w:szCs w:val="20"/>
    </w:rPr>
  </w:style>
  <w:style w:type="paragraph" w:styleId="CommentSubject">
    <w:name w:val="annotation subject"/>
    <w:basedOn w:val="CommentText"/>
    <w:next w:val="CommentText"/>
    <w:link w:val="CommentSubjectChar"/>
    <w:uiPriority w:val="99"/>
    <w:semiHidden/>
    <w:unhideWhenUsed/>
    <w:rsid w:val="00FF4F65"/>
    <w:rPr>
      <w:b/>
      <w:bCs/>
    </w:rPr>
  </w:style>
  <w:style w:type="character" w:customStyle="1" w:styleId="CommentSubjectChar">
    <w:name w:val="Comment Subject Char"/>
    <w:basedOn w:val="CommentTextChar"/>
    <w:link w:val="CommentSubject"/>
    <w:uiPriority w:val="99"/>
    <w:semiHidden/>
    <w:rsid w:val="00FF4F65"/>
    <w:rPr>
      <w:b/>
      <w:bCs/>
      <w:sz w:val="20"/>
      <w:szCs w:val="20"/>
    </w:rPr>
  </w:style>
  <w:style w:type="paragraph" w:styleId="Revision">
    <w:name w:val="Revision"/>
    <w:hidden/>
    <w:uiPriority w:val="99"/>
    <w:semiHidden/>
    <w:rsid w:val="000119F6"/>
  </w:style>
  <w:style w:type="character" w:styleId="UnresolvedMention">
    <w:name w:val="Unresolved Mention"/>
    <w:basedOn w:val="DefaultParagraphFont"/>
    <w:uiPriority w:val="99"/>
    <w:semiHidden/>
    <w:unhideWhenUsed/>
    <w:rsid w:val="00895CC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basedOn w:val="DefaultParagraphFont"/>
    <w:link w:val="ListParagraph"/>
    <w:uiPriority w:val="34"/>
    <w:qFormat/>
    <w:rsid w:val="00893C5D"/>
  </w:style>
  <w:style w:type="character" w:styleId="FollowedHyperlink">
    <w:name w:val="FollowedHyperlink"/>
    <w:basedOn w:val="DefaultParagraphFont"/>
    <w:uiPriority w:val="99"/>
    <w:semiHidden/>
    <w:unhideWhenUsed/>
    <w:rsid w:val="00622EA9"/>
    <w:rPr>
      <w:color w:val="96607D" w:themeColor="followedHyperlink"/>
      <w:u w:val="single"/>
    </w:rPr>
  </w:style>
  <w:style w:type="paragraph" w:styleId="Header">
    <w:name w:val="header"/>
    <w:basedOn w:val="Normal"/>
    <w:link w:val="HeaderChar"/>
    <w:uiPriority w:val="99"/>
    <w:unhideWhenUsed/>
    <w:rsid w:val="006B24EB"/>
    <w:pPr>
      <w:tabs>
        <w:tab w:val="center" w:pos="4513"/>
        <w:tab w:val="right" w:pos="9026"/>
      </w:tabs>
    </w:pPr>
  </w:style>
  <w:style w:type="character" w:customStyle="1" w:styleId="HeaderChar">
    <w:name w:val="Header Char"/>
    <w:basedOn w:val="DefaultParagraphFont"/>
    <w:link w:val="Header"/>
    <w:uiPriority w:val="99"/>
    <w:rsid w:val="006B24EB"/>
  </w:style>
  <w:style w:type="paragraph" w:styleId="Footer">
    <w:name w:val="footer"/>
    <w:basedOn w:val="Normal"/>
    <w:link w:val="FooterChar"/>
    <w:uiPriority w:val="99"/>
    <w:unhideWhenUsed/>
    <w:rsid w:val="006B24EB"/>
    <w:pPr>
      <w:tabs>
        <w:tab w:val="center" w:pos="4513"/>
        <w:tab w:val="right" w:pos="9026"/>
      </w:tabs>
    </w:pPr>
  </w:style>
  <w:style w:type="character" w:customStyle="1" w:styleId="FooterChar">
    <w:name w:val="Footer Char"/>
    <w:basedOn w:val="DefaultParagraphFont"/>
    <w:link w:val="Footer"/>
    <w:uiPriority w:val="99"/>
    <w:rsid w:val="006B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1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long-read/workforce-development-framework-social-prescribing-link-work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gland.nhs.uk/long-read/social-prescribing-reference-guide-and-technical-annex-for-primary-care-networks/" TargetMode="External"/><Relationship Id="rId4" Type="http://schemas.openxmlformats.org/officeDocument/2006/relationships/settings" Target="settings.xml"/><Relationship Id="rId9" Type="http://schemas.openxmlformats.org/officeDocument/2006/relationships/hyperlink" Target="https://www.gov.wales/sites/default/files/publications/2026-03/core-standards-and-values-for-social-prescribing-in-wale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artyof.wales/trin_y_pethau_syn_achosi_salwch_nid_dim_ond_y_symptomau" TargetMode="External"/><Relationship Id="rId2" Type="http://schemas.openxmlformats.org/officeDocument/2006/relationships/hyperlink" Target="https://www.gov.wales/core-standards-and-values-social-prescribing-wales" TargetMode="External"/><Relationship Id="rId1" Type="http://schemas.openxmlformats.org/officeDocument/2006/relationships/hyperlink" Target="https://www.gov.wales/national-framework-social-prescrib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DocumentFromInternetSite</b:SourceType>
    <b:Guid>{59B164DB-BFA5-4589-AAD3-4EB086574077}</b:Guid>
    <b:URL>https://www.gov.wales/sites/default/files/publications/2026-03/core-standards-and-values-for-social-prescribing-in-wales.pdf</b:URL>
    <b:RefOrder>1</b:RefOrder>
  </b:Source>
</b:Sources>
</file>

<file path=customXml/itemProps1.xml><?xml version="1.0" encoding="utf-8"?>
<ds:datastoreItem xmlns:ds="http://schemas.openxmlformats.org/officeDocument/2006/customXml" ds:itemID="{8A9909A9-2A2E-4638-A4AB-1C36B90D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4971</Words>
  <Characters>28339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Conwy Social Prescribing Service — Draft Service Specification 2026/27</vt:lpstr>
    </vt:vector>
  </TitlesOfParts>
  <Company>Conwy County Borough Council</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Conwy Social Prescribing Service — Draft Service Specification 2026/27</dc:title>
  <dc:creator>Conwy CBC — Quality Standards &amp; Commissioning</dc:creator>
  <cp:lastModifiedBy>Alan Thompson</cp:lastModifiedBy>
  <cp:revision>4</cp:revision>
  <dcterms:created xsi:type="dcterms:W3CDTF">2026-07-15T09:23:00Z</dcterms:created>
  <dcterms:modified xsi:type="dcterms:W3CDTF">2026-07-20T09:52:00Z</dcterms:modified>
</cp:coreProperties>
</file>