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B9CE" w14:textId="396DDDA3" w:rsidR="001C67A5" w:rsidRDefault="001C67A5" w:rsidP="00A6036D">
      <w:pPr>
        <w:pStyle w:val="Heading1"/>
      </w:pPr>
      <w:bookmarkStart w:id="0" w:name="_Toc229387054"/>
      <w:r>
        <w:t xml:space="preserve">Appendix </w:t>
      </w:r>
      <w:r w:rsidR="0064136A">
        <w:t>B</w:t>
      </w:r>
      <w:r w:rsidR="00354F37">
        <w:t xml:space="preserve">:  </w:t>
      </w:r>
      <w:r w:rsidR="00524641">
        <w:t xml:space="preserve">MAWWFRS </w:t>
      </w:r>
      <w:r>
        <w:t>Organisational Standards</w:t>
      </w:r>
      <w:bookmarkEnd w:id="0"/>
    </w:p>
    <w:p w14:paraId="16C9ABA6" w14:textId="7BEBB0E8" w:rsidR="00A07E2B" w:rsidRDefault="000C77B8" w:rsidP="00A6036D">
      <w:pPr>
        <w:pStyle w:val="Heading1"/>
        <w:numPr>
          <w:ilvl w:val="0"/>
          <w:numId w:val="20"/>
        </w:numPr>
      </w:pPr>
      <w:r>
        <w:t xml:space="preserve">ICT </w:t>
      </w:r>
      <w:r w:rsidR="005B1047">
        <w:t xml:space="preserve">Procurement of </w:t>
      </w:r>
      <w:r w:rsidR="006A3517">
        <w:t>C</w:t>
      </w:r>
      <w:r w:rsidR="005B1047">
        <w:t xml:space="preserve">omputer </w:t>
      </w:r>
      <w:r w:rsidR="006A3517">
        <w:t>S</w:t>
      </w:r>
      <w:r w:rsidR="005B1047">
        <w:t xml:space="preserve">oftware and </w:t>
      </w:r>
      <w:r w:rsidR="006A3517">
        <w:t>S</w:t>
      </w:r>
      <w:r w:rsidR="005B1047">
        <w:t>ystems</w:t>
      </w:r>
    </w:p>
    <w:p w14:paraId="7E4E3CC4" w14:textId="44AAAE22" w:rsidR="00CE115E" w:rsidRDefault="00CE115E" w:rsidP="005B1047">
      <w:r>
        <w:t>This appendix sets out the organisational standards required by Mid and West Wales Fire and Rescue Service (MAWWFRS) for the procurement of new software and systems.</w:t>
      </w:r>
    </w:p>
    <w:p w14:paraId="008E2591" w14:textId="42621FE4" w:rsidR="00736F57" w:rsidRPr="00736F57" w:rsidRDefault="00736F57" w:rsidP="00736F57">
      <w:r w:rsidRPr="00736F57">
        <w:t xml:space="preserve">As part of the preparatory work for the replacement of the RAPPEL system (used to manage On-Call firefighter availability, rostering across duty systems, and workforce planning), MAWWFRS has undertaken a comprehensive pre-procurement assessment. </w:t>
      </w:r>
      <w:r>
        <w:t xml:space="preserve"> </w:t>
      </w:r>
      <w:r w:rsidRPr="00736F57">
        <w:t xml:space="preserve">This exercise was conducted to evaluate the overall risk profile associated with the implementation and ongoing </w:t>
      </w:r>
      <w:r>
        <w:t>exploration</w:t>
      </w:r>
      <w:r w:rsidRPr="00736F57">
        <w:t xml:space="preserve"> of a replacement solution.</w:t>
      </w:r>
    </w:p>
    <w:p w14:paraId="6843D256" w14:textId="3B771FF6" w:rsidR="00736F57" w:rsidRPr="00736F57" w:rsidRDefault="00736F57" w:rsidP="00736F57">
      <w:r w:rsidRPr="00736F57">
        <w:t xml:space="preserve">Based on this assessment, the proposed system has been classified as </w:t>
      </w:r>
      <w:r>
        <w:t xml:space="preserve">a </w:t>
      </w:r>
      <w:r w:rsidRPr="00736F57">
        <w:rPr>
          <w:b/>
          <w:bCs/>
        </w:rPr>
        <w:t>‘Critical’ risk</w:t>
      </w:r>
      <w:r w:rsidRPr="00736F57">
        <w:t xml:space="preserve">. </w:t>
      </w:r>
      <w:r>
        <w:t xml:space="preserve"> </w:t>
      </w:r>
      <w:r w:rsidRPr="00736F57">
        <w:t xml:space="preserve">This categorisation reflects both the sensitivity of the data involved and the operational importance of the system. </w:t>
      </w:r>
      <w:r>
        <w:t xml:space="preserve"> </w:t>
      </w:r>
      <w:r w:rsidRPr="00736F57">
        <w:t xml:space="preserve">The system will process and store workforce availability and rostering data that underpins critical service delivery functions. </w:t>
      </w:r>
      <w:r>
        <w:t xml:space="preserve"> </w:t>
      </w:r>
      <w:r w:rsidRPr="00736F57">
        <w:t>As such, failure, compromise, or misuse of the system could have significant operational, reputational, and compliance impacts.</w:t>
      </w:r>
    </w:p>
    <w:p w14:paraId="73687C91" w14:textId="77777777" w:rsidR="00CE115E" w:rsidRDefault="00CE115E" w:rsidP="005B1047"/>
    <w:p w14:paraId="1DFD62DE" w14:textId="77777777" w:rsidR="002B1F64" w:rsidRPr="002B1F64" w:rsidRDefault="002B1F64" w:rsidP="00A6036D">
      <w:pPr>
        <w:pStyle w:val="Heading1"/>
        <w:numPr>
          <w:ilvl w:val="0"/>
          <w:numId w:val="20"/>
        </w:numPr>
      </w:pPr>
      <w:r w:rsidRPr="002B1F64">
        <w:t>Security and Compliance Requirements</w:t>
      </w:r>
    </w:p>
    <w:p w14:paraId="1CC6A216" w14:textId="77777777" w:rsidR="002B1F64" w:rsidRPr="002B1F64" w:rsidRDefault="002B1F64" w:rsidP="002B1F64">
      <w:r w:rsidRPr="002B1F64">
        <w:t>Given the critical risk classification, suppliers are required to clearly demonstrate:</w:t>
      </w:r>
    </w:p>
    <w:p w14:paraId="0B44EBC1" w14:textId="77777777" w:rsidR="002B1F64" w:rsidRPr="002B1F64" w:rsidRDefault="002B1F64" w:rsidP="002B1F64">
      <w:pPr>
        <w:numPr>
          <w:ilvl w:val="0"/>
          <w:numId w:val="3"/>
        </w:numPr>
      </w:pPr>
      <w:r w:rsidRPr="002B1F64">
        <w:t>Their current security posture and compliance status;</w:t>
      </w:r>
    </w:p>
    <w:p w14:paraId="6E1502B5" w14:textId="77777777" w:rsidR="002B1F64" w:rsidRPr="002B1F64" w:rsidRDefault="002B1F64" w:rsidP="002B1F64">
      <w:pPr>
        <w:numPr>
          <w:ilvl w:val="0"/>
          <w:numId w:val="3"/>
        </w:numPr>
      </w:pPr>
      <w:r w:rsidRPr="002B1F64">
        <w:t>Alignment with recognised security standards and best practices;</w:t>
      </w:r>
    </w:p>
    <w:p w14:paraId="3715D16A" w14:textId="77777777" w:rsidR="002B1F64" w:rsidRPr="002B1F64" w:rsidRDefault="002B1F64" w:rsidP="002B1F64">
      <w:pPr>
        <w:numPr>
          <w:ilvl w:val="0"/>
          <w:numId w:val="3"/>
        </w:numPr>
      </w:pPr>
      <w:r w:rsidRPr="002B1F64">
        <w:t>Any planned or ongoing improvements to enhance their compliance maturity.</w:t>
      </w:r>
    </w:p>
    <w:p w14:paraId="4DD1EA84" w14:textId="77777777" w:rsidR="00291F72" w:rsidRDefault="00291F72" w:rsidP="00291F72">
      <w:pPr>
        <w:pStyle w:val="NoSpacing"/>
      </w:pPr>
    </w:p>
    <w:p w14:paraId="5B0FAC7E" w14:textId="28A93186" w:rsidR="002B1F64" w:rsidRPr="002B1F64" w:rsidRDefault="002B1F64" w:rsidP="002B1F64">
      <w:r w:rsidRPr="002B1F64">
        <w:t xml:space="preserve">Further </w:t>
      </w:r>
      <w:r w:rsidR="00B35B13">
        <w:t>details</w:t>
      </w:r>
      <w:r w:rsidRPr="002B1F64">
        <w:t xml:space="preserve"> regarding security and compliance expectations </w:t>
      </w:r>
      <w:r w:rsidR="00B35B13">
        <w:t>are</w:t>
      </w:r>
      <w:r w:rsidRPr="002B1F64">
        <w:t xml:space="preserve"> provided in </w:t>
      </w:r>
      <w:r w:rsidRPr="002B1F64">
        <w:rPr>
          <w:b/>
          <w:bCs/>
        </w:rPr>
        <w:t>Appendix A – Software Requirements</w:t>
      </w:r>
      <w:r w:rsidR="005075A4" w:rsidRPr="005075A4">
        <w:t xml:space="preserve"> </w:t>
      </w:r>
      <w:r w:rsidR="005075A4" w:rsidRPr="005075A4">
        <w:rPr>
          <w:b/>
          <w:bCs/>
        </w:rPr>
        <w:t>Specification</w:t>
      </w:r>
      <w:r w:rsidRPr="002B1F64">
        <w:rPr>
          <w:b/>
          <w:bCs/>
        </w:rPr>
        <w:t>, Tab 10: Security &amp; Compliance</w:t>
      </w:r>
      <w:r w:rsidR="00DF6CF9">
        <w:rPr>
          <w:b/>
          <w:bCs/>
        </w:rPr>
        <w:t>.</w:t>
      </w:r>
    </w:p>
    <w:p w14:paraId="6B2B6647" w14:textId="77777777" w:rsidR="00792078" w:rsidRDefault="00792078" w:rsidP="00A26F3A">
      <w:pPr>
        <w:rPr>
          <w:b/>
          <w:bCs/>
        </w:rPr>
      </w:pPr>
    </w:p>
    <w:p w14:paraId="4C232C3C" w14:textId="7D1D67BB" w:rsidR="00A26F3A" w:rsidRPr="00A26F3A" w:rsidRDefault="00A26F3A" w:rsidP="00A6036D">
      <w:pPr>
        <w:pStyle w:val="Heading1"/>
        <w:numPr>
          <w:ilvl w:val="0"/>
          <w:numId w:val="20"/>
        </w:numPr>
      </w:pPr>
      <w:r w:rsidRPr="00A26F3A">
        <w:t>Definition of Sensitive Data</w:t>
      </w:r>
    </w:p>
    <w:p w14:paraId="7C64CCBD" w14:textId="77777777" w:rsidR="00A26F3A" w:rsidRDefault="00A26F3A" w:rsidP="00A26F3A">
      <w:r w:rsidRPr="00A26F3A">
        <w:t>For the purposes of this procurement, sensitive data includes (but is not limited to):</w:t>
      </w:r>
    </w:p>
    <w:p w14:paraId="66A39B35" w14:textId="77777777" w:rsidR="00291F72" w:rsidRPr="00A26F3A" w:rsidRDefault="00291F72" w:rsidP="00291F72">
      <w:pPr>
        <w:pStyle w:val="NoSpacing"/>
      </w:pPr>
    </w:p>
    <w:p w14:paraId="420F71C9" w14:textId="77777777" w:rsidR="00A26F3A" w:rsidRPr="00A26F3A" w:rsidRDefault="00A26F3A" w:rsidP="00A26F3A">
      <w:pPr>
        <w:numPr>
          <w:ilvl w:val="0"/>
          <w:numId w:val="13"/>
        </w:numPr>
      </w:pPr>
      <w:r w:rsidRPr="00A26F3A">
        <w:t>Genetic data</w:t>
      </w:r>
    </w:p>
    <w:p w14:paraId="658D0110" w14:textId="77777777" w:rsidR="00A26F3A" w:rsidRPr="00A26F3A" w:rsidRDefault="00A26F3A" w:rsidP="00A26F3A">
      <w:pPr>
        <w:numPr>
          <w:ilvl w:val="0"/>
          <w:numId w:val="13"/>
        </w:numPr>
      </w:pPr>
      <w:r w:rsidRPr="00A26F3A">
        <w:t>Political opinions</w:t>
      </w:r>
    </w:p>
    <w:p w14:paraId="6D6EA2DE" w14:textId="77777777" w:rsidR="00A26F3A" w:rsidRPr="00A26F3A" w:rsidRDefault="00A26F3A" w:rsidP="00A26F3A">
      <w:pPr>
        <w:numPr>
          <w:ilvl w:val="0"/>
          <w:numId w:val="13"/>
        </w:numPr>
      </w:pPr>
      <w:r w:rsidRPr="00A26F3A">
        <w:t>Racial or ethnic origin</w:t>
      </w:r>
    </w:p>
    <w:p w14:paraId="486B199B" w14:textId="39725DF3" w:rsidR="00A26F3A" w:rsidRPr="00A26F3A" w:rsidRDefault="00CB0C33" w:rsidP="00A26F3A">
      <w:pPr>
        <w:numPr>
          <w:ilvl w:val="0"/>
          <w:numId w:val="13"/>
        </w:numPr>
      </w:pPr>
      <w:r>
        <w:lastRenderedPageBreak/>
        <w:t xml:space="preserve">Data concerning </w:t>
      </w:r>
      <w:r w:rsidR="00A26F3A" w:rsidRPr="00A26F3A">
        <w:t>Health</w:t>
      </w:r>
    </w:p>
    <w:p w14:paraId="4FC22BFF" w14:textId="77777777" w:rsidR="00A26F3A" w:rsidRPr="00A26F3A" w:rsidRDefault="00A26F3A" w:rsidP="00A26F3A">
      <w:pPr>
        <w:numPr>
          <w:ilvl w:val="0"/>
          <w:numId w:val="13"/>
        </w:numPr>
      </w:pPr>
      <w:r w:rsidRPr="00A26F3A">
        <w:t>Trade union membership</w:t>
      </w:r>
    </w:p>
    <w:p w14:paraId="671EA38F" w14:textId="77777777" w:rsidR="00A26F3A" w:rsidRPr="00A26F3A" w:rsidRDefault="00A26F3A" w:rsidP="00A26F3A">
      <w:pPr>
        <w:numPr>
          <w:ilvl w:val="0"/>
          <w:numId w:val="13"/>
        </w:numPr>
      </w:pPr>
      <w:r w:rsidRPr="00A26F3A">
        <w:t>Religious or philosophical beliefs</w:t>
      </w:r>
    </w:p>
    <w:p w14:paraId="1D75A18F" w14:textId="77777777" w:rsidR="00A26F3A" w:rsidRPr="00A26F3A" w:rsidRDefault="00A26F3A" w:rsidP="00A26F3A">
      <w:pPr>
        <w:numPr>
          <w:ilvl w:val="0"/>
          <w:numId w:val="13"/>
        </w:numPr>
      </w:pPr>
      <w:r w:rsidRPr="00A26F3A">
        <w:t>Data concerning sex life or sexual orientation</w:t>
      </w:r>
    </w:p>
    <w:p w14:paraId="44C3A10C" w14:textId="77777777" w:rsidR="00A26F3A" w:rsidRPr="00A26F3A" w:rsidRDefault="00A26F3A" w:rsidP="00A26F3A">
      <w:pPr>
        <w:numPr>
          <w:ilvl w:val="0"/>
          <w:numId w:val="13"/>
        </w:numPr>
      </w:pPr>
      <w:r w:rsidRPr="00A26F3A">
        <w:t>Biometric data used for identification</w:t>
      </w:r>
    </w:p>
    <w:p w14:paraId="7F006138" w14:textId="77777777" w:rsidR="00A83ED4" w:rsidRDefault="00A83ED4" w:rsidP="00291F72">
      <w:pPr>
        <w:pStyle w:val="NoSpacing"/>
      </w:pPr>
    </w:p>
    <w:p w14:paraId="200628BF" w14:textId="6EA9B136" w:rsidR="00A26F3A" w:rsidRPr="00A26F3A" w:rsidRDefault="00A26F3A" w:rsidP="00A26F3A">
      <w:r w:rsidRPr="00A26F3A">
        <w:t>In addition, sensitive data may include information of a security nature or any data that could be exploited for criminal purposes.</w:t>
      </w:r>
    </w:p>
    <w:p w14:paraId="0E3F19A0" w14:textId="6F1804C8" w:rsidR="002B1F64" w:rsidRDefault="00A26F3A" w:rsidP="00792078">
      <w:r w:rsidRPr="00A26F3A">
        <w:rPr>
          <w:b/>
          <w:bCs/>
        </w:rPr>
        <w:t>Personally Identifiable Information (PII)</w:t>
      </w:r>
      <w:r w:rsidRPr="00A26F3A">
        <w:t xml:space="preserve"> is defined in accordance with the Information Commissioner’s Office (ICO) as any data that can identify an individual.</w:t>
      </w:r>
    </w:p>
    <w:p w14:paraId="4C508C04" w14:textId="77777777" w:rsidR="00792078" w:rsidRDefault="00792078" w:rsidP="00291F72">
      <w:pPr>
        <w:pStyle w:val="NoSpacing"/>
      </w:pPr>
    </w:p>
    <w:p w14:paraId="0F28DB29" w14:textId="77777777" w:rsidR="00291F72" w:rsidRPr="00291F72" w:rsidRDefault="00291F72" w:rsidP="00A6036D">
      <w:pPr>
        <w:pStyle w:val="Heading1"/>
        <w:numPr>
          <w:ilvl w:val="0"/>
          <w:numId w:val="20"/>
        </w:numPr>
      </w:pPr>
      <w:r w:rsidRPr="00291F72">
        <w:t>Mandatory and Desirable Requirements</w:t>
      </w:r>
    </w:p>
    <w:p w14:paraId="2D6C7648" w14:textId="77777777" w:rsidR="00291F72" w:rsidRDefault="00291F72" w:rsidP="00291F72">
      <w:pPr>
        <w:spacing w:after="0"/>
      </w:pPr>
      <w:r w:rsidRPr="00291F72">
        <w:t>In line with the assessed risk profile:</w:t>
      </w:r>
    </w:p>
    <w:p w14:paraId="327C546E" w14:textId="77777777" w:rsidR="00291F72" w:rsidRPr="00291F72" w:rsidRDefault="00291F72" w:rsidP="00291F72">
      <w:pPr>
        <w:pStyle w:val="NoSpacing"/>
      </w:pPr>
    </w:p>
    <w:p w14:paraId="35027F73" w14:textId="77777777" w:rsidR="00291F72" w:rsidRPr="00291F72" w:rsidRDefault="00291F72" w:rsidP="00291F72">
      <w:pPr>
        <w:numPr>
          <w:ilvl w:val="0"/>
          <w:numId w:val="12"/>
        </w:numPr>
        <w:spacing w:after="0"/>
      </w:pPr>
      <w:r w:rsidRPr="00291F72">
        <w:rPr>
          <w:b/>
          <w:bCs/>
        </w:rPr>
        <w:t>Essential (Must Have) requirements</w:t>
      </w:r>
      <w:r w:rsidRPr="00291F72">
        <w:t xml:space="preserve"> represent minimum criteria that must be met for a system to be considered compliant.</w:t>
      </w:r>
    </w:p>
    <w:p w14:paraId="3BE029B5" w14:textId="77777777" w:rsidR="00291F72" w:rsidRPr="00291F72" w:rsidRDefault="00291F72" w:rsidP="00291F72">
      <w:pPr>
        <w:numPr>
          <w:ilvl w:val="0"/>
          <w:numId w:val="12"/>
        </w:numPr>
        <w:spacing w:after="0"/>
      </w:pPr>
      <w:r w:rsidRPr="00291F72">
        <w:rPr>
          <w:b/>
          <w:bCs/>
        </w:rPr>
        <w:t>Desirable (Should Have) requirements</w:t>
      </w:r>
      <w:r w:rsidRPr="00291F72">
        <w:t xml:space="preserve"> will be evaluated and scored as part of the procurement process.</w:t>
      </w:r>
    </w:p>
    <w:p w14:paraId="53BFF778" w14:textId="77777777" w:rsidR="00792078" w:rsidRDefault="00792078" w:rsidP="004950FC">
      <w:pPr>
        <w:spacing w:after="0"/>
      </w:pPr>
    </w:p>
    <w:p w14:paraId="50B408EB" w14:textId="77777777" w:rsidR="0065470D" w:rsidRPr="0065470D" w:rsidRDefault="0065470D" w:rsidP="00A6036D">
      <w:pPr>
        <w:pStyle w:val="Heading1"/>
        <w:numPr>
          <w:ilvl w:val="0"/>
          <w:numId w:val="20"/>
        </w:numPr>
      </w:pPr>
      <w:r w:rsidRPr="0065470D">
        <w:t>Additional Desirable Features</w:t>
      </w:r>
    </w:p>
    <w:p w14:paraId="25C6FAC9" w14:textId="77777777" w:rsidR="0065470D" w:rsidRPr="0065470D" w:rsidRDefault="0065470D" w:rsidP="0065470D">
      <w:pPr>
        <w:spacing w:after="0"/>
      </w:pPr>
      <w:r w:rsidRPr="0065470D">
        <w:t>Suppliers are encouraged to provide the following capabilities:</w:t>
      </w:r>
    </w:p>
    <w:p w14:paraId="5D8FBB92" w14:textId="77777777" w:rsidR="0065470D" w:rsidRPr="0065470D" w:rsidRDefault="0065470D" w:rsidP="0065470D">
      <w:pPr>
        <w:numPr>
          <w:ilvl w:val="0"/>
          <w:numId w:val="18"/>
        </w:numPr>
        <w:spacing w:after="0"/>
      </w:pPr>
      <w:r w:rsidRPr="0065470D">
        <w:rPr>
          <w:b/>
          <w:bCs/>
        </w:rPr>
        <w:t>API Accessibility</w:t>
      </w:r>
    </w:p>
    <w:p w14:paraId="6E1BC5F9" w14:textId="77777777" w:rsidR="0065470D" w:rsidRPr="0065470D" w:rsidRDefault="0065470D" w:rsidP="0065470D">
      <w:pPr>
        <w:numPr>
          <w:ilvl w:val="1"/>
          <w:numId w:val="18"/>
        </w:numPr>
        <w:spacing w:after="0"/>
      </w:pPr>
      <w:r w:rsidRPr="0065470D">
        <w:t>Fully documented APIs enabling secure integration with other MAWWFRS systems</w:t>
      </w:r>
    </w:p>
    <w:p w14:paraId="3A86DDEA" w14:textId="77777777" w:rsidR="0065470D" w:rsidRPr="0065470D" w:rsidRDefault="0065470D" w:rsidP="0065470D">
      <w:pPr>
        <w:numPr>
          <w:ilvl w:val="1"/>
          <w:numId w:val="18"/>
        </w:numPr>
        <w:spacing w:after="0"/>
      </w:pPr>
      <w:r w:rsidRPr="0065470D">
        <w:t>Support for data exchange (push/pull) across key system functions</w:t>
      </w:r>
    </w:p>
    <w:p w14:paraId="62FC289B" w14:textId="77777777" w:rsidR="0065470D" w:rsidRPr="0065470D" w:rsidRDefault="0065470D" w:rsidP="0065470D">
      <w:pPr>
        <w:numPr>
          <w:ilvl w:val="1"/>
          <w:numId w:val="18"/>
        </w:numPr>
        <w:spacing w:after="0"/>
      </w:pPr>
      <w:r w:rsidRPr="0065470D">
        <w:t>No additional licensing costs for standard API access (consultancy costs may apply where appropriate)</w:t>
      </w:r>
    </w:p>
    <w:p w14:paraId="7EAEB0E6" w14:textId="77777777" w:rsidR="0065470D" w:rsidRPr="0065470D" w:rsidRDefault="0065470D" w:rsidP="0065470D">
      <w:pPr>
        <w:numPr>
          <w:ilvl w:val="0"/>
          <w:numId w:val="18"/>
        </w:numPr>
        <w:spacing w:after="0"/>
      </w:pPr>
      <w:r w:rsidRPr="0065470D">
        <w:rPr>
          <w:b/>
          <w:bCs/>
        </w:rPr>
        <w:t>Data Migration Strategy</w:t>
      </w:r>
    </w:p>
    <w:p w14:paraId="0EC56BA8" w14:textId="175BA2D9" w:rsidR="0065470D" w:rsidRPr="0065470D" w:rsidRDefault="0065470D" w:rsidP="0065470D">
      <w:pPr>
        <w:numPr>
          <w:ilvl w:val="1"/>
          <w:numId w:val="18"/>
        </w:numPr>
        <w:spacing w:after="0"/>
      </w:pPr>
      <w:r w:rsidRPr="0065470D">
        <w:t xml:space="preserve">Clear, structured </w:t>
      </w:r>
      <w:r w:rsidR="00C24286">
        <w:t xml:space="preserve">strategy </w:t>
      </w:r>
      <w:r w:rsidRPr="0065470D">
        <w:t xml:space="preserve">for migrating data from the existing RAPPEL system </w:t>
      </w:r>
      <w:r w:rsidR="000E3461">
        <w:t xml:space="preserve">into the proposed system </w:t>
      </w:r>
      <w:r w:rsidRPr="0065470D">
        <w:t>(where required)</w:t>
      </w:r>
    </w:p>
    <w:p w14:paraId="46BFC880" w14:textId="77777777" w:rsidR="0065470D" w:rsidRPr="0065470D" w:rsidRDefault="0065470D" w:rsidP="0065470D">
      <w:pPr>
        <w:numPr>
          <w:ilvl w:val="0"/>
          <w:numId w:val="18"/>
        </w:numPr>
        <w:spacing w:after="0"/>
      </w:pPr>
      <w:r w:rsidRPr="0065470D">
        <w:rPr>
          <w:b/>
          <w:bCs/>
        </w:rPr>
        <w:t>Training and Support</w:t>
      </w:r>
    </w:p>
    <w:p w14:paraId="467BA061" w14:textId="77777777" w:rsidR="0065470D" w:rsidRPr="0065470D" w:rsidRDefault="0065470D" w:rsidP="0065470D">
      <w:pPr>
        <w:numPr>
          <w:ilvl w:val="1"/>
          <w:numId w:val="18"/>
        </w:numPr>
        <w:spacing w:after="0"/>
      </w:pPr>
      <w:r w:rsidRPr="0065470D">
        <w:t>Provision of training materials, including online and instructor-led options</w:t>
      </w:r>
    </w:p>
    <w:p w14:paraId="56BB916A" w14:textId="30C45B97" w:rsidR="00EC377B" w:rsidRDefault="0065470D" w:rsidP="00EC377B">
      <w:pPr>
        <w:numPr>
          <w:ilvl w:val="1"/>
          <w:numId w:val="18"/>
        </w:numPr>
        <w:spacing w:after="0"/>
      </w:pPr>
      <w:r w:rsidRPr="0065470D">
        <w:t>Ongoing training and support services, with transparent cost</w:t>
      </w:r>
      <w:r w:rsidR="000E3461">
        <w:t>s as required</w:t>
      </w:r>
    </w:p>
    <w:p w14:paraId="5E006BAF" w14:textId="77777777" w:rsidR="00EC377B" w:rsidRDefault="00EC377B" w:rsidP="00EC377B">
      <w:pPr>
        <w:spacing w:after="0"/>
      </w:pPr>
    </w:p>
    <w:p w14:paraId="3A5EFC8E" w14:textId="77777777" w:rsidR="00EC377B" w:rsidRDefault="00EC377B" w:rsidP="00EC377B">
      <w:pPr>
        <w:spacing w:after="0"/>
      </w:pPr>
    </w:p>
    <w:p w14:paraId="005F3C65" w14:textId="77777777" w:rsidR="00EC377B" w:rsidRDefault="00EC377B" w:rsidP="00EC377B">
      <w:pPr>
        <w:spacing w:after="0"/>
      </w:pPr>
    </w:p>
    <w:p w14:paraId="3BC14D5A" w14:textId="77777777" w:rsidR="00EC377B" w:rsidRDefault="00EC377B" w:rsidP="00EC377B">
      <w:pPr>
        <w:spacing w:after="0"/>
      </w:pPr>
    </w:p>
    <w:p w14:paraId="0D2B88E0" w14:textId="740D9068" w:rsidR="00926AED" w:rsidRPr="00111869" w:rsidRDefault="00985535" w:rsidP="00A6036D">
      <w:pPr>
        <w:pStyle w:val="Heading1"/>
        <w:numPr>
          <w:ilvl w:val="0"/>
          <w:numId w:val="20"/>
        </w:numPr>
      </w:pPr>
      <w:r w:rsidRPr="00111869">
        <w:lastRenderedPageBreak/>
        <w:t xml:space="preserve">Other </w:t>
      </w:r>
      <w:r w:rsidR="00ED28AD">
        <w:t>Requirements</w:t>
      </w:r>
    </w:p>
    <w:p w14:paraId="0F2EC1C0" w14:textId="63E8F84D" w:rsidR="0075690F" w:rsidRPr="0075690F" w:rsidRDefault="0075690F" w:rsidP="0075690F">
      <w:r w:rsidRPr="0075690F">
        <w:t xml:space="preserve">In the event of conflicting requirements, the </w:t>
      </w:r>
      <w:r w:rsidRPr="0075690F">
        <w:rPr>
          <w:b/>
          <w:bCs/>
        </w:rPr>
        <w:t>most stringent requirement shall apply</w:t>
      </w:r>
      <w:r w:rsidR="00711481" w:rsidRPr="00711481">
        <w:t>,</w:t>
      </w:r>
      <w:r w:rsidR="00711481">
        <w:rPr>
          <w:b/>
          <w:bCs/>
        </w:rPr>
        <w:t xml:space="preserve"> </w:t>
      </w:r>
      <w:r w:rsidR="00711481" w:rsidRPr="00711481">
        <w:t>e.g. if something for a high-risk system is desirable in Medium Risk or above but essential in High Risk, then the requirement is for it to be essential.</w:t>
      </w:r>
    </w:p>
    <w:p w14:paraId="0FCBAAC2" w14:textId="77777777" w:rsidR="0075690F" w:rsidRPr="0075690F" w:rsidRDefault="0075690F" w:rsidP="0075690F">
      <w:r w:rsidRPr="0075690F">
        <w:t xml:space="preserve">Suppliers must ensure that any subcontractors involved in the provision of services to MAWWFRS adhere to </w:t>
      </w:r>
      <w:r w:rsidRPr="0075690F">
        <w:rPr>
          <w:b/>
          <w:bCs/>
        </w:rPr>
        <w:t>equivalent or higher standards of data protection and system security</w:t>
      </w:r>
      <w:r w:rsidRPr="0075690F">
        <w:t>.</w:t>
      </w:r>
    </w:p>
    <w:p w14:paraId="13629D4F" w14:textId="77777777" w:rsidR="0075690F" w:rsidRPr="0075690F" w:rsidRDefault="0075690F" w:rsidP="0075690F">
      <w:r w:rsidRPr="0075690F">
        <w:t xml:space="preserve">A comprehensive pricing model must be provided, including: </w:t>
      </w:r>
    </w:p>
    <w:p w14:paraId="4939A874" w14:textId="695EC832" w:rsidR="0075690F" w:rsidRPr="0075690F" w:rsidRDefault="0075690F" w:rsidP="0075690F">
      <w:pPr>
        <w:numPr>
          <w:ilvl w:val="1"/>
          <w:numId w:val="7"/>
        </w:numPr>
      </w:pPr>
      <w:r w:rsidRPr="0075690F">
        <w:t xml:space="preserve">Initial system and </w:t>
      </w:r>
      <w:r w:rsidR="00565FC6">
        <w:t xml:space="preserve">all associated </w:t>
      </w:r>
      <w:r w:rsidRPr="0075690F">
        <w:t>onboarding costs</w:t>
      </w:r>
    </w:p>
    <w:p w14:paraId="4400524B" w14:textId="77777777" w:rsidR="0075690F" w:rsidRPr="0075690F" w:rsidRDefault="0075690F" w:rsidP="0075690F">
      <w:pPr>
        <w:numPr>
          <w:ilvl w:val="1"/>
          <w:numId w:val="7"/>
        </w:numPr>
      </w:pPr>
      <w:r w:rsidRPr="0075690F">
        <w:t>Annual recurring costs</w:t>
      </w:r>
    </w:p>
    <w:p w14:paraId="5B61CD27" w14:textId="77777777" w:rsidR="0075690F" w:rsidRPr="0075690F" w:rsidRDefault="0075690F" w:rsidP="0075690F">
      <w:pPr>
        <w:numPr>
          <w:ilvl w:val="1"/>
          <w:numId w:val="7"/>
        </w:numPr>
      </w:pPr>
      <w:r w:rsidRPr="0075690F">
        <w:t>Training costs</w:t>
      </w:r>
    </w:p>
    <w:p w14:paraId="7B1AF0ED" w14:textId="77777777" w:rsidR="0075690F" w:rsidRDefault="0075690F" w:rsidP="0075690F">
      <w:pPr>
        <w:numPr>
          <w:ilvl w:val="1"/>
          <w:numId w:val="7"/>
        </w:numPr>
      </w:pPr>
      <w:r w:rsidRPr="0075690F">
        <w:t>Custom development and consultancy fees (including ad hoc services)</w:t>
      </w:r>
    </w:p>
    <w:p w14:paraId="211B7E3C" w14:textId="39FB5C91" w:rsidR="0075690F" w:rsidRPr="0075690F" w:rsidRDefault="0075690F" w:rsidP="0075690F">
      <w:r w:rsidRPr="0075690F">
        <w:t>All cost elements will be subject to evaluation as part of the procurement process.</w:t>
      </w:r>
    </w:p>
    <w:p w14:paraId="36C67B18" w14:textId="557BFF63" w:rsidR="0075690F" w:rsidRPr="0075690F" w:rsidRDefault="0075690F" w:rsidP="0075690F">
      <w:r w:rsidRPr="0075690F">
        <w:t xml:space="preserve">Suppliers must submit a detailed </w:t>
      </w:r>
      <w:r w:rsidRPr="0075690F">
        <w:rPr>
          <w:b/>
          <w:bCs/>
        </w:rPr>
        <w:t>implementation plan</w:t>
      </w:r>
      <w:r w:rsidR="00BD6262">
        <w:rPr>
          <w:b/>
          <w:bCs/>
        </w:rPr>
        <w:t xml:space="preserve"> of the system</w:t>
      </w:r>
      <w:r w:rsidRPr="0075690F">
        <w:t xml:space="preserve">, including: </w:t>
      </w:r>
    </w:p>
    <w:p w14:paraId="776D2381" w14:textId="77777777" w:rsidR="0075690F" w:rsidRPr="0075690F" w:rsidRDefault="0075690F" w:rsidP="0075690F">
      <w:pPr>
        <w:numPr>
          <w:ilvl w:val="1"/>
          <w:numId w:val="5"/>
        </w:numPr>
      </w:pPr>
      <w:r w:rsidRPr="0075690F">
        <w:t>Timescales and delivery approach</w:t>
      </w:r>
    </w:p>
    <w:p w14:paraId="6A07AF59" w14:textId="540DC0B5" w:rsidR="0075690F" w:rsidRDefault="0075690F" w:rsidP="00322C7B">
      <w:pPr>
        <w:numPr>
          <w:ilvl w:val="1"/>
          <w:numId w:val="5"/>
        </w:numPr>
      </w:pPr>
      <w:r w:rsidRPr="0075690F">
        <w:t>Infrastructure requirements</w:t>
      </w:r>
      <w:r w:rsidR="00BD6262">
        <w:t xml:space="preserve">, </w:t>
      </w:r>
      <w:r w:rsidRPr="0075690F">
        <w:t>including details of any dedicated servers allocated to MAWWFRS</w:t>
      </w:r>
    </w:p>
    <w:p w14:paraId="4F89529A" w14:textId="77777777" w:rsidR="00792078" w:rsidRDefault="00792078" w:rsidP="00792078"/>
    <w:p w14:paraId="78CA6847" w14:textId="77777777" w:rsidR="00792078" w:rsidRPr="00792078" w:rsidRDefault="00792078" w:rsidP="00A6036D">
      <w:pPr>
        <w:pStyle w:val="Heading1"/>
        <w:numPr>
          <w:ilvl w:val="0"/>
          <w:numId w:val="20"/>
        </w:numPr>
      </w:pPr>
      <w:r w:rsidRPr="00792078">
        <w:t>Requirements During the Contract Term</w:t>
      </w:r>
    </w:p>
    <w:p w14:paraId="080F53B9" w14:textId="77777777" w:rsidR="00792078" w:rsidRPr="00792078" w:rsidRDefault="00792078" w:rsidP="00792078">
      <w:r w:rsidRPr="00792078">
        <w:t>Throughout the duration of the contract:</w:t>
      </w:r>
    </w:p>
    <w:p w14:paraId="4F0B9149" w14:textId="3A1BC417" w:rsidR="00792078" w:rsidRPr="00792078" w:rsidRDefault="00792078" w:rsidP="00792078">
      <w:pPr>
        <w:numPr>
          <w:ilvl w:val="0"/>
          <w:numId w:val="4"/>
        </w:numPr>
      </w:pPr>
      <w:r w:rsidRPr="00792078">
        <w:t xml:space="preserve">MAWWFRS and the supplier </w:t>
      </w:r>
      <w:r w:rsidR="007A7894">
        <w:t>must</w:t>
      </w:r>
      <w:r w:rsidRPr="00792078">
        <w:t xml:space="preserve"> </w:t>
      </w:r>
      <w:r w:rsidRPr="00792078">
        <w:rPr>
          <w:b/>
          <w:bCs/>
        </w:rPr>
        <w:t>regularly review security requirements</w:t>
      </w:r>
      <w:r w:rsidRPr="00792078">
        <w:t xml:space="preserve">, particularly where there are significant changes to </w:t>
      </w:r>
      <w:r w:rsidR="0072016E">
        <w:t xml:space="preserve">the security, </w:t>
      </w:r>
      <w:r w:rsidRPr="00792078">
        <w:t xml:space="preserve">system functionality, </w:t>
      </w:r>
      <w:r w:rsidR="00D21A48">
        <w:t xml:space="preserve">or </w:t>
      </w:r>
      <w:r w:rsidRPr="00792078">
        <w:t>data usage</w:t>
      </w:r>
      <w:r w:rsidR="00D21A48">
        <w:t xml:space="preserve"> held in systems relating to MAWWFRS</w:t>
      </w:r>
      <w:r w:rsidRPr="00792078">
        <w:t>.</w:t>
      </w:r>
    </w:p>
    <w:p w14:paraId="09D17663" w14:textId="058094F6" w:rsidR="00792078" w:rsidRPr="00792078" w:rsidRDefault="00792078" w:rsidP="00792078">
      <w:pPr>
        <w:numPr>
          <w:ilvl w:val="0"/>
          <w:numId w:val="4"/>
        </w:numPr>
      </w:pPr>
      <w:r w:rsidRPr="00792078">
        <w:t xml:space="preserve">Suppliers are expected to proactively respond to </w:t>
      </w:r>
      <w:r w:rsidR="00E93C49" w:rsidRPr="00FE251E">
        <w:rPr>
          <w:b/>
          <w:bCs/>
        </w:rPr>
        <w:t xml:space="preserve">new best practices or </w:t>
      </w:r>
      <w:r w:rsidRPr="00FE251E">
        <w:rPr>
          <w:b/>
          <w:bCs/>
        </w:rPr>
        <w:t>emerging</w:t>
      </w:r>
      <w:r w:rsidRPr="00792078">
        <w:rPr>
          <w:b/>
          <w:bCs/>
        </w:rPr>
        <w:t xml:space="preserve"> security threats </w:t>
      </w:r>
      <w:r w:rsidR="00FE251E">
        <w:t>during the life of the contract and while they still hold information and data relating to MAWWFRS.</w:t>
      </w:r>
    </w:p>
    <w:p w14:paraId="43B777C6" w14:textId="26807109" w:rsidR="00792078" w:rsidRPr="00792078" w:rsidRDefault="00757FCF" w:rsidP="00792078">
      <w:pPr>
        <w:numPr>
          <w:ilvl w:val="0"/>
          <w:numId w:val="4"/>
        </w:numPr>
      </w:pPr>
      <w:r>
        <w:t xml:space="preserve">MAWWFRS should work closely with the supplier to continually improve their security where possible.  Each stage of the contract review should include </w:t>
      </w:r>
      <w:r w:rsidR="009C4108">
        <w:t xml:space="preserve">a regular </w:t>
      </w:r>
      <w:r w:rsidR="00792078" w:rsidRPr="00792078">
        <w:rPr>
          <w:b/>
          <w:bCs/>
        </w:rPr>
        <w:t>standing agenda item on security</w:t>
      </w:r>
      <w:r w:rsidR="00792078" w:rsidRPr="00792078">
        <w:t xml:space="preserve">, covering: </w:t>
      </w:r>
    </w:p>
    <w:p w14:paraId="707ACF87" w14:textId="77777777" w:rsidR="00792078" w:rsidRPr="00792078" w:rsidRDefault="00792078" w:rsidP="00792078">
      <w:pPr>
        <w:numPr>
          <w:ilvl w:val="1"/>
          <w:numId w:val="4"/>
        </w:numPr>
      </w:pPr>
      <w:r w:rsidRPr="00792078">
        <w:t>Recent security improvements and investments</w:t>
      </w:r>
    </w:p>
    <w:p w14:paraId="32785DC3" w14:textId="77777777" w:rsidR="00792078" w:rsidRPr="00792078" w:rsidRDefault="00792078" w:rsidP="00792078">
      <w:pPr>
        <w:numPr>
          <w:ilvl w:val="1"/>
          <w:numId w:val="4"/>
        </w:numPr>
      </w:pPr>
      <w:r w:rsidRPr="00792078">
        <w:t>Any incidents or breaches</w:t>
      </w:r>
    </w:p>
    <w:p w14:paraId="4EB1D516" w14:textId="77777777" w:rsidR="00792078" w:rsidRPr="00792078" w:rsidRDefault="00792078" w:rsidP="00792078">
      <w:pPr>
        <w:numPr>
          <w:ilvl w:val="1"/>
          <w:numId w:val="4"/>
        </w:numPr>
      </w:pPr>
      <w:r w:rsidRPr="00792078">
        <w:t>Changes in key personnel</w:t>
      </w:r>
    </w:p>
    <w:p w14:paraId="17487F44" w14:textId="77777777" w:rsidR="00792078" w:rsidRPr="00792078" w:rsidRDefault="00792078" w:rsidP="00792078">
      <w:pPr>
        <w:numPr>
          <w:ilvl w:val="1"/>
          <w:numId w:val="4"/>
        </w:numPr>
      </w:pPr>
      <w:r w:rsidRPr="00792078">
        <w:lastRenderedPageBreak/>
        <w:t>Updates regarding subcontractors and their compliance posture</w:t>
      </w:r>
    </w:p>
    <w:p w14:paraId="7FA22671" w14:textId="77777777" w:rsidR="009E2B14" w:rsidRDefault="009E2B14" w:rsidP="00111869"/>
    <w:p w14:paraId="0AE4A0BC" w14:textId="77777777" w:rsidR="003F614F" w:rsidRPr="003F614F" w:rsidRDefault="003F614F" w:rsidP="00A6036D">
      <w:pPr>
        <w:pStyle w:val="Heading1"/>
        <w:numPr>
          <w:ilvl w:val="0"/>
          <w:numId w:val="20"/>
        </w:numPr>
      </w:pPr>
      <w:r w:rsidRPr="003F614F">
        <w:t>End-of-Contract Requirements</w:t>
      </w:r>
    </w:p>
    <w:p w14:paraId="7FF70098" w14:textId="77777777" w:rsidR="003F614F" w:rsidRPr="003F614F" w:rsidRDefault="003F614F" w:rsidP="003F614F">
      <w:r w:rsidRPr="003F614F">
        <w:t>At the conclusion of the contract:</w:t>
      </w:r>
    </w:p>
    <w:p w14:paraId="41DEBF2E" w14:textId="017526B7" w:rsidR="003F614F" w:rsidRPr="003F614F" w:rsidRDefault="003F614F" w:rsidP="003F614F">
      <w:pPr>
        <w:numPr>
          <w:ilvl w:val="0"/>
          <w:numId w:val="11"/>
        </w:numPr>
      </w:pPr>
      <w:r w:rsidRPr="003F614F">
        <w:t xml:space="preserve">All MAWWFRS data must be </w:t>
      </w:r>
      <w:r w:rsidRPr="003F614F">
        <w:rPr>
          <w:b/>
          <w:bCs/>
        </w:rPr>
        <w:t>securely deleted</w:t>
      </w:r>
      <w:r w:rsidRPr="003F614F">
        <w:t xml:space="preserve">, unless otherwise instructed. </w:t>
      </w:r>
      <w:r>
        <w:t xml:space="preserve"> </w:t>
      </w:r>
      <w:r w:rsidRPr="003F614F">
        <w:t>This includes all copies and derived datasets.</w:t>
      </w:r>
    </w:p>
    <w:p w14:paraId="19591A36" w14:textId="77777777" w:rsidR="003F614F" w:rsidRPr="003F614F" w:rsidRDefault="003F614F" w:rsidP="003F614F">
      <w:pPr>
        <w:numPr>
          <w:ilvl w:val="0"/>
          <w:numId w:val="11"/>
        </w:numPr>
      </w:pPr>
      <w:r w:rsidRPr="003F614F">
        <w:t>Formal confirmation of data destruction must be provided to MAWWFRS.</w:t>
      </w:r>
    </w:p>
    <w:p w14:paraId="0A4F3C92" w14:textId="77777777" w:rsidR="003F614F" w:rsidRPr="003F614F" w:rsidRDefault="003F614F" w:rsidP="003F614F">
      <w:pPr>
        <w:numPr>
          <w:ilvl w:val="0"/>
          <w:numId w:val="11"/>
        </w:numPr>
      </w:pPr>
      <w:r w:rsidRPr="003F614F">
        <w:t xml:space="preserve">A </w:t>
      </w:r>
      <w:r w:rsidRPr="003F614F">
        <w:rPr>
          <w:b/>
          <w:bCs/>
        </w:rPr>
        <w:t>contract closure review</w:t>
      </w:r>
      <w:r w:rsidRPr="003F614F">
        <w:t xml:space="preserve"> must be conducted to ensure: </w:t>
      </w:r>
    </w:p>
    <w:p w14:paraId="1CD3744C" w14:textId="77777777" w:rsidR="003F614F" w:rsidRPr="003F614F" w:rsidRDefault="003F614F" w:rsidP="003F614F">
      <w:pPr>
        <w:numPr>
          <w:ilvl w:val="1"/>
          <w:numId w:val="11"/>
        </w:numPr>
      </w:pPr>
      <w:r w:rsidRPr="003F614F">
        <w:t>Deactivation of supplier user accounts</w:t>
      </w:r>
    </w:p>
    <w:p w14:paraId="7721577B" w14:textId="77777777" w:rsidR="003F614F" w:rsidRPr="003F614F" w:rsidRDefault="003F614F" w:rsidP="003F614F">
      <w:pPr>
        <w:numPr>
          <w:ilvl w:val="1"/>
          <w:numId w:val="11"/>
        </w:numPr>
      </w:pPr>
      <w:r w:rsidRPr="003F614F">
        <w:t>Removal of system integrations and connections</w:t>
      </w:r>
    </w:p>
    <w:p w14:paraId="4E7794A7" w14:textId="192BB6CB" w:rsidR="00764215" w:rsidRDefault="003F614F" w:rsidP="00111869">
      <w:pPr>
        <w:numPr>
          <w:ilvl w:val="1"/>
          <w:numId w:val="11"/>
        </w:numPr>
      </w:pPr>
      <w:r w:rsidRPr="003F614F">
        <w:t>Completion of all security-related obligations</w:t>
      </w:r>
    </w:p>
    <w:sectPr w:rsidR="00764215" w:rsidSect="00987E71">
      <w:headerReference w:type="default" r:id="rId11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AF18" w14:textId="77777777" w:rsidR="006F6A9B" w:rsidRDefault="006F6A9B" w:rsidP="00BF6319">
      <w:pPr>
        <w:spacing w:after="0" w:line="240" w:lineRule="auto"/>
      </w:pPr>
      <w:r>
        <w:separator/>
      </w:r>
    </w:p>
  </w:endnote>
  <w:endnote w:type="continuationSeparator" w:id="0">
    <w:p w14:paraId="64ECFBD0" w14:textId="77777777" w:rsidR="006F6A9B" w:rsidRDefault="006F6A9B" w:rsidP="00BF6319">
      <w:pPr>
        <w:spacing w:after="0" w:line="240" w:lineRule="auto"/>
      </w:pPr>
      <w:r>
        <w:continuationSeparator/>
      </w:r>
    </w:p>
  </w:endnote>
  <w:endnote w:type="continuationNotice" w:id="1">
    <w:p w14:paraId="00346BAC" w14:textId="77777777" w:rsidR="006F6A9B" w:rsidRDefault="006F6A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3EC3" w14:textId="77777777" w:rsidR="006F6A9B" w:rsidRDefault="006F6A9B" w:rsidP="00BF6319">
      <w:pPr>
        <w:spacing w:after="0" w:line="240" w:lineRule="auto"/>
      </w:pPr>
      <w:r>
        <w:separator/>
      </w:r>
    </w:p>
  </w:footnote>
  <w:footnote w:type="continuationSeparator" w:id="0">
    <w:p w14:paraId="5F32F134" w14:textId="77777777" w:rsidR="006F6A9B" w:rsidRDefault="006F6A9B" w:rsidP="00BF6319">
      <w:pPr>
        <w:spacing w:after="0" w:line="240" w:lineRule="auto"/>
      </w:pPr>
      <w:r>
        <w:continuationSeparator/>
      </w:r>
    </w:p>
  </w:footnote>
  <w:footnote w:type="continuationNotice" w:id="1">
    <w:p w14:paraId="2C14E2CC" w14:textId="77777777" w:rsidR="006F6A9B" w:rsidRDefault="006F6A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5B72" w14:textId="3A7E1DC7" w:rsidR="00876083" w:rsidRPr="00E364E3" w:rsidRDefault="00876083" w:rsidP="00A07E2B">
    <w:pPr>
      <w:pStyle w:val="Header"/>
      <w:jc w:val="center"/>
    </w:pPr>
    <w:r w:rsidRPr="00E364E3">
      <w:rPr>
        <w:noProof/>
      </w:rPr>
      <w:drawing>
        <wp:anchor distT="0" distB="0" distL="114300" distR="114300" simplePos="0" relativeHeight="251658241" behindDoc="0" locked="0" layoutInCell="1" allowOverlap="1" wp14:anchorId="10295AF4" wp14:editId="1D92EEA0">
          <wp:simplePos x="0" y="0"/>
          <wp:positionH relativeFrom="margin">
            <wp:posOffset>4625975</wp:posOffset>
          </wp:positionH>
          <wp:positionV relativeFrom="paragraph">
            <wp:posOffset>126365</wp:posOffset>
          </wp:positionV>
          <wp:extent cx="1676400" cy="542925"/>
          <wp:effectExtent l="0" t="0" r="0" b="9525"/>
          <wp:wrapSquare wrapText="bothSides"/>
          <wp:docPr id="464086518" name="Picture 464086518" descr="A red and green text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D775BD3-496E-40EB-8FF8-AF131F385E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green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22C7" w:rsidRPr="00E364E3">
      <w:rPr>
        <w:noProof/>
      </w:rPr>
      <w:drawing>
        <wp:anchor distT="0" distB="0" distL="114300" distR="114300" simplePos="0" relativeHeight="251658240" behindDoc="0" locked="0" layoutInCell="1" allowOverlap="1" wp14:anchorId="784CE083" wp14:editId="3C14BEF8">
          <wp:simplePos x="0" y="0"/>
          <wp:positionH relativeFrom="margin">
            <wp:posOffset>4625975</wp:posOffset>
          </wp:positionH>
          <wp:positionV relativeFrom="paragraph">
            <wp:posOffset>126365</wp:posOffset>
          </wp:positionV>
          <wp:extent cx="1676400" cy="542925"/>
          <wp:effectExtent l="0" t="0" r="0" b="9525"/>
          <wp:wrapSquare wrapText="bothSides"/>
          <wp:docPr id="1001494659" name="Picture 1001494659" descr="A red and green text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C3EF8F5-1283-40D0-9233-DA5955E774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green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64E3">
      <w:t xml:space="preserve">                                 OFFICIAL</w:t>
    </w:r>
  </w:p>
  <w:p w14:paraId="4579FDED" w14:textId="77777777" w:rsidR="00876083" w:rsidRDefault="00876083" w:rsidP="001C67A5">
    <w:pPr>
      <w:spacing w:line="240" w:lineRule="auto"/>
      <w:rPr>
        <w:sz w:val="24"/>
        <w:szCs w:val="24"/>
      </w:rPr>
    </w:pPr>
  </w:p>
  <w:p w14:paraId="0791A8D7" w14:textId="2CD54E2D" w:rsidR="00876083" w:rsidRDefault="00876083" w:rsidP="001C67A5">
    <w:pPr>
      <w:spacing w:line="240" w:lineRule="auto"/>
      <w:rPr>
        <w:sz w:val="24"/>
        <w:szCs w:val="24"/>
      </w:rPr>
    </w:pPr>
    <w:r w:rsidRPr="001C67A5">
      <w:rPr>
        <w:sz w:val="24"/>
        <w:szCs w:val="24"/>
      </w:rPr>
      <w:t xml:space="preserve">Tender – Appendix </w:t>
    </w:r>
    <w:r>
      <w:rPr>
        <w:sz w:val="24"/>
        <w:szCs w:val="24"/>
      </w:rPr>
      <w:t>B</w:t>
    </w:r>
    <w:r w:rsidRPr="001C67A5">
      <w:rPr>
        <w:sz w:val="24"/>
        <w:szCs w:val="24"/>
      </w:rPr>
      <w:t>: Organisational Standards</w:t>
    </w:r>
    <w:r>
      <w:rPr>
        <w:sz w:val="24"/>
        <w:szCs w:val="24"/>
      </w:rPr>
      <w:t xml:space="preserve"> </w:t>
    </w:r>
  </w:p>
  <w:p w14:paraId="2D698152" w14:textId="77777777" w:rsidR="00876083" w:rsidRPr="001C67A5" w:rsidRDefault="00876083" w:rsidP="001C67A5">
    <w:pPr>
      <w:pStyle w:val="Header"/>
      <w:rPr>
        <w:sz w:val="24"/>
        <w:szCs w:val="24"/>
      </w:rPr>
    </w:pPr>
    <w:r w:rsidRPr="001C67A5">
      <w:rPr>
        <w:sz w:val="24"/>
        <w:szCs w:val="24"/>
      </w:rPr>
      <w:t>Title: Mobilising On-Call Availability Software</w:t>
    </w:r>
  </w:p>
  <w:p w14:paraId="4392F850" w14:textId="77777777" w:rsidR="00876083" w:rsidRPr="001C67A5" w:rsidRDefault="00876083" w:rsidP="001C67A5">
    <w:pPr>
      <w:pStyle w:val="Header"/>
      <w:rPr>
        <w:sz w:val="24"/>
        <w:szCs w:val="24"/>
      </w:rPr>
    </w:pPr>
    <w:r w:rsidRPr="001C67A5">
      <w:rPr>
        <w:sz w:val="24"/>
        <w:szCs w:val="24"/>
      </w:rPr>
      <w:t>Ref: PA23GPAGST2</w:t>
    </w:r>
  </w:p>
  <w:p w14:paraId="5970F234" w14:textId="77777777" w:rsidR="00876083" w:rsidRDefault="00876083" w:rsidP="00A07E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53D"/>
    <w:multiLevelType w:val="hybridMultilevel"/>
    <w:tmpl w:val="3796FAFC"/>
    <w:lvl w:ilvl="0" w:tplc="08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BFB5342"/>
    <w:multiLevelType w:val="hybridMultilevel"/>
    <w:tmpl w:val="5C7A4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0444"/>
    <w:multiLevelType w:val="hybridMultilevel"/>
    <w:tmpl w:val="9F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A404F"/>
    <w:multiLevelType w:val="hybridMultilevel"/>
    <w:tmpl w:val="A42CB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B15AA"/>
    <w:multiLevelType w:val="multilevel"/>
    <w:tmpl w:val="7AC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554D7"/>
    <w:multiLevelType w:val="hybridMultilevel"/>
    <w:tmpl w:val="04EC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96A7F"/>
    <w:multiLevelType w:val="multilevel"/>
    <w:tmpl w:val="CAE6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76FEC"/>
    <w:multiLevelType w:val="hybridMultilevel"/>
    <w:tmpl w:val="1292BE0E"/>
    <w:lvl w:ilvl="0" w:tplc="20388A52">
      <w:start w:val="5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07AB3"/>
    <w:multiLevelType w:val="multilevel"/>
    <w:tmpl w:val="FBB4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53FD3"/>
    <w:multiLevelType w:val="multilevel"/>
    <w:tmpl w:val="AC4A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2520B"/>
    <w:multiLevelType w:val="hybridMultilevel"/>
    <w:tmpl w:val="65224D96"/>
    <w:lvl w:ilvl="0" w:tplc="39A2631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91D88"/>
    <w:multiLevelType w:val="hybridMultilevel"/>
    <w:tmpl w:val="35BA8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C2959"/>
    <w:multiLevelType w:val="multilevel"/>
    <w:tmpl w:val="7AC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E66AE9"/>
    <w:multiLevelType w:val="multilevel"/>
    <w:tmpl w:val="7620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F7D71"/>
    <w:multiLevelType w:val="hybridMultilevel"/>
    <w:tmpl w:val="7D06D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2528F"/>
    <w:multiLevelType w:val="multilevel"/>
    <w:tmpl w:val="D91A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12627E"/>
    <w:multiLevelType w:val="multilevel"/>
    <w:tmpl w:val="7AC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578C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F045FB"/>
    <w:multiLevelType w:val="hybridMultilevel"/>
    <w:tmpl w:val="F4564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042CC0"/>
    <w:multiLevelType w:val="hybridMultilevel"/>
    <w:tmpl w:val="EF92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918051">
    <w:abstractNumId w:val="14"/>
  </w:num>
  <w:num w:numId="2" w16cid:durableId="1173646464">
    <w:abstractNumId w:val="0"/>
  </w:num>
  <w:num w:numId="3" w16cid:durableId="1175530541">
    <w:abstractNumId w:val="8"/>
  </w:num>
  <w:num w:numId="4" w16cid:durableId="1489519570">
    <w:abstractNumId w:val="16"/>
  </w:num>
  <w:num w:numId="5" w16cid:durableId="1560705643">
    <w:abstractNumId w:val="13"/>
  </w:num>
  <w:num w:numId="6" w16cid:durableId="1578905616">
    <w:abstractNumId w:val="1"/>
  </w:num>
  <w:num w:numId="7" w16cid:durableId="1667518934">
    <w:abstractNumId w:val="4"/>
  </w:num>
  <w:num w:numId="8" w16cid:durableId="1723097683">
    <w:abstractNumId w:val="11"/>
  </w:num>
  <w:num w:numId="9" w16cid:durableId="1731154848">
    <w:abstractNumId w:val="18"/>
  </w:num>
  <w:num w:numId="10" w16cid:durableId="1735081266">
    <w:abstractNumId w:val="19"/>
  </w:num>
  <w:num w:numId="11" w16cid:durableId="1744450657">
    <w:abstractNumId w:val="12"/>
  </w:num>
  <w:num w:numId="12" w16cid:durableId="1765760449">
    <w:abstractNumId w:val="15"/>
  </w:num>
  <w:num w:numId="13" w16cid:durableId="1825778383">
    <w:abstractNumId w:val="9"/>
  </w:num>
  <w:num w:numId="14" w16cid:durableId="1972518032">
    <w:abstractNumId w:val="3"/>
  </w:num>
  <w:num w:numId="15" w16cid:durableId="413817892">
    <w:abstractNumId w:val="10"/>
  </w:num>
  <w:num w:numId="16" w16cid:durableId="558177121">
    <w:abstractNumId w:val="2"/>
  </w:num>
  <w:num w:numId="17" w16cid:durableId="612857357">
    <w:abstractNumId w:val="5"/>
  </w:num>
  <w:num w:numId="18" w16cid:durableId="657537983">
    <w:abstractNumId w:val="6"/>
  </w:num>
  <w:num w:numId="19" w16cid:durableId="980963139">
    <w:abstractNumId w:val="7"/>
  </w:num>
  <w:num w:numId="20" w16cid:durableId="14408299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47"/>
    <w:rsid w:val="0001646D"/>
    <w:rsid w:val="00024871"/>
    <w:rsid w:val="000326BE"/>
    <w:rsid w:val="00040B2C"/>
    <w:rsid w:val="00067E00"/>
    <w:rsid w:val="0008158E"/>
    <w:rsid w:val="0008167C"/>
    <w:rsid w:val="000C3BBB"/>
    <w:rsid w:val="000C77B8"/>
    <w:rsid w:val="000D0675"/>
    <w:rsid w:val="000E2F64"/>
    <w:rsid w:val="000E3461"/>
    <w:rsid w:val="000E6DF2"/>
    <w:rsid w:val="00111869"/>
    <w:rsid w:val="001625AC"/>
    <w:rsid w:val="00186AC5"/>
    <w:rsid w:val="00187B62"/>
    <w:rsid w:val="001B068A"/>
    <w:rsid w:val="001C67A5"/>
    <w:rsid w:val="002061BB"/>
    <w:rsid w:val="00216189"/>
    <w:rsid w:val="00231194"/>
    <w:rsid w:val="00231310"/>
    <w:rsid w:val="00231FE8"/>
    <w:rsid w:val="002572D1"/>
    <w:rsid w:val="00262B62"/>
    <w:rsid w:val="002723A2"/>
    <w:rsid w:val="00291F72"/>
    <w:rsid w:val="002B1F64"/>
    <w:rsid w:val="002C1158"/>
    <w:rsid w:val="002C5733"/>
    <w:rsid w:val="002D152D"/>
    <w:rsid w:val="002E4E64"/>
    <w:rsid w:val="003108A3"/>
    <w:rsid w:val="00314A04"/>
    <w:rsid w:val="00322C7B"/>
    <w:rsid w:val="0033145E"/>
    <w:rsid w:val="00354F37"/>
    <w:rsid w:val="00363E9D"/>
    <w:rsid w:val="00375025"/>
    <w:rsid w:val="003812B7"/>
    <w:rsid w:val="003A1CC4"/>
    <w:rsid w:val="003F614F"/>
    <w:rsid w:val="004127F5"/>
    <w:rsid w:val="00422B4A"/>
    <w:rsid w:val="004276A1"/>
    <w:rsid w:val="00432E54"/>
    <w:rsid w:val="0043568B"/>
    <w:rsid w:val="00445FB8"/>
    <w:rsid w:val="00450F5B"/>
    <w:rsid w:val="004548AA"/>
    <w:rsid w:val="00460D81"/>
    <w:rsid w:val="004950FC"/>
    <w:rsid w:val="004A0021"/>
    <w:rsid w:val="004B2569"/>
    <w:rsid w:val="004C3E02"/>
    <w:rsid w:val="004D199C"/>
    <w:rsid w:val="005075A4"/>
    <w:rsid w:val="00524641"/>
    <w:rsid w:val="0054717D"/>
    <w:rsid w:val="00556C6F"/>
    <w:rsid w:val="00560B49"/>
    <w:rsid w:val="00565FC6"/>
    <w:rsid w:val="005B1047"/>
    <w:rsid w:val="005C1180"/>
    <w:rsid w:val="005C3986"/>
    <w:rsid w:val="005C5E17"/>
    <w:rsid w:val="005D0E59"/>
    <w:rsid w:val="005E1836"/>
    <w:rsid w:val="00602CE1"/>
    <w:rsid w:val="0060506A"/>
    <w:rsid w:val="00636719"/>
    <w:rsid w:val="0064136A"/>
    <w:rsid w:val="00653290"/>
    <w:rsid w:val="0065470D"/>
    <w:rsid w:val="006622C7"/>
    <w:rsid w:val="00662A1D"/>
    <w:rsid w:val="006631D7"/>
    <w:rsid w:val="006740DD"/>
    <w:rsid w:val="006926C2"/>
    <w:rsid w:val="006A111B"/>
    <w:rsid w:val="006A3517"/>
    <w:rsid w:val="006A6BFC"/>
    <w:rsid w:val="006B264F"/>
    <w:rsid w:val="006B5198"/>
    <w:rsid w:val="006D6614"/>
    <w:rsid w:val="006F1408"/>
    <w:rsid w:val="006F6A9B"/>
    <w:rsid w:val="00711481"/>
    <w:rsid w:val="0072016E"/>
    <w:rsid w:val="00736F57"/>
    <w:rsid w:val="007371F3"/>
    <w:rsid w:val="0075690F"/>
    <w:rsid w:val="00757FCF"/>
    <w:rsid w:val="00764215"/>
    <w:rsid w:val="00764B6D"/>
    <w:rsid w:val="007655A5"/>
    <w:rsid w:val="00770833"/>
    <w:rsid w:val="00785293"/>
    <w:rsid w:val="00786C22"/>
    <w:rsid w:val="00792078"/>
    <w:rsid w:val="007A41BD"/>
    <w:rsid w:val="007A7894"/>
    <w:rsid w:val="007C5158"/>
    <w:rsid w:val="007D4360"/>
    <w:rsid w:val="007D7F93"/>
    <w:rsid w:val="00807F77"/>
    <w:rsid w:val="00836B2F"/>
    <w:rsid w:val="00876083"/>
    <w:rsid w:val="008A240C"/>
    <w:rsid w:val="008C7B02"/>
    <w:rsid w:val="008D0EA1"/>
    <w:rsid w:val="008F70CE"/>
    <w:rsid w:val="00926AED"/>
    <w:rsid w:val="00936D86"/>
    <w:rsid w:val="009416C2"/>
    <w:rsid w:val="0094174B"/>
    <w:rsid w:val="00971E56"/>
    <w:rsid w:val="009834C2"/>
    <w:rsid w:val="00985535"/>
    <w:rsid w:val="00987E71"/>
    <w:rsid w:val="0099681B"/>
    <w:rsid w:val="009B5B8E"/>
    <w:rsid w:val="009C4108"/>
    <w:rsid w:val="009C496E"/>
    <w:rsid w:val="009E2B14"/>
    <w:rsid w:val="00A06F31"/>
    <w:rsid w:val="00A07E2B"/>
    <w:rsid w:val="00A138CA"/>
    <w:rsid w:val="00A26F3A"/>
    <w:rsid w:val="00A52261"/>
    <w:rsid w:val="00A6036D"/>
    <w:rsid w:val="00A7482B"/>
    <w:rsid w:val="00A76E15"/>
    <w:rsid w:val="00A82097"/>
    <w:rsid w:val="00A82282"/>
    <w:rsid w:val="00A83ED4"/>
    <w:rsid w:val="00A879C2"/>
    <w:rsid w:val="00AB7920"/>
    <w:rsid w:val="00AD2C07"/>
    <w:rsid w:val="00AD54B6"/>
    <w:rsid w:val="00AF48BA"/>
    <w:rsid w:val="00B20827"/>
    <w:rsid w:val="00B35B13"/>
    <w:rsid w:val="00B96781"/>
    <w:rsid w:val="00BB34A7"/>
    <w:rsid w:val="00BC014D"/>
    <w:rsid w:val="00BD6262"/>
    <w:rsid w:val="00BF1573"/>
    <w:rsid w:val="00BF6319"/>
    <w:rsid w:val="00C23B9D"/>
    <w:rsid w:val="00C24286"/>
    <w:rsid w:val="00C435E1"/>
    <w:rsid w:val="00C473AD"/>
    <w:rsid w:val="00C4780C"/>
    <w:rsid w:val="00C531F7"/>
    <w:rsid w:val="00C61924"/>
    <w:rsid w:val="00C716CE"/>
    <w:rsid w:val="00C90B4B"/>
    <w:rsid w:val="00CB0C33"/>
    <w:rsid w:val="00CD526C"/>
    <w:rsid w:val="00CE115E"/>
    <w:rsid w:val="00CE7731"/>
    <w:rsid w:val="00CF45AE"/>
    <w:rsid w:val="00D1418B"/>
    <w:rsid w:val="00D21A48"/>
    <w:rsid w:val="00D2231E"/>
    <w:rsid w:val="00D47D05"/>
    <w:rsid w:val="00D65DB4"/>
    <w:rsid w:val="00D772C5"/>
    <w:rsid w:val="00D77338"/>
    <w:rsid w:val="00DB2D3B"/>
    <w:rsid w:val="00DB3799"/>
    <w:rsid w:val="00DC548E"/>
    <w:rsid w:val="00DE04F3"/>
    <w:rsid w:val="00DE194C"/>
    <w:rsid w:val="00DF6CF9"/>
    <w:rsid w:val="00DF7D97"/>
    <w:rsid w:val="00E364E3"/>
    <w:rsid w:val="00E436BD"/>
    <w:rsid w:val="00E75107"/>
    <w:rsid w:val="00E82216"/>
    <w:rsid w:val="00E9078B"/>
    <w:rsid w:val="00E90C70"/>
    <w:rsid w:val="00E937E9"/>
    <w:rsid w:val="00E93C49"/>
    <w:rsid w:val="00EA0002"/>
    <w:rsid w:val="00EB0ED5"/>
    <w:rsid w:val="00EB4213"/>
    <w:rsid w:val="00EC1D92"/>
    <w:rsid w:val="00EC377B"/>
    <w:rsid w:val="00ED28AD"/>
    <w:rsid w:val="00ED4299"/>
    <w:rsid w:val="00EE3582"/>
    <w:rsid w:val="00F07046"/>
    <w:rsid w:val="00F119D5"/>
    <w:rsid w:val="00F33C78"/>
    <w:rsid w:val="00F43B66"/>
    <w:rsid w:val="00F52D53"/>
    <w:rsid w:val="00F54228"/>
    <w:rsid w:val="00F54CBF"/>
    <w:rsid w:val="00F606D7"/>
    <w:rsid w:val="00F62CA2"/>
    <w:rsid w:val="00F639CE"/>
    <w:rsid w:val="00F82254"/>
    <w:rsid w:val="00FB6B68"/>
    <w:rsid w:val="00FC19D8"/>
    <w:rsid w:val="00FE251E"/>
    <w:rsid w:val="0EDC3306"/>
    <w:rsid w:val="10586C76"/>
    <w:rsid w:val="108A727F"/>
    <w:rsid w:val="137DF640"/>
    <w:rsid w:val="1945328E"/>
    <w:rsid w:val="1FA66DA7"/>
    <w:rsid w:val="208089A4"/>
    <w:rsid w:val="3397804D"/>
    <w:rsid w:val="3E65AE86"/>
    <w:rsid w:val="43B05D22"/>
    <w:rsid w:val="47B569AE"/>
    <w:rsid w:val="4933B510"/>
    <w:rsid w:val="5164E40C"/>
    <w:rsid w:val="56CC6295"/>
    <w:rsid w:val="5E68F3EE"/>
    <w:rsid w:val="629A08A5"/>
    <w:rsid w:val="6617D076"/>
    <w:rsid w:val="6773E625"/>
    <w:rsid w:val="6821D464"/>
    <w:rsid w:val="6DFD7481"/>
    <w:rsid w:val="6EFF17E4"/>
    <w:rsid w:val="7DBEB607"/>
    <w:rsid w:val="7DE2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B0132"/>
  <w15:chartTrackingRefBased/>
  <w15:docId w15:val="{C2940876-6FF2-485F-A86F-63585B6F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B8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0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36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0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104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0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04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6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319"/>
  </w:style>
  <w:style w:type="paragraph" w:styleId="Footer">
    <w:name w:val="footer"/>
    <w:basedOn w:val="Normal"/>
    <w:link w:val="FooterChar"/>
    <w:uiPriority w:val="99"/>
    <w:unhideWhenUsed/>
    <w:rsid w:val="00BF6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319"/>
  </w:style>
  <w:style w:type="character" w:styleId="FollowedHyperlink">
    <w:name w:val="FollowedHyperlink"/>
    <w:basedOn w:val="DefaultParagraphFont"/>
    <w:uiPriority w:val="99"/>
    <w:semiHidden/>
    <w:unhideWhenUsed/>
    <w:rsid w:val="00C23B9D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52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24641"/>
  </w:style>
  <w:style w:type="character" w:customStyle="1" w:styleId="eop">
    <w:name w:val="eop"/>
    <w:basedOn w:val="DefaultParagraphFont"/>
    <w:rsid w:val="00524641"/>
  </w:style>
  <w:style w:type="paragraph" w:styleId="NoSpacing">
    <w:name w:val="No Spacing"/>
    <w:uiPriority w:val="1"/>
    <w:qFormat/>
    <w:rsid w:val="00291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E6E695FF5BC4FAE46B14A8E19FB49" ma:contentTypeVersion="7" ma:contentTypeDescription="Create a new document." ma:contentTypeScope="" ma:versionID="12379eb80192bff31bf145aae63caa69">
  <xsd:schema xmlns:xsd="http://www.w3.org/2001/XMLSchema" xmlns:xs="http://www.w3.org/2001/XMLSchema" xmlns:p="http://schemas.microsoft.com/office/2006/metadata/properties" xmlns:ns2="23d1b5a2-60b3-4e8b-acb1-71a3c5296f9c" targetNamespace="http://schemas.microsoft.com/office/2006/metadata/properties" ma:root="true" ma:fieldsID="cc5c599fcb806f3042133028702cb7f9" ns2:_="">
    <xsd:import namespace="23d1b5a2-60b3-4e8b-acb1-71a3c5296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b5a2-60b3-4e8b-acb1-71a3c5296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09e74da-8c42-47ff-a2b2-b544444cc05f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E30E71-839C-4FCF-895B-83072704C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CF0E6-39B1-44EB-81C5-E6D117525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b5a2-60b3-4e8b-acb1-71a3c5296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41EBF-9AB9-428B-9655-3378623145F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56AAD48-4C1B-486F-A7CC-14236C00A6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4673</Characters>
  <Application>Microsoft Office Word</Application>
  <DocSecurity>0</DocSecurity>
  <Lines>111</Lines>
  <Paragraphs>76</Paragraphs>
  <ScaleCrop>false</ScaleCrop>
  <Company/>
  <LinksUpToDate>false</LinksUpToDate>
  <CharactersWithSpaces>5374</CharactersWithSpaces>
  <SharedDoc>false</SharedDoc>
  <HLinks>
    <vt:vector size="60" baseType="variant">
      <vt:variant>
        <vt:i4>1900568</vt:i4>
      </vt:variant>
      <vt:variant>
        <vt:i4>12</vt:i4>
      </vt:variant>
      <vt:variant>
        <vt:i4>0</vt:i4>
      </vt:variant>
      <vt:variant>
        <vt:i4>5</vt:i4>
      </vt:variant>
      <vt:variant>
        <vt:lpwstr>https://ico.org.uk/for-organisations/uk-gdpr-guidance-and-resources/personal-information-what-is-it/what-is-personal-data/what-is-personal-data/</vt:lpwstr>
      </vt:variant>
      <vt:variant>
        <vt:lpwstr/>
      </vt:variant>
      <vt:variant>
        <vt:i4>1441792</vt:i4>
      </vt:variant>
      <vt:variant>
        <vt:i4>9</vt:i4>
      </vt:variant>
      <vt:variant>
        <vt:i4>0</vt:i4>
      </vt:variant>
      <vt:variant>
        <vt:i4>5</vt:i4>
      </vt:variant>
      <vt:variant>
        <vt:lpwstr>https://www.ncsc.gov.uk/guidance/supplier-assurance-questions</vt:lpwstr>
      </vt:variant>
      <vt:variant>
        <vt:lpwstr/>
      </vt:variant>
      <vt:variant>
        <vt:i4>2883643</vt:i4>
      </vt:variant>
      <vt:variant>
        <vt:i4>6</vt:i4>
      </vt:variant>
      <vt:variant>
        <vt:i4>0</vt:i4>
      </vt:variant>
      <vt:variant>
        <vt:i4>5</vt:i4>
      </vt:variant>
      <vt:variant>
        <vt:lpwstr>https://www.ncsc.gov.uk/collection/assess-supply-chain-cyber-security/executive-summary</vt:lpwstr>
      </vt:variant>
      <vt:variant>
        <vt:lpwstr/>
      </vt:variant>
      <vt:variant>
        <vt:i4>196693</vt:i4>
      </vt:variant>
      <vt:variant>
        <vt:i4>3</vt:i4>
      </vt:variant>
      <vt:variant>
        <vt:i4>0</vt:i4>
      </vt:variant>
      <vt:variant>
        <vt:i4>5</vt:i4>
      </vt:variant>
      <vt:variant>
        <vt:lpwstr>https://www.bbc.co.uk/news/articles/c729e3qr48qo</vt:lpwstr>
      </vt:variant>
      <vt:variant>
        <vt:lpwstr/>
      </vt:variant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https://www.ncsc.gov.uk/collection/assess-supply-chain-cyber-security/understanding-the-threat</vt:lpwstr>
      </vt:variant>
      <vt:variant>
        <vt:lpwstr/>
      </vt:variant>
      <vt:variant>
        <vt:i4>1900568</vt:i4>
      </vt:variant>
      <vt:variant>
        <vt:i4>12</vt:i4>
      </vt:variant>
      <vt:variant>
        <vt:i4>0</vt:i4>
      </vt:variant>
      <vt:variant>
        <vt:i4>5</vt:i4>
      </vt:variant>
      <vt:variant>
        <vt:lpwstr>https://ico.org.uk/for-organisations/uk-gdpr-guidance-and-resources/personal-information-what-is-it/what-is-personal-data/what-is-personal-data/</vt:lpwstr>
      </vt:variant>
      <vt:variant>
        <vt:lpwstr/>
      </vt:variant>
      <vt:variant>
        <vt:i4>1441792</vt:i4>
      </vt:variant>
      <vt:variant>
        <vt:i4>9</vt:i4>
      </vt:variant>
      <vt:variant>
        <vt:i4>0</vt:i4>
      </vt:variant>
      <vt:variant>
        <vt:i4>5</vt:i4>
      </vt:variant>
      <vt:variant>
        <vt:lpwstr>https://www.ncsc.gov.uk/guidance/supplier-assurance-questions</vt:lpwstr>
      </vt:variant>
      <vt:variant>
        <vt:lpwstr/>
      </vt:variant>
      <vt:variant>
        <vt:i4>2883643</vt:i4>
      </vt:variant>
      <vt:variant>
        <vt:i4>6</vt:i4>
      </vt:variant>
      <vt:variant>
        <vt:i4>0</vt:i4>
      </vt:variant>
      <vt:variant>
        <vt:i4>5</vt:i4>
      </vt:variant>
      <vt:variant>
        <vt:lpwstr>https://www.ncsc.gov.uk/collection/assess-supply-chain-cyber-security/executive-summary</vt:lpwstr>
      </vt:variant>
      <vt:variant>
        <vt:lpwstr/>
      </vt:variant>
      <vt:variant>
        <vt:i4>196693</vt:i4>
      </vt:variant>
      <vt:variant>
        <vt:i4>3</vt:i4>
      </vt:variant>
      <vt:variant>
        <vt:i4>0</vt:i4>
      </vt:variant>
      <vt:variant>
        <vt:i4>5</vt:i4>
      </vt:variant>
      <vt:variant>
        <vt:lpwstr>https://www.bbc.co.uk/news/articles/c729e3qr48qo</vt:lpwstr>
      </vt:variant>
      <vt:variant>
        <vt:lpwstr/>
      </vt:variant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https://www.ncsc.gov.uk/collection/assess-supply-chain-cyber-security/understanding-the-threat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Dafydd Lawrence</dc:creator>
  <cp:keywords/>
  <dc:description/>
  <cp:lastModifiedBy>David Williams</cp:lastModifiedBy>
  <cp:revision>3</cp:revision>
  <dcterms:created xsi:type="dcterms:W3CDTF">2026-07-20T14:43:00Z</dcterms:created>
  <dcterms:modified xsi:type="dcterms:W3CDTF">2026-07-20T15:24:00Z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0x010100F8DE6E695FF5BC4FAE46B14A8E19FB49</vt:lpwstr>
  </property>
  <property fmtid="{D5CDD505-2E9C-101B-9397-08002B2CF9AE}" pid="3" name="GrammarlyDocumentId">
    <vt:lpwstr>a6abaf6b-de87-4d93-981d-8b83a93787ae</vt:lpwstr>
  </property>
</Properties>
</file>