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38E7E" w14:textId="6A585C19" w:rsidR="00A94F1A" w:rsidRPr="00A94F1A" w:rsidRDefault="001C67A5" w:rsidP="00BF02DC">
      <w:pPr>
        <w:pStyle w:val="Heading1"/>
        <w:numPr>
          <w:ilvl w:val="0"/>
          <w:numId w:val="0"/>
        </w:numPr>
        <w:ind w:left="360" w:hanging="360"/>
      </w:pPr>
      <w:bookmarkStart w:id="0" w:name="_Toc229387054"/>
      <w:r>
        <w:t xml:space="preserve">Appendix </w:t>
      </w:r>
      <w:r w:rsidR="009C07CA">
        <w:t>C</w:t>
      </w:r>
      <w:r w:rsidR="00354F37">
        <w:t xml:space="preserve">:  </w:t>
      </w:r>
      <w:bookmarkEnd w:id="0"/>
      <w:r w:rsidR="00055ACF">
        <w:t xml:space="preserve">MAWWFRS </w:t>
      </w:r>
      <w:r w:rsidR="0093364F">
        <w:t xml:space="preserve">ICT Standards, </w:t>
      </w:r>
      <w:r w:rsidR="00D20F90">
        <w:t xml:space="preserve">API’s, </w:t>
      </w:r>
      <w:r w:rsidR="00B81319">
        <w:t xml:space="preserve">KPI’s and </w:t>
      </w:r>
      <w:r w:rsidR="00D20F90">
        <w:t>Service Level</w:t>
      </w:r>
      <w:r w:rsidR="00F55811">
        <w:t xml:space="preserve"> </w:t>
      </w:r>
      <w:r w:rsidR="00D20F90">
        <w:t>Agreements</w:t>
      </w:r>
      <w:r w:rsidR="00B81319">
        <w:t xml:space="preserve"> </w:t>
      </w:r>
      <w:r w:rsidR="00D20F90">
        <w:t>&amp; Data Protection Statement</w:t>
      </w:r>
    </w:p>
    <w:p w14:paraId="24FF74BE" w14:textId="0A4A7E5C" w:rsidR="00B25561" w:rsidRPr="00626E19" w:rsidRDefault="0093364F">
      <w:pPr>
        <w:pStyle w:val="Heading1"/>
        <w:numPr>
          <w:ilvl w:val="0"/>
          <w:numId w:val="18"/>
        </w:numPr>
      </w:pPr>
      <w:bookmarkStart w:id="1" w:name="_Toc228276322"/>
      <w:r w:rsidRPr="00626E19">
        <w:t>ICT</w:t>
      </w:r>
      <w:r w:rsidR="00DA1F2D" w:rsidRPr="00626E19">
        <w:t xml:space="preserve"> </w:t>
      </w:r>
      <w:r w:rsidR="00B25561" w:rsidRPr="00626E19">
        <w:t>Procurement and Supplier Standards</w:t>
      </w:r>
      <w:bookmarkEnd w:id="1"/>
    </w:p>
    <w:p w14:paraId="79880E67" w14:textId="43AE98BD" w:rsidR="00DA1F2D" w:rsidRPr="00962639" w:rsidRDefault="00CA58B5" w:rsidP="00EB7C92">
      <w:pPr>
        <w:pStyle w:val="Heading1"/>
      </w:pPr>
      <w:r w:rsidRPr="00962639">
        <w:t>Strategic Alignment with Digital Automation</w:t>
      </w:r>
    </w:p>
    <w:p w14:paraId="3258505A" w14:textId="5DE77C5B" w:rsidR="00962639" w:rsidRPr="00962639" w:rsidRDefault="00962639" w:rsidP="00962639">
      <w:pPr>
        <w:rPr>
          <w:lang w:eastAsia="en-GB"/>
        </w:rPr>
      </w:pPr>
      <w:r w:rsidRPr="00962639">
        <w:rPr>
          <w:lang w:eastAsia="en-GB"/>
        </w:rPr>
        <w:t xml:space="preserve">All proposed solutions </w:t>
      </w:r>
      <w:r w:rsidR="00BC199A">
        <w:rPr>
          <w:lang w:eastAsia="en-GB"/>
        </w:rPr>
        <w:t>must</w:t>
      </w:r>
      <w:r w:rsidRPr="00962639">
        <w:rPr>
          <w:lang w:eastAsia="en-GB"/>
        </w:rPr>
        <w:t xml:space="preserve"> align with the MAWWFRS Digital Automation Strategy. </w:t>
      </w:r>
      <w:r w:rsidR="00C14803">
        <w:rPr>
          <w:lang w:eastAsia="en-GB"/>
        </w:rPr>
        <w:t xml:space="preserve"> </w:t>
      </w:r>
      <w:r w:rsidRPr="00962639">
        <w:rPr>
          <w:lang w:eastAsia="en-GB"/>
        </w:rPr>
        <w:t>This is critical to ensure that any procured system can be securely integrated into automated workflows, support interoperability across partner systems, and contribute to long-term digital transformation objectives.</w:t>
      </w:r>
    </w:p>
    <w:p w14:paraId="010F4D10" w14:textId="74DB7739" w:rsidR="00962639" w:rsidRPr="00962639" w:rsidRDefault="00962639" w:rsidP="00962639">
      <w:pPr>
        <w:rPr>
          <w:lang w:eastAsia="en-GB"/>
        </w:rPr>
      </w:pPr>
      <w:r w:rsidRPr="00962639">
        <w:rPr>
          <w:lang w:eastAsia="en-GB"/>
        </w:rPr>
        <w:t xml:space="preserve">Suppliers are expected to demonstrate how their solution supports automation-first design principles, reduces manual intervention, and enables seamless data exchange across the </w:t>
      </w:r>
      <w:r w:rsidR="008C0FC7">
        <w:rPr>
          <w:lang w:eastAsia="en-GB"/>
        </w:rPr>
        <w:t>named FR</w:t>
      </w:r>
      <w:r w:rsidRPr="00962639">
        <w:rPr>
          <w:lang w:eastAsia="en-GB"/>
        </w:rPr>
        <w:t>S’s digital ecosystem</w:t>
      </w:r>
      <w:r w:rsidR="008C0FC7">
        <w:rPr>
          <w:lang w:eastAsia="en-GB"/>
        </w:rPr>
        <w:t>s</w:t>
      </w:r>
      <w:r w:rsidRPr="00962639">
        <w:rPr>
          <w:lang w:eastAsia="en-GB"/>
        </w:rPr>
        <w:t>.</w:t>
      </w:r>
    </w:p>
    <w:p w14:paraId="5F269C91" w14:textId="77777777" w:rsidR="00626E19" w:rsidRPr="00E027E4" w:rsidRDefault="00626E19" w:rsidP="009D1714">
      <w:pPr>
        <w:pStyle w:val="NoSpacing"/>
      </w:pPr>
    </w:p>
    <w:p w14:paraId="47F2833D" w14:textId="5CD0E2F7" w:rsidR="00B25561" w:rsidRPr="00E027E4" w:rsidRDefault="00B25561" w:rsidP="00EB7C92">
      <w:pPr>
        <w:pStyle w:val="Heading1"/>
      </w:pPr>
      <w:bookmarkStart w:id="2" w:name="_Toc228276323"/>
      <w:r w:rsidRPr="00E027E4">
        <w:t>API and Integration Requirements</w:t>
      </w:r>
      <w:bookmarkEnd w:id="2"/>
    </w:p>
    <w:p w14:paraId="3DA19E97" w14:textId="7E4882F5" w:rsidR="00B25561" w:rsidRDefault="00E027E4" w:rsidP="009D1714">
      <w:pPr>
        <w:pStyle w:val="NormalWeb"/>
        <w:rPr>
          <w:rFonts w:asciiTheme="minorHAnsi" w:hAnsiTheme="minorHAnsi" w:cstheme="minorHAnsi"/>
          <w:sz w:val="22"/>
          <w:szCs w:val="22"/>
        </w:rPr>
      </w:pPr>
      <w:r w:rsidRPr="009D1714">
        <w:rPr>
          <w:rFonts w:asciiTheme="minorHAnsi" w:hAnsiTheme="minorHAnsi" w:cstheme="minorHAnsi"/>
          <w:sz w:val="22"/>
          <w:szCs w:val="22"/>
        </w:rPr>
        <w:t>To support interoperability and future scalability, suppliers must provide</w:t>
      </w:r>
      <w:r w:rsidR="00B25561" w:rsidRPr="009D1714">
        <w:rPr>
          <w:rFonts w:asciiTheme="minorHAnsi" w:hAnsiTheme="minorHAnsi" w:cstheme="minorHAnsi"/>
          <w:sz w:val="22"/>
          <w:szCs w:val="22"/>
        </w:rPr>
        <w:t>:</w:t>
      </w:r>
    </w:p>
    <w:p w14:paraId="0DE60098" w14:textId="77777777" w:rsidR="009D1714" w:rsidRPr="009D1714" w:rsidRDefault="009D1714" w:rsidP="009D1714">
      <w:pPr>
        <w:pStyle w:val="NoSpacing"/>
      </w:pPr>
    </w:p>
    <w:p w14:paraId="7C4DE21D" w14:textId="7E4B5810" w:rsidR="00B25561" w:rsidRPr="00E027E4" w:rsidRDefault="00B25561">
      <w:pPr>
        <w:pStyle w:val="NormalWeb"/>
        <w:numPr>
          <w:ilvl w:val="0"/>
          <w:numId w:val="22"/>
        </w:numPr>
        <w:tabs>
          <w:tab w:val="num" w:pos="1440"/>
        </w:tabs>
        <w:spacing w:after="0"/>
        <w:ind w:left="1440"/>
        <w:rPr>
          <w:rFonts w:asciiTheme="minorHAnsi" w:hAnsiTheme="minorHAnsi" w:cstheme="minorHAnsi"/>
          <w:sz w:val="22"/>
          <w:szCs w:val="22"/>
        </w:rPr>
      </w:pPr>
      <w:r w:rsidRPr="00E027E4">
        <w:rPr>
          <w:rFonts w:asciiTheme="minorHAnsi" w:hAnsiTheme="minorHAnsi" w:cstheme="minorHAnsi"/>
          <w:sz w:val="22"/>
          <w:szCs w:val="22"/>
        </w:rPr>
        <w:t xml:space="preserve">Open, secure, </w:t>
      </w:r>
      <w:r w:rsidR="005C68A2">
        <w:rPr>
          <w:rFonts w:asciiTheme="minorHAnsi" w:hAnsiTheme="minorHAnsi" w:cstheme="minorHAnsi"/>
          <w:sz w:val="22"/>
          <w:szCs w:val="22"/>
        </w:rPr>
        <w:t xml:space="preserve">and </w:t>
      </w:r>
      <w:r w:rsidRPr="00E027E4">
        <w:rPr>
          <w:rFonts w:asciiTheme="minorHAnsi" w:hAnsiTheme="minorHAnsi" w:cstheme="minorHAnsi"/>
          <w:sz w:val="22"/>
          <w:szCs w:val="22"/>
        </w:rPr>
        <w:t>well</w:t>
      </w:r>
      <w:r w:rsidRPr="00E027E4">
        <w:rPr>
          <w:rFonts w:asciiTheme="minorHAnsi" w:hAnsiTheme="minorHAnsi" w:cstheme="minorHAnsi"/>
          <w:sz w:val="22"/>
          <w:szCs w:val="22"/>
        </w:rPr>
        <w:noBreakHyphen/>
        <w:t>documented API</w:t>
      </w:r>
      <w:r w:rsidR="005C68A2">
        <w:rPr>
          <w:rFonts w:asciiTheme="minorHAnsi" w:hAnsiTheme="minorHAnsi" w:cstheme="minorHAnsi"/>
          <w:sz w:val="22"/>
          <w:szCs w:val="22"/>
        </w:rPr>
        <w:t>’</w:t>
      </w:r>
      <w:r w:rsidRPr="00E027E4">
        <w:rPr>
          <w:rFonts w:asciiTheme="minorHAnsi" w:hAnsiTheme="minorHAnsi" w:cstheme="minorHAnsi"/>
          <w:sz w:val="22"/>
          <w:szCs w:val="22"/>
        </w:rPr>
        <w:t xml:space="preserve">s covering key functions </w:t>
      </w:r>
      <w:r w:rsidR="005C68A2">
        <w:rPr>
          <w:rFonts w:asciiTheme="minorHAnsi" w:hAnsiTheme="minorHAnsi" w:cstheme="minorHAnsi"/>
          <w:sz w:val="22"/>
          <w:szCs w:val="22"/>
        </w:rPr>
        <w:t>as standard</w:t>
      </w:r>
    </w:p>
    <w:p w14:paraId="52E87BE1" w14:textId="0295B569" w:rsidR="00B25561" w:rsidRPr="00E027E4" w:rsidRDefault="005C68A2">
      <w:pPr>
        <w:pStyle w:val="NormalWeb"/>
        <w:numPr>
          <w:ilvl w:val="0"/>
          <w:numId w:val="22"/>
        </w:numPr>
        <w:tabs>
          <w:tab w:val="num" w:pos="1440"/>
        </w:tabs>
        <w:spacing w:after="0"/>
        <w:ind w:left="1440"/>
        <w:rPr>
          <w:rFonts w:asciiTheme="minorHAnsi" w:hAnsiTheme="minorHAnsi" w:cstheme="minorHAnsi"/>
          <w:sz w:val="22"/>
          <w:szCs w:val="22"/>
        </w:rPr>
      </w:pPr>
      <w:r>
        <w:rPr>
          <w:rFonts w:asciiTheme="minorHAnsi" w:hAnsiTheme="minorHAnsi" w:cstheme="minorHAnsi"/>
          <w:sz w:val="22"/>
          <w:szCs w:val="22"/>
        </w:rPr>
        <w:t>Access to API documentation</w:t>
      </w:r>
      <w:r w:rsidR="00787DA9">
        <w:rPr>
          <w:rFonts w:asciiTheme="minorHAnsi" w:hAnsiTheme="minorHAnsi" w:cstheme="minorHAnsi"/>
          <w:sz w:val="22"/>
          <w:szCs w:val="22"/>
        </w:rPr>
        <w:t>,</w:t>
      </w:r>
      <w:r w:rsidR="00BF3A1A">
        <w:rPr>
          <w:rFonts w:asciiTheme="minorHAnsi" w:hAnsiTheme="minorHAnsi" w:cstheme="minorHAnsi"/>
          <w:sz w:val="22"/>
          <w:szCs w:val="22"/>
        </w:rPr>
        <w:t xml:space="preserve"> either p</w:t>
      </w:r>
      <w:r w:rsidR="00B25561" w:rsidRPr="00E027E4">
        <w:rPr>
          <w:rFonts w:asciiTheme="minorHAnsi" w:hAnsiTheme="minorHAnsi" w:cstheme="minorHAnsi"/>
          <w:sz w:val="22"/>
          <w:szCs w:val="22"/>
        </w:rPr>
        <w:t xml:space="preserve">ublicly or </w:t>
      </w:r>
      <w:r w:rsidR="00BF3A1A">
        <w:rPr>
          <w:rFonts w:asciiTheme="minorHAnsi" w:hAnsiTheme="minorHAnsi" w:cstheme="minorHAnsi"/>
          <w:sz w:val="22"/>
          <w:szCs w:val="22"/>
        </w:rPr>
        <w:t>prior to contract award</w:t>
      </w:r>
    </w:p>
    <w:p w14:paraId="64A082CC" w14:textId="0F3CDED6" w:rsidR="00B25561" w:rsidRPr="00405C79" w:rsidRDefault="00BF3A1A">
      <w:pPr>
        <w:pStyle w:val="NormalWeb"/>
        <w:numPr>
          <w:ilvl w:val="0"/>
          <w:numId w:val="22"/>
        </w:numPr>
        <w:tabs>
          <w:tab w:val="num" w:pos="1440"/>
        </w:tabs>
        <w:spacing w:after="0"/>
        <w:ind w:left="1440"/>
        <w:rPr>
          <w:rFonts w:asciiTheme="minorHAnsi" w:hAnsiTheme="minorHAnsi" w:cstheme="minorHAnsi"/>
        </w:rPr>
      </w:pPr>
      <w:r w:rsidRPr="00405C79">
        <w:rPr>
          <w:rFonts w:asciiTheme="minorHAnsi" w:hAnsiTheme="minorHAnsi" w:cstheme="minorHAnsi"/>
          <w:sz w:val="22"/>
          <w:szCs w:val="22"/>
        </w:rPr>
        <w:t xml:space="preserve">Evidence that </w:t>
      </w:r>
      <w:r w:rsidR="00B25561" w:rsidRPr="00405C79">
        <w:rPr>
          <w:rFonts w:asciiTheme="minorHAnsi" w:hAnsiTheme="minorHAnsi" w:cstheme="minorHAnsi"/>
          <w:sz w:val="22"/>
          <w:szCs w:val="22"/>
        </w:rPr>
        <w:t xml:space="preserve">API capability forms </w:t>
      </w:r>
      <w:r w:rsidR="00405C79" w:rsidRPr="00405C79">
        <w:rPr>
          <w:rFonts w:asciiTheme="minorHAnsi" w:hAnsiTheme="minorHAnsi" w:cstheme="minorHAnsi"/>
          <w:sz w:val="22"/>
          <w:szCs w:val="22"/>
        </w:rPr>
        <w:t>an integral component of the product offering</w:t>
      </w:r>
    </w:p>
    <w:p w14:paraId="266CCA5B" w14:textId="77777777" w:rsidR="00405C79" w:rsidRPr="00405C79" w:rsidRDefault="00405C79" w:rsidP="00405C79">
      <w:pPr>
        <w:pStyle w:val="NormalWeb"/>
        <w:spacing w:after="0"/>
        <w:ind w:left="1440"/>
        <w:rPr>
          <w:rFonts w:asciiTheme="minorHAnsi" w:hAnsiTheme="minorHAnsi" w:cstheme="minorHAnsi"/>
        </w:rPr>
      </w:pPr>
    </w:p>
    <w:p w14:paraId="24A52210" w14:textId="77777777" w:rsidR="00787DA9" w:rsidRPr="00787DA9" w:rsidRDefault="00787DA9" w:rsidP="00787DA9">
      <w:r w:rsidRPr="00787DA9">
        <w:t>API maturity and integration capability will form part of the technical evaluation and scoring criteria.</w:t>
      </w:r>
    </w:p>
    <w:p w14:paraId="0583527C" w14:textId="65F821AB" w:rsidR="009D1714" w:rsidRDefault="00787DA9" w:rsidP="009D1714">
      <w:r w:rsidRPr="00787DA9">
        <w:t>Solutions based on closed architectures or “integration on request” models will be strongly discouraged.</w:t>
      </w:r>
      <w:bookmarkStart w:id="3" w:name="_Toc228276324"/>
    </w:p>
    <w:p w14:paraId="109AC726" w14:textId="77777777" w:rsidR="009D1714" w:rsidRPr="009D1714" w:rsidRDefault="009D1714" w:rsidP="009D1714">
      <w:pPr>
        <w:pStyle w:val="NoSpacing"/>
      </w:pPr>
    </w:p>
    <w:p w14:paraId="7056F937" w14:textId="24655237" w:rsidR="00B25561" w:rsidRPr="009D1714" w:rsidRDefault="00B25561" w:rsidP="00EB7C92">
      <w:pPr>
        <w:pStyle w:val="Heading1"/>
      </w:pPr>
      <w:r w:rsidRPr="009D1714">
        <w:t>Identity, Access and Single Sign</w:t>
      </w:r>
      <w:r w:rsidRPr="009D1714">
        <w:noBreakHyphen/>
        <w:t>On</w:t>
      </w:r>
      <w:bookmarkEnd w:id="3"/>
      <w:r w:rsidRPr="009D1714">
        <w:t xml:space="preserve"> </w:t>
      </w:r>
    </w:p>
    <w:p w14:paraId="4DB554EE" w14:textId="672BEEFE" w:rsidR="006A7F3B" w:rsidRDefault="006A7F3B" w:rsidP="0039452F">
      <w:pPr>
        <w:rPr>
          <w:lang w:eastAsia="en-GB"/>
        </w:rPr>
      </w:pPr>
      <w:r w:rsidRPr="006A7F3B">
        <w:rPr>
          <w:lang w:eastAsia="en-GB"/>
        </w:rPr>
        <w:t>All systems must integrate with Microsoft Entra ID using modern authentication standards (SAML/</w:t>
      </w:r>
      <w:r>
        <w:rPr>
          <w:lang w:eastAsia="en-GB"/>
        </w:rPr>
        <w:t>OIDC</w:t>
      </w:r>
      <w:r w:rsidRPr="006A7F3B">
        <w:rPr>
          <w:lang w:eastAsia="en-GB"/>
        </w:rPr>
        <w:t xml:space="preserve">). </w:t>
      </w:r>
      <w:r>
        <w:rPr>
          <w:lang w:eastAsia="en-GB"/>
        </w:rPr>
        <w:t xml:space="preserve"> </w:t>
      </w:r>
      <w:r w:rsidRPr="006A7F3B">
        <w:rPr>
          <w:lang w:eastAsia="en-GB"/>
        </w:rPr>
        <w:t>Suppliers must meet one of the following defined standards, with preference given to higher levels of maturity:</w:t>
      </w:r>
    </w:p>
    <w:p w14:paraId="10BEC4D6" w14:textId="77777777" w:rsidR="0039452F" w:rsidRPr="0039452F" w:rsidRDefault="0039452F" w:rsidP="0039452F">
      <w:pPr>
        <w:rPr>
          <w:lang w:eastAsia="en-GB"/>
        </w:rPr>
      </w:pPr>
    </w:p>
    <w:p w14:paraId="53A3B415" w14:textId="343B258B" w:rsidR="00B25561" w:rsidRPr="00673F70" w:rsidRDefault="00B25561" w:rsidP="00B25561">
      <w:pPr>
        <w:pStyle w:val="NormalWeb"/>
        <w:ind w:left="720"/>
        <w:rPr>
          <w:rFonts w:asciiTheme="minorHAnsi" w:hAnsiTheme="minorHAnsi" w:cstheme="minorHAnsi"/>
          <w:highlight w:val="green"/>
        </w:rPr>
      </w:pPr>
    </w:p>
    <w:tbl>
      <w:tblPr>
        <w:tblStyle w:val="ListTable3-Accent1"/>
        <w:tblW w:w="0" w:type="auto"/>
        <w:tblInd w:w="1327" w:type="dxa"/>
        <w:tblLook w:val="04A0" w:firstRow="1" w:lastRow="0" w:firstColumn="1" w:lastColumn="0" w:noHBand="0" w:noVBand="1"/>
      </w:tblPr>
      <w:tblGrid>
        <w:gridCol w:w="1078"/>
        <w:gridCol w:w="4678"/>
      </w:tblGrid>
      <w:tr w:rsidR="00B25561" w:rsidRPr="00673F70" w14:paraId="55F39FD7" w14:textId="77777777" w:rsidTr="008F702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8" w:type="dxa"/>
            <w:hideMark/>
          </w:tcPr>
          <w:p w14:paraId="4A406245" w14:textId="77777777" w:rsidR="00B25561" w:rsidRPr="0039452F" w:rsidRDefault="00B25561" w:rsidP="008F7025">
            <w:pPr>
              <w:pStyle w:val="NormalWeb"/>
              <w:spacing w:after="160" w:line="259" w:lineRule="auto"/>
              <w:jc w:val="center"/>
              <w:rPr>
                <w:rFonts w:asciiTheme="minorHAnsi" w:hAnsiTheme="minorHAnsi" w:cstheme="minorHAnsi"/>
              </w:rPr>
            </w:pPr>
            <w:r w:rsidRPr="0039452F">
              <w:rPr>
                <w:rFonts w:asciiTheme="minorHAnsi" w:hAnsiTheme="minorHAnsi" w:cstheme="minorHAnsi"/>
              </w:rPr>
              <w:t>Level</w:t>
            </w:r>
          </w:p>
        </w:tc>
        <w:tc>
          <w:tcPr>
            <w:tcW w:w="4678" w:type="dxa"/>
            <w:hideMark/>
          </w:tcPr>
          <w:p w14:paraId="2306C656" w14:textId="77777777" w:rsidR="00B25561" w:rsidRPr="0039452F" w:rsidRDefault="00B25561" w:rsidP="008F7025">
            <w:pPr>
              <w:pStyle w:val="NormalWeb"/>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9452F">
              <w:rPr>
                <w:rFonts w:asciiTheme="minorHAnsi" w:hAnsiTheme="minorHAnsi" w:cstheme="minorHAnsi"/>
                <w:b w:val="0"/>
                <w:bCs w:val="0"/>
              </w:rPr>
              <w:t>Detail</w:t>
            </w:r>
          </w:p>
        </w:tc>
      </w:tr>
      <w:tr w:rsidR="00B25561" w:rsidRPr="00673F70" w14:paraId="712FFCAB" w14:textId="77777777" w:rsidTr="008F7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hideMark/>
          </w:tcPr>
          <w:p w14:paraId="7E47E9B2" w14:textId="77777777" w:rsidR="00B25561" w:rsidRPr="0039452F" w:rsidRDefault="00B25561" w:rsidP="008F7025">
            <w:pPr>
              <w:pStyle w:val="NormalWeb"/>
              <w:spacing w:after="160" w:line="259" w:lineRule="auto"/>
              <w:jc w:val="center"/>
              <w:rPr>
                <w:rFonts w:asciiTheme="minorHAnsi" w:hAnsiTheme="minorHAnsi" w:cstheme="minorHAnsi"/>
              </w:rPr>
            </w:pPr>
            <w:r w:rsidRPr="0039452F">
              <w:rPr>
                <w:rFonts w:asciiTheme="minorHAnsi" w:hAnsiTheme="minorHAnsi" w:cstheme="minorHAnsi"/>
              </w:rPr>
              <w:t>Gold</w:t>
            </w:r>
          </w:p>
        </w:tc>
        <w:tc>
          <w:tcPr>
            <w:tcW w:w="4678" w:type="dxa"/>
            <w:hideMark/>
          </w:tcPr>
          <w:p w14:paraId="27DD55C4" w14:textId="77777777" w:rsidR="00B25561" w:rsidRPr="0039452F" w:rsidRDefault="00B25561" w:rsidP="008F7025">
            <w:pPr>
              <w:pStyle w:val="NormalWeb"/>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9452F">
              <w:rPr>
                <w:rFonts w:asciiTheme="minorHAnsi" w:hAnsiTheme="minorHAnsi" w:cstheme="minorHAnsi"/>
              </w:rPr>
              <w:t>Optimised Identity Integration</w:t>
            </w:r>
          </w:p>
        </w:tc>
      </w:tr>
      <w:tr w:rsidR="00B25561" w:rsidRPr="00673F70" w14:paraId="0EB24613" w14:textId="77777777" w:rsidTr="008F7025">
        <w:tc>
          <w:tcPr>
            <w:cnfStyle w:val="001000000000" w:firstRow="0" w:lastRow="0" w:firstColumn="1" w:lastColumn="0" w:oddVBand="0" w:evenVBand="0" w:oddHBand="0" w:evenHBand="0" w:firstRowFirstColumn="0" w:firstRowLastColumn="0" w:lastRowFirstColumn="0" w:lastRowLastColumn="0"/>
            <w:tcW w:w="1078" w:type="dxa"/>
            <w:hideMark/>
          </w:tcPr>
          <w:p w14:paraId="58FD1C5D" w14:textId="77777777" w:rsidR="00B25561" w:rsidRPr="0039452F" w:rsidRDefault="00B25561" w:rsidP="008F7025">
            <w:pPr>
              <w:pStyle w:val="NormalWeb"/>
              <w:spacing w:after="160" w:line="259" w:lineRule="auto"/>
              <w:jc w:val="center"/>
              <w:rPr>
                <w:rFonts w:asciiTheme="minorHAnsi" w:hAnsiTheme="minorHAnsi" w:cstheme="minorHAnsi"/>
              </w:rPr>
            </w:pPr>
            <w:r w:rsidRPr="0039452F">
              <w:rPr>
                <w:rFonts w:asciiTheme="minorHAnsi" w:hAnsiTheme="minorHAnsi" w:cstheme="minorHAnsi"/>
              </w:rPr>
              <w:t>Silver</w:t>
            </w:r>
          </w:p>
        </w:tc>
        <w:tc>
          <w:tcPr>
            <w:tcW w:w="4678" w:type="dxa"/>
            <w:hideMark/>
          </w:tcPr>
          <w:p w14:paraId="0135F986" w14:textId="77777777" w:rsidR="00B25561" w:rsidRPr="0039452F" w:rsidRDefault="00B25561" w:rsidP="008F7025">
            <w:pPr>
              <w:pStyle w:val="NormalWeb"/>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9452F">
              <w:rPr>
                <w:rFonts w:asciiTheme="minorHAnsi" w:hAnsiTheme="minorHAnsi" w:cstheme="minorHAnsi"/>
              </w:rPr>
              <w:t>Managed Identity Integration</w:t>
            </w:r>
          </w:p>
        </w:tc>
      </w:tr>
      <w:tr w:rsidR="00B25561" w:rsidRPr="00673F70" w14:paraId="319A319F" w14:textId="77777777" w:rsidTr="008F7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hideMark/>
          </w:tcPr>
          <w:p w14:paraId="683709D0" w14:textId="77777777" w:rsidR="00B25561" w:rsidRPr="0039452F" w:rsidRDefault="00B25561" w:rsidP="008F7025">
            <w:pPr>
              <w:pStyle w:val="NormalWeb"/>
              <w:spacing w:after="160" w:line="259" w:lineRule="auto"/>
              <w:jc w:val="center"/>
              <w:rPr>
                <w:rFonts w:asciiTheme="minorHAnsi" w:hAnsiTheme="minorHAnsi" w:cstheme="minorHAnsi"/>
              </w:rPr>
            </w:pPr>
            <w:r w:rsidRPr="0039452F">
              <w:rPr>
                <w:rFonts w:asciiTheme="minorHAnsi" w:hAnsiTheme="minorHAnsi" w:cstheme="minorHAnsi"/>
              </w:rPr>
              <w:t>Bronze</w:t>
            </w:r>
          </w:p>
        </w:tc>
        <w:tc>
          <w:tcPr>
            <w:tcW w:w="4678" w:type="dxa"/>
            <w:hideMark/>
          </w:tcPr>
          <w:p w14:paraId="22805DC6" w14:textId="77777777" w:rsidR="00B25561" w:rsidRPr="0039452F" w:rsidRDefault="00B25561" w:rsidP="008F7025">
            <w:pPr>
              <w:pStyle w:val="NormalWeb"/>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9452F">
              <w:rPr>
                <w:rFonts w:asciiTheme="minorHAnsi" w:hAnsiTheme="minorHAnsi" w:cstheme="minorHAnsi"/>
              </w:rPr>
              <w:t>Basic Identity Integration</w:t>
            </w:r>
          </w:p>
        </w:tc>
      </w:tr>
    </w:tbl>
    <w:p w14:paraId="3238FAA8" w14:textId="77777777" w:rsidR="00B339FB" w:rsidRDefault="00B339FB" w:rsidP="00B25561">
      <w:pPr>
        <w:pStyle w:val="NormalWeb"/>
        <w:ind w:left="720"/>
        <w:rPr>
          <w:rFonts w:asciiTheme="minorHAnsi" w:hAnsiTheme="minorHAnsi" w:cstheme="minorHAnsi"/>
          <w:b/>
          <w:bCs/>
          <w:sz w:val="22"/>
          <w:szCs w:val="22"/>
          <w:highlight w:val="green"/>
        </w:rPr>
      </w:pPr>
    </w:p>
    <w:p w14:paraId="715EB58F" w14:textId="77777777" w:rsidR="00326EFB" w:rsidRPr="00326EFB" w:rsidRDefault="00326EFB" w:rsidP="00326EFB">
      <w:pPr>
        <w:rPr>
          <w:b/>
          <w:bCs/>
          <w:sz w:val="24"/>
          <w:szCs w:val="24"/>
        </w:rPr>
      </w:pPr>
      <w:r w:rsidRPr="00326EFB">
        <w:rPr>
          <w:b/>
          <w:bCs/>
          <w:sz w:val="24"/>
          <w:szCs w:val="24"/>
        </w:rPr>
        <w:t>Gold Standard – Automated Identity Lifecycle</w:t>
      </w:r>
    </w:p>
    <w:p w14:paraId="59682C87" w14:textId="77777777" w:rsidR="00326EFB" w:rsidRPr="00326EFB" w:rsidRDefault="00326EFB">
      <w:pPr>
        <w:pStyle w:val="ListParagraph"/>
        <w:numPr>
          <w:ilvl w:val="0"/>
          <w:numId w:val="3"/>
        </w:numPr>
      </w:pPr>
      <w:r w:rsidRPr="00326EFB">
        <w:t>Event-driven Joiner, Mover, Leaver (JML) processes via Entra or HR systems</w:t>
      </w:r>
    </w:p>
    <w:p w14:paraId="0C81215F" w14:textId="208ECA49" w:rsidR="00326EFB" w:rsidRPr="00326EFB" w:rsidRDefault="00326EFB">
      <w:pPr>
        <w:pStyle w:val="ListParagraph"/>
        <w:numPr>
          <w:ilvl w:val="0"/>
          <w:numId w:val="3"/>
        </w:numPr>
      </w:pPr>
      <w:r w:rsidRPr="00326EFB">
        <w:t>Automated account provisioning (either on login or JML-</w:t>
      </w:r>
      <w:r w:rsidR="005B69FC">
        <w:t>driven</w:t>
      </w:r>
      <w:r w:rsidRPr="00326EFB">
        <w:t>)</w:t>
      </w:r>
    </w:p>
    <w:p w14:paraId="51722547" w14:textId="77777777" w:rsidR="00CC4B22" w:rsidRPr="00CC4B22" w:rsidRDefault="00CC4B22">
      <w:pPr>
        <w:pStyle w:val="ListParagraph"/>
        <w:numPr>
          <w:ilvl w:val="0"/>
          <w:numId w:val="3"/>
        </w:numPr>
      </w:pPr>
      <w:r w:rsidRPr="00CC4B22">
        <w:t>Entra security groups for granular role</w:t>
      </w:r>
      <w:r w:rsidRPr="00CC4B22">
        <w:noBreakHyphen/>
        <w:t>based access</w:t>
      </w:r>
    </w:p>
    <w:p w14:paraId="37C2A844" w14:textId="77777777" w:rsidR="00326EFB" w:rsidRPr="00326EFB" w:rsidRDefault="00326EFB">
      <w:pPr>
        <w:pStyle w:val="ListParagraph"/>
        <w:numPr>
          <w:ilvl w:val="0"/>
          <w:numId w:val="3"/>
        </w:numPr>
      </w:pPr>
      <w:r w:rsidRPr="00326EFB">
        <w:t>Full Single Sign-On (SSO) for all users and administrators</w:t>
      </w:r>
    </w:p>
    <w:p w14:paraId="41BE0C9F" w14:textId="6931D98B" w:rsidR="00326EFB" w:rsidRPr="00326EFB" w:rsidRDefault="00326EFB">
      <w:pPr>
        <w:pStyle w:val="ListParagraph"/>
        <w:numPr>
          <w:ilvl w:val="0"/>
          <w:numId w:val="3"/>
        </w:numPr>
      </w:pPr>
      <w:r w:rsidRPr="00326EFB">
        <w:t xml:space="preserve">No routine use of legacy authentication methods (except controlled </w:t>
      </w:r>
      <w:r w:rsidR="00DC172E">
        <w:t>‘</w:t>
      </w:r>
      <w:r w:rsidRPr="00326EFB">
        <w:t>break glass</w:t>
      </w:r>
      <w:r w:rsidR="00DC172E">
        <w:t>’</w:t>
      </w:r>
      <w:r w:rsidRPr="00326EFB">
        <w:t xml:space="preserve"> accounts)</w:t>
      </w:r>
    </w:p>
    <w:p w14:paraId="5D6C3BD0" w14:textId="77777777" w:rsidR="00CC4B22" w:rsidRDefault="00CC4B22" w:rsidP="00CC4B22">
      <w:pPr>
        <w:pStyle w:val="NoSpacing"/>
      </w:pPr>
    </w:p>
    <w:p w14:paraId="72F5A03B" w14:textId="2044592B" w:rsidR="00B25561" w:rsidRPr="006B7F9C" w:rsidRDefault="00CC4B22" w:rsidP="006B7F9C">
      <w:pPr>
        <w:rPr>
          <w:b/>
          <w:bCs/>
          <w:sz w:val="24"/>
          <w:szCs w:val="24"/>
        </w:rPr>
      </w:pPr>
      <w:r>
        <w:rPr>
          <w:b/>
          <w:bCs/>
          <w:sz w:val="24"/>
          <w:szCs w:val="24"/>
        </w:rPr>
        <w:t>Silver</w:t>
      </w:r>
      <w:r w:rsidRPr="00CC4B22">
        <w:rPr>
          <w:b/>
          <w:bCs/>
          <w:sz w:val="24"/>
          <w:szCs w:val="24"/>
        </w:rPr>
        <w:t xml:space="preserve"> Standard – </w:t>
      </w:r>
      <w:r>
        <w:rPr>
          <w:b/>
          <w:bCs/>
          <w:sz w:val="24"/>
          <w:szCs w:val="24"/>
        </w:rPr>
        <w:t>Managed Identity</w:t>
      </w:r>
      <w:r w:rsidR="00EC1A9E">
        <w:rPr>
          <w:b/>
          <w:bCs/>
          <w:sz w:val="24"/>
          <w:szCs w:val="24"/>
        </w:rPr>
        <w:t xml:space="preserve"> Integration</w:t>
      </w:r>
    </w:p>
    <w:p w14:paraId="2AC7F0A7" w14:textId="57FFCC22" w:rsidR="00B25561" w:rsidRPr="00036B0C" w:rsidRDefault="00B25561">
      <w:pPr>
        <w:pStyle w:val="ListParagraph"/>
        <w:numPr>
          <w:ilvl w:val="0"/>
          <w:numId w:val="13"/>
        </w:numPr>
        <w:ind w:left="1080"/>
      </w:pPr>
      <w:r w:rsidRPr="00036B0C">
        <w:t xml:space="preserve">Entra security groups </w:t>
      </w:r>
      <w:r w:rsidR="006B7F9C">
        <w:t>used for</w:t>
      </w:r>
      <w:r w:rsidRPr="00036B0C">
        <w:t xml:space="preserve"> permissions</w:t>
      </w:r>
    </w:p>
    <w:p w14:paraId="5367FADA" w14:textId="345E3280" w:rsidR="00B25561" w:rsidRPr="00036B0C" w:rsidRDefault="00B25561">
      <w:pPr>
        <w:pStyle w:val="ListParagraph"/>
        <w:numPr>
          <w:ilvl w:val="0"/>
          <w:numId w:val="13"/>
        </w:numPr>
        <w:ind w:left="1080"/>
      </w:pPr>
      <w:r w:rsidRPr="00036B0C">
        <w:t xml:space="preserve">SSO for </w:t>
      </w:r>
      <w:r w:rsidR="006B7F9C">
        <w:t>all users</w:t>
      </w:r>
      <w:r w:rsidRPr="00036B0C">
        <w:t xml:space="preserve"> and administrators</w:t>
      </w:r>
    </w:p>
    <w:p w14:paraId="570F6246" w14:textId="51E0398D" w:rsidR="00B25561" w:rsidRPr="00036B0C" w:rsidRDefault="00B0200A">
      <w:pPr>
        <w:pStyle w:val="ListParagraph"/>
        <w:numPr>
          <w:ilvl w:val="0"/>
          <w:numId w:val="13"/>
        </w:numPr>
        <w:ind w:left="1080"/>
      </w:pPr>
      <w:r>
        <w:t>Elimination</w:t>
      </w:r>
      <w:r w:rsidR="00E65C45">
        <w:t xml:space="preserve"> of routine</w:t>
      </w:r>
      <w:r w:rsidR="00B25561" w:rsidRPr="00036B0C">
        <w:t xml:space="preserve"> legacy login </w:t>
      </w:r>
      <w:r w:rsidR="00E65C45">
        <w:t>usage</w:t>
      </w:r>
      <w:r w:rsidR="00B25561" w:rsidRPr="00036B0C">
        <w:t xml:space="preserve"> (</w:t>
      </w:r>
      <w:r w:rsidR="00E65C45">
        <w:t>except controlled</w:t>
      </w:r>
      <w:r w:rsidR="00B25561" w:rsidRPr="00036B0C">
        <w:t xml:space="preserve"> </w:t>
      </w:r>
      <w:r w:rsidR="00DC172E">
        <w:t>‘</w:t>
      </w:r>
      <w:r w:rsidR="00B25561" w:rsidRPr="00036B0C">
        <w:t>break</w:t>
      </w:r>
      <w:r w:rsidR="00B25561" w:rsidRPr="00036B0C">
        <w:noBreakHyphen/>
        <w:t>glass</w:t>
      </w:r>
      <w:r w:rsidR="00DC172E">
        <w:t>’</w:t>
      </w:r>
      <w:r w:rsidR="00B25561" w:rsidRPr="00036B0C">
        <w:t xml:space="preserve"> accounts)</w:t>
      </w:r>
    </w:p>
    <w:p w14:paraId="0439F28C" w14:textId="77777777" w:rsidR="00B25561" w:rsidRPr="00673F70" w:rsidRDefault="00B25561" w:rsidP="00B25561">
      <w:pPr>
        <w:pStyle w:val="NormalWeb"/>
        <w:spacing w:after="0"/>
        <w:ind w:left="1440"/>
        <w:rPr>
          <w:rFonts w:asciiTheme="minorHAnsi" w:hAnsiTheme="minorHAnsi" w:cstheme="minorHAnsi"/>
          <w:highlight w:val="green"/>
        </w:rPr>
      </w:pPr>
    </w:p>
    <w:p w14:paraId="3E1A938A" w14:textId="77777777" w:rsidR="00B25561" w:rsidRPr="00DC172E" w:rsidRDefault="00B25561" w:rsidP="00DC172E">
      <w:pPr>
        <w:rPr>
          <w:rFonts w:asciiTheme="majorHAnsi" w:hAnsiTheme="majorHAnsi"/>
          <w:b/>
          <w:bCs/>
          <w:sz w:val="24"/>
          <w:szCs w:val="24"/>
        </w:rPr>
      </w:pPr>
      <w:r w:rsidRPr="00DC172E">
        <w:rPr>
          <w:rFonts w:asciiTheme="majorHAnsi" w:hAnsiTheme="majorHAnsi"/>
          <w:b/>
          <w:bCs/>
          <w:sz w:val="24"/>
          <w:szCs w:val="24"/>
        </w:rPr>
        <w:t>Bronze Standard - Core Single Sign</w:t>
      </w:r>
      <w:r w:rsidRPr="00DC172E">
        <w:rPr>
          <w:rFonts w:ascii="Cambria Math" w:hAnsi="Cambria Math" w:cs="Cambria Math"/>
          <w:b/>
          <w:bCs/>
          <w:sz w:val="24"/>
          <w:szCs w:val="24"/>
        </w:rPr>
        <w:t>‑</w:t>
      </w:r>
      <w:r w:rsidRPr="00DC172E">
        <w:rPr>
          <w:rFonts w:asciiTheme="majorHAnsi" w:hAnsiTheme="majorHAnsi"/>
          <w:b/>
          <w:bCs/>
          <w:sz w:val="24"/>
          <w:szCs w:val="24"/>
        </w:rPr>
        <w:t>On</w:t>
      </w:r>
    </w:p>
    <w:p w14:paraId="1C9AF532" w14:textId="3F8784E6" w:rsidR="00B25561" w:rsidRPr="00DC172E" w:rsidRDefault="00B25561">
      <w:pPr>
        <w:pStyle w:val="ListParagraph"/>
        <w:numPr>
          <w:ilvl w:val="0"/>
          <w:numId w:val="12"/>
        </w:numPr>
      </w:pPr>
      <w:r w:rsidRPr="00DC172E">
        <w:t xml:space="preserve">SSO </w:t>
      </w:r>
      <w:r w:rsidR="009252E9">
        <w:t xml:space="preserve">enabled </w:t>
      </w:r>
      <w:r w:rsidRPr="00DC172E">
        <w:t>for all users and administrators</w:t>
      </w:r>
    </w:p>
    <w:p w14:paraId="7FBD2D64" w14:textId="4E898CDE" w:rsidR="00B25561" w:rsidRPr="00DC172E" w:rsidRDefault="00B25561">
      <w:pPr>
        <w:pStyle w:val="ListParagraph"/>
        <w:numPr>
          <w:ilvl w:val="0"/>
          <w:numId w:val="12"/>
        </w:numPr>
      </w:pPr>
      <w:r w:rsidRPr="00DC172E">
        <w:t>No routine use of local or legacy accounts (</w:t>
      </w:r>
      <w:r w:rsidR="009252E9">
        <w:t>except controlled</w:t>
      </w:r>
      <w:r w:rsidRPr="00DC172E">
        <w:t xml:space="preserve"> </w:t>
      </w:r>
      <w:r w:rsidR="009252E9">
        <w:t>‘</w:t>
      </w:r>
      <w:r w:rsidRPr="00DC172E">
        <w:t>break</w:t>
      </w:r>
      <w:r w:rsidRPr="00DC172E">
        <w:noBreakHyphen/>
        <w:t>glass</w:t>
      </w:r>
      <w:r w:rsidR="009252E9">
        <w:t>’</w:t>
      </w:r>
      <w:r w:rsidRPr="00DC172E">
        <w:t xml:space="preserve"> accounts)</w:t>
      </w:r>
      <w:r w:rsidRPr="00DC172E">
        <w:br/>
      </w:r>
    </w:p>
    <w:p w14:paraId="1783584E" w14:textId="1C05CD6F" w:rsidR="00B25561" w:rsidRDefault="00B25561" w:rsidP="004264FA">
      <w:r w:rsidRPr="004264FA">
        <w:t xml:space="preserve">Systems that cannot meet at least </w:t>
      </w:r>
      <w:r w:rsidR="004264FA">
        <w:t xml:space="preserve">the </w:t>
      </w:r>
      <w:r w:rsidRPr="004264FA">
        <w:t>Bronze standard will require explicit exception approval.</w:t>
      </w:r>
    </w:p>
    <w:p w14:paraId="11B373FC" w14:textId="77777777" w:rsidR="004264FA" w:rsidRDefault="004264FA" w:rsidP="00245F92">
      <w:pPr>
        <w:pStyle w:val="NoSpacing"/>
      </w:pPr>
    </w:p>
    <w:p w14:paraId="0A130E6D" w14:textId="015F0617" w:rsidR="00455CA5" w:rsidRPr="009D1714" w:rsidRDefault="00245F92" w:rsidP="00EB7C92">
      <w:pPr>
        <w:pStyle w:val="Heading1"/>
      </w:pPr>
      <w:r>
        <w:t>Supplier Co</w:t>
      </w:r>
      <w:r w:rsidR="00175AAA">
        <w:t>mmitment to Automation/Integration</w:t>
      </w:r>
    </w:p>
    <w:p w14:paraId="7C25A05A" w14:textId="77777777" w:rsidR="00D35892" w:rsidRDefault="00D35892" w:rsidP="00D35892">
      <w:pPr>
        <w:spacing w:after="0" w:line="300" w:lineRule="atLeast"/>
        <w:rPr>
          <w:rFonts w:ascii="Segoe UI" w:eastAsia="Times New Roman" w:hAnsi="Segoe UI" w:cs="Segoe UI"/>
          <w:sz w:val="21"/>
          <w:szCs w:val="21"/>
          <w:lang w:eastAsia="en-GB"/>
        </w:rPr>
      </w:pPr>
      <w:r w:rsidRPr="00D35892">
        <w:rPr>
          <w:rFonts w:ascii="Segoe UI" w:eastAsia="Times New Roman" w:hAnsi="Segoe UI" w:cs="Segoe UI"/>
          <w:sz w:val="21"/>
          <w:szCs w:val="21"/>
          <w:lang w:eastAsia="en-GB"/>
        </w:rPr>
        <w:t>Suppliers must demonstrate a clear commitment to ongoing integration and interoperability, including:</w:t>
      </w:r>
    </w:p>
    <w:p w14:paraId="18CBACC7" w14:textId="77777777" w:rsidR="00A77C14" w:rsidRPr="00D35892" w:rsidRDefault="00A77C14" w:rsidP="00D35892">
      <w:pPr>
        <w:spacing w:after="0" w:line="300" w:lineRule="atLeast"/>
        <w:rPr>
          <w:rFonts w:ascii="Segoe UI" w:eastAsia="Times New Roman" w:hAnsi="Segoe UI" w:cs="Segoe UI"/>
          <w:sz w:val="21"/>
          <w:szCs w:val="21"/>
          <w:lang w:eastAsia="en-GB"/>
        </w:rPr>
      </w:pPr>
    </w:p>
    <w:p w14:paraId="2C8504E1" w14:textId="77777777" w:rsidR="00E80DB8" w:rsidRDefault="00B25561">
      <w:pPr>
        <w:pStyle w:val="ListParagraph"/>
        <w:numPr>
          <w:ilvl w:val="0"/>
          <w:numId w:val="8"/>
        </w:numPr>
      </w:pPr>
      <w:r w:rsidRPr="00175AAA">
        <w:t xml:space="preserve">A </w:t>
      </w:r>
      <w:r w:rsidR="00E80DB8">
        <w:t>defined roadmap for API or SSO enhancements</w:t>
      </w:r>
    </w:p>
    <w:p w14:paraId="5435FB62" w14:textId="678A14F7" w:rsidR="00B25561" w:rsidRPr="00175AAA" w:rsidRDefault="00E80DB8">
      <w:pPr>
        <w:pStyle w:val="ListParagraph"/>
        <w:numPr>
          <w:ilvl w:val="0"/>
          <w:numId w:val="8"/>
        </w:numPr>
      </w:pPr>
      <w:r>
        <w:t>Transparent costs and timelines for future integration devel</w:t>
      </w:r>
      <w:r w:rsidR="00815715">
        <w:t>opments</w:t>
      </w:r>
    </w:p>
    <w:p w14:paraId="35F9AF73" w14:textId="16797BBB" w:rsidR="00B25561" w:rsidRPr="00175AAA" w:rsidRDefault="00B25561">
      <w:pPr>
        <w:pStyle w:val="ListParagraph"/>
        <w:numPr>
          <w:ilvl w:val="0"/>
          <w:numId w:val="8"/>
        </w:numPr>
      </w:pPr>
      <w:r w:rsidRPr="00175AAA">
        <w:lastRenderedPageBreak/>
        <w:t>Evidence of an integration</w:t>
      </w:r>
      <w:r w:rsidRPr="00175AAA">
        <w:noBreakHyphen/>
        <w:t xml:space="preserve">focused </w:t>
      </w:r>
      <w:r w:rsidR="00815715">
        <w:t>approach within product documentation, marketing materials</w:t>
      </w:r>
      <w:r w:rsidR="00A77C14">
        <w:t>, and customer case studies</w:t>
      </w:r>
    </w:p>
    <w:p w14:paraId="46CCA83E" w14:textId="77777777" w:rsidR="00B25561" w:rsidRPr="00175AAA" w:rsidRDefault="00B25561" w:rsidP="00175AAA"/>
    <w:p w14:paraId="4D531A41" w14:textId="7B6AC4B3" w:rsidR="00175AAA" w:rsidRPr="00952593" w:rsidRDefault="00346F13" w:rsidP="00EB7C92">
      <w:pPr>
        <w:pStyle w:val="Heading1"/>
      </w:pPr>
      <w:r>
        <w:t>Secure-by-Design</w:t>
      </w:r>
      <w:r w:rsidR="00952593">
        <w:t xml:space="preserve"> and Modern Standards Compliance</w:t>
      </w:r>
    </w:p>
    <w:p w14:paraId="6DA465AB" w14:textId="77777777" w:rsidR="00B25561" w:rsidRPr="00952593" w:rsidRDefault="00B25561" w:rsidP="00952593">
      <w:r w:rsidRPr="00952593">
        <w:t>All systems must:</w:t>
      </w:r>
    </w:p>
    <w:p w14:paraId="56DD54D8" w14:textId="77777777" w:rsidR="00B25561" w:rsidRPr="00952593" w:rsidRDefault="00B25561">
      <w:pPr>
        <w:pStyle w:val="ListParagraph"/>
        <w:numPr>
          <w:ilvl w:val="0"/>
          <w:numId w:val="15"/>
        </w:numPr>
      </w:pPr>
      <w:r w:rsidRPr="00952593">
        <w:t>Use modern development frameworks and security standards</w:t>
      </w:r>
    </w:p>
    <w:p w14:paraId="040CC8E6" w14:textId="77777777" w:rsidR="00B25561" w:rsidRPr="00952593" w:rsidRDefault="00B25561">
      <w:pPr>
        <w:pStyle w:val="ListParagraph"/>
        <w:numPr>
          <w:ilvl w:val="0"/>
          <w:numId w:val="15"/>
        </w:numPr>
      </w:pPr>
      <w:r w:rsidRPr="00952593">
        <w:t>Support least</w:t>
      </w:r>
      <w:r w:rsidRPr="00952593">
        <w:noBreakHyphen/>
        <w:t>privilege access models</w:t>
      </w:r>
    </w:p>
    <w:p w14:paraId="7983DEA4" w14:textId="31CA71B4" w:rsidR="00B25561" w:rsidRPr="00952593" w:rsidRDefault="00952593">
      <w:pPr>
        <w:pStyle w:val="ListParagraph"/>
        <w:numPr>
          <w:ilvl w:val="0"/>
          <w:numId w:val="15"/>
        </w:numPr>
      </w:pPr>
      <w:r>
        <w:t>Provide and enable comprehensive</w:t>
      </w:r>
      <w:r w:rsidR="00B25561" w:rsidRPr="00952593">
        <w:t xml:space="preserve"> auditing, monitoring, and logging of automated actions</w:t>
      </w:r>
    </w:p>
    <w:p w14:paraId="53DE8BBA" w14:textId="7B7DFDD8" w:rsidR="00B25561" w:rsidRDefault="00B25561">
      <w:pPr>
        <w:pStyle w:val="ListParagraph"/>
        <w:numPr>
          <w:ilvl w:val="0"/>
          <w:numId w:val="15"/>
        </w:numPr>
      </w:pPr>
      <w:r w:rsidRPr="00952593">
        <w:t xml:space="preserve">Comply with UK GDPR </w:t>
      </w:r>
      <w:r w:rsidR="00B0533C">
        <w:t xml:space="preserve">requirements </w:t>
      </w:r>
      <w:r w:rsidRPr="00952593">
        <w:t xml:space="preserve">and </w:t>
      </w:r>
      <w:r w:rsidR="00B0533C">
        <w:t>National Cyber Security (</w:t>
      </w:r>
      <w:r w:rsidRPr="00952593">
        <w:t>NCSC</w:t>
      </w:r>
      <w:r w:rsidR="00B0533C">
        <w:t>)</w:t>
      </w:r>
      <w:r w:rsidRPr="00952593">
        <w:t xml:space="preserve"> principles</w:t>
      </w:r>
    </w:p>
    <w:p w14:paraId="72560E4C" w14:textId="77777777" w:rsidR="00B0533C" w:rsidRDefault="00B0533C" w:rsidP="00B0533C"/>
    <w:p w14:paraId="7FDB2026" w14:textId="77777777" w:rsidR="006613EB" w:rsidRPr="00952593" w:rsidRDefault="006613EB" w:rsidP="00B0533C"/>
    <w:p w14:paraId="604A7F38" w14:textId="37320F90" w:rsidR="00B25561" w:rsidRDefault="00B0533C">
      <w:pPr>
        <w:pStyle w:val="Heading1"/>
        <w:numPr>
          <w:ilvl w:val="0"/>
          <w:numId w:val="2"/>
        </w:numPr>
      </w:pPr>
      <w:r>
        <w:t xml:space="preserve">Integration and </w:t>
      </w:r>
      <w:r w:rsidR="00EF62F2">
        <w:t>API</w:t>
      </w:r>
      <w:r>
        <w:t xml:space="preserve"> Requirements</w:t>
      </w:r>
    </w:p>
    <w:p w14:paraId="4BC44D7C" w14:textId="48027760" w:rsidR="00B0533C" w:rsidRPr="00962639" w:rsidRDefault="00E548B7">
      <w:pPr>
        <w:pStyle w:val="Heading1"/>
        <w:numPr>
          <w:ilvl w:val="1"/>
          <w:numId w:val="2"/>
        </w:numPr>
      </w:pPr>
      <w:r>
        <w:t>Operational Context</w:t>
      </w:r>
    </w:p>
    <w:p w14:paraId="189F3CE4" w14:textId="56384BE1" w:rsidR="0040227C" w:rsidRPr="0040227C" w:rsidRDefault="0040227C" w:rsidP="0040227C">
      <w:pPr>
        <w:rPr>
          <w:lang w:eastAsia="en-GB"/>
        </w:rPr>
      </w:pPr>
      <w:r w:rsidRPr="0040227C">
        <w:rPr>
          <w:lang w:eastAsia="en-GB"/>
        </w:rPr>
        <w:t xml:space="preserve">MAWWFRS and SWFRS operate a shared and partially federated systems landscape, with some platforms jointly hosted and others maintained independently. </w:t>
      </w:r>
      <w:r w:rsidR="0036778E">
        <w:rPr>
          <w:lang w:eastAsia="en-GB"/>
        </w:rPr>
        <w:t xml:space="preserve"> </w:t>
      </w:r>
      <w:r w:rsidRPr="0040227C">
        <w:rPr>
          <w:lang w:eastAsia="en-GB"/>
        </w:rPr>
        <w:t>The strategic objective is to enable secure and efficient data sharing between the proposed availability system and all relevant operational systems.</w:t>
      </w:r>
    </w:p>
    <w:p w14:paraId="30C7D1FE" w14:textId="77777777" w:rsidR="00B0533C" w:rsidRDefault="00B0533C" w:rsidP="00934A50"/>
    <w:p w14:paraId="493809B4" w14:textId="78CACFFB" w:rsidR="0036778E" w:rsidRPr="00962639" w:rsidRDefault="0036778E">
      <w:pPr>
        <w:pStyle w:val="Heading1"/>
        <w:numPr>
          <w:ilvl w:val="1"/>
          <w:numId w:val="2"/>
        </w:numPr>
      </w:pPr>
      <w:r>
        <w:t>Command and Control Integration</w:t>
      </w:r>
    </w:p>
    <w:p w14:paraId="7E83F263" w14:textId="066723B4" w:rsidR="004539D6" w:rsidRPr="004539D6" w:rsidRDefault="004539D6" w:rsidP="004539D6">
      <w:pPr>
        <w:rPr>
          <w:lang w:eastAsia="en-GB"/>
        </w:rPr>
      </w:pPr>
      <w:r>
        <w:rPr>
          <w:lang w:eastAsia="en-GB"/>
        </w:rPr>
        <w:t xml:space="preserve">MAWWFRS and SWFRS mobilise </w:t>
      </w:r>
      <w:r w:rsidR="0091126B">
        <w:rPr>
          <w:lang w:eastAsia="en-GB"/>
        </w:rPr>
        <w:t>similarly,</w:t>
      </w:r>
      <w:r>
        <w:rPr>
          <w:lang w:eastAsia="en-GB"/>
        </w:rPr>
        <w:t xml:space="preserve"> </w:t>
      </w:r>
      <w:r w:rsidR="0091126B">
        <w:rPr>
          <w:lang w:eastAsia="en-GB"/>
        </w:rPr>
        <w:t>and t</w:t>
      </w:r>
      <w:r w:rsidRPr="004539D6">
        <w:rPr>
          <w:lang w:eastAsia="en-GB"/>
        </w:rPr>
        <w:t>he Joint Fire Control (JFC), based in Bridgend, currently utilises Vision 5 (NEC</w:t>
      </w:r>
      <w:r w:rsidR="0091126B">
        <w:rPr>
          <w:lang w:eastAsia="en-GB"/>
        </w:rPr>
        <w:t>/formally SSS/Capita</w:t>
      </w:r>
      <w:r w:rsidRPr="004539D6">
        <w:rPr>
          <w:lang w:eastAsia="en-GB"/>
        </w:rPr>
        <w:t xml:space="preserve">) as the Command and Control (C&amp;C) system. </w:t>
      </w:r>
      <w:r>
        <w:rPr>
          <w:lang w:eastAsia="en-GB"/>
        </w:rPr>
        <w:t xml:space="preserve"> </w:t>
      </w:r>
      <w:r w:rsidRPr="004539D6">
        <w:rPr>
          <w:lang w:eastAsia="en-GB"/>
        </w:rPr>
        <w:t>This system relies on real-time availability data to support mobilising decisions.</w:t>
      </w:r>
    </w:p>
    <w:p w14:paraId="5E3B4E1C" w14:textId="4212E6DC" w:rsidR="00B40831" w:rsidRDefault="004539D6" w:rsidP="004539D6">
      <w:pPr>
        <w:rPr>
          <w:lang w:eastAsia="en-GB"/>
        </w:rPr>
      </w:pPr>
      <w:r w:rsidRPr="004539D6">
        <w:rPr>
          <w:lang w:eastAsia="en-GB"/>
        </w:rPr>
        <w:t>The proposed solution must provide functionality equal to or exceeding the current integration with Vision 5, including real-time availability feeds and operational status updates.</w:t>
      </w:r>
    </w:p>
    <w:p w14:paraId="61B2F4C0" w14:textId="4F251FA1" w:rsidR="004539D6" w:rsidRPr="004539D6" w:rsidRDefault="004539D6" w:rsidP="004539D6">
      <w:pPr>
        <w:rPr>
          <w:lang w:eastAsia="en-GB"/>
        </w:rPr>
      </w:pPr>
      <w:r w:rsidRPr="004539D6">
        <w:rPr>
          <w:lang w:eastAsia="en-GB"/>
        </w:rPr>
        <w:t xml:space="preserve">Additionally, suppliers must ensure compatibility with all major Fire and Rescue Service C&amp;C platforms. </w:t>
      </w:r>
      <w:r w:rsidR="00934A50">
        <w:rPr>
          <w:lang w:eastAsia="en-GB"/>
        </w:rPr>
        <w:t xml:space="preserve"> </w:t>
      </w:r>
      <w:r w:rsidRPr="004539D6">
        <w:rPr>
          <w:lang w:eastAsia="en-GB"/>
        </w:rPr>
        <w:t xml:space="preserve">This is essential to avoid constraining future procurement options, as the JFC intends to tender for a replacement C&amp;C system in the coming years. </w:t>
      </w:r>
      <w:r w:rsidR="00934A50">
        <w:rPr>
          <w:lang w:eastAsia="en-GB"/>
        </w:rPr>
        <w:t xml:space="preserve"> </w:t>
      </w:r>
      <w:r w:rsidRPr="004539D6">
        <w:rPr>
          <w:lang w:eastAsia="en-GB"/>
        </w:rPr>
        <w:t>Further technical requirements are detailed in Appendix A (Software Specification Requirements).</w:t>
      </w:r>
    </w:p>
    <w:p w14:paraId="164DFEE3" w14:textId="77777777" w:rsidR="0036778E" w:rsidRDefault="0036778E" w:rsidP="00B0533C"/>
    <w:p w14:paraId="57B5EDC1" w14:textId="7655A614" w:rsidR="00934A50" w:rsidRPr="00B0533C" w:rsidRDefault="00934A50">
      <w:pPr>
        <w:pStyle w:val="Heading1"/>
        <w:numPr>
          <w:ilvl w:val="1"/>
          <w:numId w:val="2"/>
        </w:numPr>
      </w:pPr>
      <w:r>
        <w:lastRenderedPageBreak/>
        <w:t>Payroll and HR System Integration</w:t>
      </w:r>
    </w:p>
    <w:p w14:paraId="449CBC90" w14:textId="77777777" w:rsidR="00E0771C" w:rsidRPr="007E7AEF" w:rsidRDefault="00E0771C" w:rsidP="00E0771C">
      <w:pPr>
        <w:rPr>
          <w:b/>
          <w:bCs/>
          <w:sz w:val="24"/>
          <w:szCs w:val="24"/>
        </w:rPr>
      </w:pPr>
      <w:r w:rsidRPr="007E7AEF">
        <w:rPr>
          <w:b/>
          <w:bCs/>
          <w:sz w:val="24"/>
          <w:szCs w:val="24"/>
        </w:rPr>
        <w:t>Pay process</w:t>
      </w:r>
    </w:p>
    <w:p w14:paraId="4BFAAD43" w14:textId="77777777" w:rsidR="00E0771C" w:rsidRDefault="00E0771C" w:rsidP="00E0771C">
      <w:r>
        <w:t>MAWWFRS Pay Process</w:t>
      </w:r>
    </w:p>
    <w:p w14:paraId="6AD5D215" w14:textId="4101E01F" w:rsidR="00E0771C" w:rsidRDefault="00E0771C" w:rsidP="00E0771C">
      <w:r w:rsidRPr="007E7AEF">
        <w:t>Once pay claims are finalised by station supervisory officers and forwarded to the respective divisional cluster manager, forms are checked for accuracy and signed off by the cluster manager before being sent to the payroll department for processing.</w:t>
      </w:r>
    </w:p>
    <w:p w14:paraId="27E95B4D" w14:textId="77777777" w:rsidR="00E0771C" w:rsidRDefault="00E0771C" w:rsidP="00E0771C">
      <w:r>
        <w:t>SWFRS Pay Process</w:t>
      </w:r>
    </w:p>
    <w:p w14:paraId="3E607390" w14:textId="11EAA6AA" w:rsidR="00E0771C" w:rsidRDefault="00E0771C" w:rsidP="00E0771C">
      <w:r w:rsidRPr="007E7AEF">
        <w:t>South Wales firefighters are paid a salary; therefore, no claim forms are required after each incident.</w:t>
      </w:r>
      <w:r w:rsidR="00D37D90">
        <w:t xml:space="preserve"> </w:t>
      </w:r>
    </w:p>
    <w:p w14:paraId="1E559CA2" w14:textId="6A961466" w:rsidR="00E0771C" w:rsidRPr="00144266" w:rsidRDefault="00617499" w:rsidP="00E0771C">
      <w:r w:rsidRPr="00617499">
        <w:t xml:space="preserve">Day-crewed and wholetime firefighters are salaried. </w:t>
      </w:r>
      <w:r>
        <w:t xml:space="preserve"> </w:t>
      </w:r>
      <w:r w:rsidRPr="00617499">
        <w:t xml:space="preserve">Additional claims are submitted only for overtime or on-call duties undertaken outside contracted hours. </w:t>
      </w:r>
      <w:r>
        <w:t xml:space="preserve"> </w:t>
      </w:r>
      <w:r w:rsidRPr="00617499">
        <w:t>Day crew personnel operate on an on-call basis between 22:00 and 12:00</w:t>
      </w:r>
      <w:r>
        <w:t xml:space="preserve"> hrs</w:t>
      </w:r>
      <w:r w:rsidRPr="00617499">
        <w:t>.</w:t>
      </w:r>
    </w:p>
    <w:p w14:paraId="14DF3246" w14:textId="77777777" w:rsidR="00617499" w:rsidRPr="00375F0A" w:rsidRDefault="00617499" w:rsidP="00617499">
      <w:r w:rsidRPr="00375F0A">
        <w:t xml:space="preserve">The solution must support integration with varying payroll models across </w:t>
      </w:r>
      <w:r>
        <w:t xml:space="preserve">the named </w:t>
      </w:r>
      <w:r w:rsidRPr="00375F0A">
        <w:t>Services:</w:t>
      </w:r>
    </w:p>
    <w:p w14:paraId="51986EE9" w14:textId="77777777" w:rsidR="00617499" w:rsidRPr="00375F0A" w:rsidRDefault="00617499">
      <w:pPr>
        <w:numPr>
          <w:ilvl w:val="0"/>
          <w:numId w:val="10"/>
        </w:numPr>
        <w:tabs>
          <w:tab w:val="num" w:pos="720"/>
        </w:tabs>
      </w:pPr>
      <w:r w:rsidRPr="00375F0A">
        <w:rPr>
          <w:b/>
          <w:bCs/>
        </w:rPr>
        <w:t>MAWWFRS</w:t>
      </w:r>
      <w:r w:rsidRPr="00375F0A">
        <w:t>: Claim-based payroll process requiring validation and submission workflows</w:t>
      </w:r>
      <w:r>
        <w:t xml:space="preserve"> via PeopleXD</w:t>
      </w:r>
    </w:p>
    <w:p w14:paraId="34ED7646" w14:textId="0642AE29" w:rsidR="00617499" w:rsidRPr="00706CD3" w:rsidRDefault="00617499" w:rsidP="00BC0991">
      <w:pPr>
        <w:numPr>
          <w:ilvl w:val="0"/>
          <w:numId w:val="10"/>
        </w:numPr>
        <w:tabs>
          <w:tab w:val="num" w:pos="720"/>
        </w:tabs>
      </w:pPr>
      <w:r w:rsidRPr="00375F0A">
        <w:rPr>
          <w:b/>
          <w:bCs/>
        </w:rPr>
        <w:t>SWFRS</w:t>
      </w:r>
      <w:r w:rsidRPr="00375F0A">
        <w:t>: Salary-based model with no post-incident claims</w:t>
      </w:r>
      <w:r w:rsidR="006B2636">
        <w:t xml:space="preserve"> via PeopleXD</w:t>
      </w:r>
    </w:p>
    <w:p w14:paraId="5566C01A" w14:textId="77777777" w:rsidR="00E0771C" w:rsidRPr="00BC0991" w:rsidRDefault="00E0771C" w:rsidP="00BC0991">
      <w:pPr>
        <w:pStyle w:val="Heading1"/>
        <w:numPr>
          <w:ilvl w:val="0"/>
          <w:numId w:val="0"/>
        </w:numPr>
      </w:pPr>
      <w:r w:rsidRPr="00BC0991">
        <w:t>PeopleXD (Formally CoreHR)</w:t>
      </w:r>
    </w:p>
    <w:p w14:paraId="61E489B3" w14:textId="6FCE4330" w:rsidR="00E0771C" w:rsidRDefault="00E0771C" w:rsidP="00E0771C">
      <w:r>
        <w:t xml:space="preserve">This software is used independently by both MAWWFRS and SWFRS and provides many HR </w:t>
      </w:r>
      <w:r w:rsidR="00067B10">
        <w:t xml:space="preserve">related </w:t>
      </w:r>
      <w:r>
        <w:t>functions such as user details, sickness, payroll, expenses</w:t>
      </w:r>
      <w:r w:rsidR="002629CF">
        <w:t>,</w:t>
      </w:r>
      <w:r>
        <w:t xml:space="preserve"> etc.</w:t>
      </w:r>
    </w:p>
    <w:p w14:paraId="17837338" w14:textId="77777777" w:rsidR="00E0771C" w:rsidRDefault="00E0771C" w:rsidP="00E0771C">
      <w:r>
        <w:t>PeopleXD provides a number of APIs and import options.</w:t>
      </w:r>
    </w:p>
    <w:p w14:paraId="51A18C6B" w14:textId="77777777" w:rsidR="00CC56C7" w:rsidRDefault="00CC56C7" w:rsidP="00E0771C">
      <w:pPr>
        <w:rPr>
          <w:b/>
          <w:bCs/>
        </w:rPr>
      </w:pPr>
    </w:p>
    <w:p w14:paraId="62AF4C35" w14:textId="5EFAABE6" w:rsidR="00E0771C" w:rsidRPr="00067B10" w:rsidRDefault="00E0771C" w:rsidP="00E0771C">
      <w:pPr>
        <w:rPr>
          <w:b/>
          <w:bCs/>
        </w:rPr>
      </w:pPr>
      <w:r w:rsidRPr="00067B10">
        <w:rPr>
          <w:b/>
          <w:bCs/>
        </w:rPr>
        <w:t>Where available in the PeopleXD software</w:t>
      </w:r>
      <w:r w:rsidR="002629CF">
        <w:rPr>
          <w:b/>
          <w:bCs/>
        </w:rPr>
        <w:t>,</w:t>
      </w:r>
      <w:r w:rsidRPr="00067B10">
        <w:rPr>
          <w:b/>
          <w:bCs/>
        </w:rPr>
        <w:t xml:space="preserve"> we would require </w:t>
      </w:r>
      <w:r w:rsidR="00CC56C7">
        <w:rPr>
          <w:b/>
          <w:bCs/>
        </w:rPr>
        <w:t>the software solution</w:t>
      </w:r>
      <w:r w:rsidRPr="00067B10">
        <w:rPr>
          <w:b/>
          <w:bCs/>
        </w:rPr>
        <w:t xml:space="preserve"> to provide the following:</w:t>
      </w:r>
    </w:p>
    <w:p w14:paraId="42B670BE" w14:textId="77777777" w:rsidR="002517BB" w:rsidRDefault="00E0771C">
      <w:pPr>
        <w:pStyle w:val="ListParagraph"/>
        <w:numPr>
          <w:ilvl w:val="0"/>
          <w:numId w:val="5"/>
        </w:numPr>
      </w:pPr>
      <w:r>
        <w:t>API connection to PeopleXD to provide payment details for attendance of On-call and Wholetime personnel at incidents, drill nights and training.  Covering different pay codes</w:t>
      </w:r>
      <w:r w:rsidR="002629CF">
        <w:t>,</w:t>
      </w:r>
      <w:r>
        <w:t xml:space="preserve"> such as attending station but not riding on the appliance, riding on the appliance, </w:t>
      </w:r>
      <w:r w:rsidR="002629CF">
        <w:t xml:space="preserve">and </w:t>
      </w:r>
      <w:r>
        <w:t>attending drill nights.</w:t>
      </w:r>
      <w:r w:rsidR="003F052D">
        <w:t xml:space="preserve"> </w:t>
      </w:r>
    </w:p>
    <w:p w14:paraId="2783BB95" w14:textId="284D1060" w:rsidR="00E0771C" w:rsidRDefault="00E0771C">
      <w:pPr>
        <w:pStyle w:val="ListParagraph"/>
        <w:numPr>
          <w:ilvl w:val="0"/>
          <w:numId w:val="5"/>
        </w:numPr>
      </w:pPr>
      <w:r>
        <w:t xml:space="preserve">If there is no API access to PeopleXD for this purpose, then </w:t>
      </w:r>
      <w:r w:rsidR="00CC56C7">
        <w:t>the supplier</w:t>
      </w:r>
      <w:r>
        <w:t xml:space="preserve"> software </w:t>
      </w:r>
      <w:r w:rsidR="0010649D">
        <w:t>solution</w:t>
      </w:r>
      <w:r>
        <w:t xml:space="preserve"> should provide </w:t>
      </w:r>
      <w:r w:rsidR="00034087">
        <w:t xml:space="preserve">pre-configured export templates and/or </w:t>
      </w:r>
      <w:r>
        <w:t>a simple export function in the required format, with an appropriate file produced that can be imported into PeopleXD to automatically calculate pay.</w:t>
      </w:r>
    </w:p>
    <w:p w14:paraId="59673601" w14:textId="67E544B8" w:rsidR="00D15E15" w:rsidRDefault="00E0771C" w:rsidP="00E0771C">
      <w:pPr>
        <w:pStyle w:val="ListParagraph"/>
        <w:numPr>
          <w:ilvl w:val="0"/>
          <w:numId w:val="5"/>
        </w:numPr>
      </w:pPr>
      <w:r>
        <w:t>API connection to PeopleXD, for any Absences or Leave, including but not limited to Sickness, Career break, Suspensions, Maternity/Paternity, etc.</w:t>
      </w:r>
    </w:p>
    <w:p w14:paraId="0B25909C" w14:textId="2CCA3418" w:rsidR="00621A27" w:rsidRPr="00B0533C" w:rsidRDefault="00621A27">
      <w:pPr>
        <w:pStyle w:val="Heading1"/>
        <w:numPr>
          <w:ilvl w:val="1"/>
          <w:numId w:val="2"/>
        </w:numPr>
      </w:pPr>
      <w:r>
        <w:lastRenderedPageBreak/>
        <w:t>Competency and Training Systems (PDR-Pro)</w:t>
      </w:r>
    </w:p>
    <w:p w14:paraId="1FE97CAB" w14:textId="77777777" w:rsidR="00C8183F" w:rsidRPr="00C8183F" w:rsidRDefault="00C8183F" w:rsidP="00C8183F">
      <w:pPr>
        <w:rPr>
          <w:lang w:eastAsia="en-GB"/>
        </w:rPr>
      </w:pPr>
      <w:r w:rsidRPr="00C8183F">
        <w:rPr>
          <w:lang w:eastAsia="en-GB"/>
        </w:rPr>
        <w:t>The system must integrate with PDR-Pro to support workforce competency and compliance, including:</w:t>
      </w:r>
    </w:p>
    <w:p w14:paraId="7A0AD5DE" w14:textId="20B6499D" w:rsidR="00E0771C" w:rsidRDefault="00365876" w:rsidP="00E0771C">
      <w:pPr>
        <w:rPr>
          <w:highlight w:val="yellow"/>
        </w:rPr>
      </w:pPr>
      <w:r>
        <w:t>One-way</w:t>
      </w:r>
      <w:r w:rsidR="00E0771C">
        <w:t xml:space="preserve"> interface -&gt; push or </w:t>
      </w:r>
      <w:r w:rsidR="00E0771C" w:rsidRPr="00C8183F">
        <w:t xml:space="preserve">pull </w:t>
      </w:r>
      <w:r w:rsidR="00C8183F">
        <w:t>(</w:t>
      </w:r>
      <w:r w:rsidR="00E0771C" w:rsidRPr="00C8183F">
        <w:t>every hour</w:t>
      </w:r>
      <w:r w:rsidR="00C8183F">
        <w:t>)</w:t>
      </w:r>
    </w:p>
    <w:p w14:paraId="0CBBA7CD" w14:textId="2CBB1173" w:rsidR="00E0771C" w:rsidRDefault="00E0771C">
      <w:pPr>
        <w:pStyle w:val="ListParagraph"/>
        <w:numPr>
          <w:ilvl w:val="0"/>
          <w:numId w:val="19"/>
        </w:numPr>
      </w:pPr>
      <w:r>
        <w:t>FF Risk Critical Skills compliance (</w:t>
      </w:r>
      <w:r w:rsidR="00015EDF">
        <w:t>e</w:t>
      </w:r>
      <w:r>
        <w:t>.g. BA/Non-BA</w:t>
      </w:r>
      <w:r w:rsidR="00015EDF">
        <w:t xml:space="preserve"> status</w:t>
      </w:r>
      <w:r>
        <w:t xml:space="preserve">) sent to </w:t>
      </w:r>
      <w:r w:rsidR="0042525E">
        <w:t>the supplier</w:t>
      </w:r>
      <w:r>
        <w:t xml:space="preserve"> software system</w:t>
      </w:r>
      <w:r w:rsidR="00AA75F3">
        <w:t>.</w:t>
      </w:r>
    </w:p>
    <w:p w14:paraId="16212A95" w14:textId="32315F68" w:rsidR="00E0771C" w:rsidRDefault="00E0771C">
      <w:pPr>
        <w:pStyle w:val="ListParagraph"/>
        <w:numPr>
          <w:ilvl w:val="0"/>
          <w:numId w:val="19"/>
        </w:numPr>
      </w:pPr>
      <w:r>
        <w:t xml:space="preserve">FF Roles sent </w:t>
      </w:r>
      <w:r w:rsidR="0057127E">
        <w:t xml:space="preserve">to </w:t>
      </w:r>
      <w:r w:rsidR="0042525E">
        <w:t>the supplier</w:t>
      </w:r>
      <w:r>
        <w:t xml:space="preserve"> software system (e.g. Driving, Incident Commander, etc)</w:t>
      </w:r>
      <w:r w:rsidR="00AA75F3">
        <w:t>.</w:t>
      </w:r>
    </w:p>
    <w:p w14:paraId="116B5812" w14:textId="33C4EACC" w:rsidR="00E0771C" w:rsidRDefault="00E0771C">
      <w:pPr>
        <w:pStyle w:val="ListParagraph"/>
        <w:numPr>
          <w:ilvl w:val="0"/>
          <w:numId w:val="19"/>
        </w:numPr>
      </w:pPr>
      <w:r>
        <w:t xml:space="preserve">Visibility of </w:t>
      </w:r>
      <w:r w:rsidR="00924E8B">
        <w:t xml:space="preserve">training/course </w:t>
      </w:r>
      <w:r>
        <w:t>bookings created in PD</w:t>
      </w:r>
      <w:r w:rsidR="0057127E">
        <w:t>R-</w:t>
      </w:r>
      <w:r>
        <w:t>P</w:t>
      </w:r>
      <w:r w:rsidR="0042525E">
        <w:t>ro</w:t>
      </w:r>
      <w:r>
        <w:t xml:space="preserve"> and </w:t>
      </w:r>
      <w:r w:rsidR="00924E8B">
        <w:t xml:space="preserve">the </w:t>
      </w:r>
      <w:r>
        <w:t>Course Management System to update FF availability.</w:t>
      </w:r>
    </w:p>
    <w:p w14:paraId="6A3080E4" w14:textId="63EB39EE" w:rsidR="005C2DD7" w:rsidRPr="00144266" w:rsidRDefault="00B00534" w:rsidP="0075574E">
      <w:pPr>
        <w:pStyle w:val="ListParagraph"/>
        <w:numPr>
          <w:ilvl w:val="0"/>
          <w:numId w:val="19"/>
        </w:numPr>
      </w:pPr>
      <w:r>
        <w:t>Automated u</w:t>
      </w:r>
      <w:r w:rsidR="00E0771C">
        <w:t>pdates/</w:t>
      </w:r>
      <w:r>
        <w:t>a</w:t>
      </w:r>
      <w:r w:rsidR="00E0771C">
        <w:t>lerts when personnel fall in and out of compliance with specialist/critical skills</w:t>
      </w:r>
      <w:r w:rsidR="00AA75F3">
        <w:t>.</w:t>
      </w:r>
    </w:p>
    <w:p w14:paraId="3B066366" w14:textId="53BD20E1" w:rsidR="007A0884" w:rsidRPr="007A0884" w:rsidRDefault="00E1516F">
      <w:pPr>
        <w:pStyle w:val="Heading1"/>
        <w:numPr>
          <w:ilvl w:val="1"/>
          <w:numId w:val="2"/>
        </w:numPr>
      </w:pPr>
      <w:r>
        <w:t>Microsoft Entra</w:t>
      </w:r>
      <w:r w:rsidR="007A0884">
        <w:t xml:space="preserve"> Integration</w:t>
      </w:r>
    </w:p>
    <w:p w14:paraId="2D3BC5B3" w14:textId="5BB784CA" w:rsidR="00E1516F" w:rsidRPr="00E1516F" w:rsidRDefault="00297C5B" w:rsidP="00E1516F">
      <w:r>
        <w:t>The proposed system must:</w:t>
      </w:r>
    </w:p>
    <w:p w14:paraId="549A6DD8" w14:textId="77777777" w:rsidR="009B5009" w:rsidRDefault="009B5009">
      <w:pPr>
        <w:pStyle w:val="ListParagraph"/>
        <w:numPr>
          <w:ilvl w:val="0"/>
          <w:numId w:val="23"/>
        </w:numPr>
      </w:pPr>
      <w:r>
        <w:t>Support</w:t>
      </w:r>
      <w:r w:rsidR="00E0771C">
        <w:t xml:space="preserve"> multi-tenanted </w:t>
      </w:r>
      <w:r>
        <w:t xml:space="preserve">architecture </w:t>
      </w:r>
      <w:r w:rsidR="00E0771C">
        <w:t xml:space="preserve">to allow secure access by </w:t>
      </w:r>
      <w:r w:rsidR="00A33820">
        <w:t xml:space="preserve">each of </w:t>
      </w:r>
      <w:r w:rsidR="00E0771C">
        <w:t>the individual organisations in this tender</w:t>
      </w:r>
      <w:r>
        <w:t>.</w:t>
      </w:r>
    </w:p>
    <w:p w14:paraId="1AC56A48" w14:textId="69C85459" w:rsidR="00E0771C" w:rsidRDefault="009B5009">
      <w:pPr>
        <w:pStyle w:val="ListParagraph"/>
        <w:numPr>
          <w:ilvl w:val="0"/>
          <w:numId w:val="23"/>
        </w:numPr>
      </w:pPr>
      <w:r>
        <w:t xml:space="preserve">Enable </w:t>
      </w:r>
      <w:r w:rsidR="00E0771C">
        <w:t xml:space="preserve">SSO from </w:t>
      </w:r>
      <w:r w:rsidR="00627C4B">
        <w:t xml:space="preserve">multiple </w:t>
      </w:r>
      <w:r w:rsidR="00E0771C">
        <w:t xml:space="preserve">Microsoft Entra tenants. </w:t>
      </w:r>
    </w:p>
    <w:p w14:paraId="228B15E3" w14:textId="5EC863C4" w:rsidR="00E0771C" w:rsidRDefault="00E0771C">
      <w:pPr>
        <w:pStyle w:val="ListParagraph"/>
        <w:numPr>
          <w:ilvl w:val="0"/>
          <w:numId w:val="23"/>
        </w:numPr>
      </w:pPr>
      <w:r>
        <w:t xml:space="preserve">The combined data must be available to be fed into shared systems such as the Control Centre Command and Control System. </w:t>
      </w:r>
      <w:r w:rsidR="00627C4B">
        <w:t xml:space="preserve"> </w:t>
      </w:r>
      <w:r>
        <w:t xml:space="preserve">This should use SAML or </w:t>
      </w:r>
      <w:r w:rsidR="00136039">
        <w:t>similar, but</w:t>
      </w:r>
      <w:r>
        <w:t xml:space="preserve"> also be fully secure using best practice integration.</w:t>
      </w:r>
    </w:p>
    <w:p w14:paraId="4CD3751D" w14:textId="5AD3403B" w:rsidR="00E0771C" w:rsidRDefault="00E0771C">
      <w:pPr>
        <w:pStyle w:val="ListParagraph"/>
        <w:numPr>
          <w:ilvl w:val="0"/>
          <w:numId w:val="23"/>
        </w:numPr>
      </w:pPr>
      <w:r>
        <w:t xml:space="preserve">Groups in Entra should be available for permission mapping within </w:t>
      </w:r>
      <w:r w:rsidR="00C61280">
        <w:t>the supplier’s software</w:t>
      </w:r>
      <w:r>
        <w:t xml:space="preserve"> system. </w:t>
      </w:r>
      <w:r w:rsidR="00C61280">
        <w:t xml:space="preserve"> </w:t>
      </w:r>
      <w:r>
        <w:t>Users must map automatically into the proposed new software rota system on first use</w:t>
      </w:r>
      <w:r w:rsidR="00C61280">
        <w:t>,</w:t>
      </w:r>
      <w:r>
        <w:t xml:space="preserve"> based on Entra Security Groups. </w:t>
      </w:r>
    </w:p>
    <w:p w14:paraId="6740B698" w14:textId="77D67538" w:rsidR="00E0771C" w:rsidRDefault="00E0771C">
      <w:pPr>
        <w:pStyle w:val="ListParagraph"/>
        <w:numPr>
          <w:ilvl w:val="0"/>
          <w:numId w:val="23"/>
        </w:numPr>
      </w:pPr>
      <w:r>
        <w:t>Basic profile details from Entra must map across to the proposed new software system, including name, job titles, departments and locations.</w:t>
      </w:r>
    </w:p>
    <w:p w14:paraId="38A9D5FD" w14:textId="7170C2F2" w:rsidR="00E0771C" w:rsidRDefault="00E0771C">
      <w:pPr>
        <w:pStyle w:val="ListParagraph"/>
        <w:numPr>
          <w:ilvl w:val="0"/>
          <w:numId w:val="23"/>
        </w:numPr>
      </w:pPr>
      <w:r>
        <w:t>All Joiner, Mover, Leaver (JML) and other details should update automatically from Entra.</w:t>
      </w:r>
    </w:p>
    <w:p w14:paraId="5075DCF6" w14:textId="0638211F" w:rsidR="00AA2103" w:rsidRDefault="00E0771C" w:rsidP="00AA2103">
      <w:pPr>
        <w:pStyle w:val="ListParagraph"/>
        <w:numPr>
          <w:ilvl w:val="0"/>
          <w:numId w:val="23"/>
        </w:numPr>
      </w:pPr>
      <w:r>
        <w:t>The new solution must have Role/</w:t>
      </w:r>
      <w:r w:rsidR="00C6575E">
        <w:t>Group-based</w:t>
      </w:r>
      <w:r>
        <w:t xml:space="preserve"> permissions and alerts for the system, with staff being members of multiple roles or groups (which should be used from AD groups/SSO). </w:t>
      </w:r>
      <w:r w:rsidR="00C6575E">
        <w:t xml:space="preserve"> </w:t>
      </w:r>
      <w:r>
        <w:t>Granular permission must also be available, which would be used exceptionally, if an individual needs additional permissions that differ from their current group/role.</w:t>
      </w:r>
    </w:p>
    <w:p w14:paraId="567879A9" w14:textId="77777777" w:rsidR="007A0884" w:rsidRPr="007A0884" w:rsidRDefault="007A0884">
      <w:pPr>
        <w:pStyle w:val="Heading1"/>
        <w:numPr>
          <w:ilvl w:val="1"/>
          <w:numId w:val="2"/>
        </w:numPr>
      </w:pPr>
      <w:r w:rsidRPr="007A0884">
        <w:t>Mobile Terminal (MDT) Integration</w:t>
      </w:r>
    </w:p>
    <w:p w14:paraId="367BBC65" w14:textId="01664230" w:rsidR="001D7C2B" w:rsidRDefault="007A0884" w:rsidP="00E0771C">
      <w:r>
        <w:t>The software solution should</w:t>
      </w:r>
      <w:r w:rsidR="001D7C2B">
        <w:t xml:space="preserve"> support future integrations with MDT platforms (</w:t>
      </w:r>
      <w:r w:rsidR="002B32A7">
        <w:t>e.g.,</w:t>
      </w:r>
      <w:r w:rsidR="001D7C2B">
        <w:t xml:space="preserve"> Airbus)</w:t>
      </w:r>
      <w:r w:rsidR="002B32A7">
        <w:t>,</w:t>
      </w:r>
      <w:r w:rsidR="001D7C2B">
        <w:t xml:space="preserve"> enabling:</w:t>
      </w:r>
    </w:p>
    <w:p w14:paraId="417316D5" w14:textId="191BC897" w:rsidR="00AA2103" w:rsidRPr="00AA2103" w:rsidRDefault="00AA2103">
      <w:pPr>
        <w:pStyle w:val="ListParagraph"/>
        <w:numPr>
          <w:ilvl w:val="0"/>
          <w:numId w:val="20"/>
        </w:numPr>
      </w:pPr>
      <w:r w:rsidRPr="00AA2103">
        <w:t xml:space="preserve">Real-time crew status updates from appliances </w:t>
      </w:r>
    </w:p>
    <w:p w14:paraId="773FBC8C" w14:textId="2C8C78F2" w:rsidR="00AA2103" w:rsidRPr="00AA2103" w:rsidRDefault="00AA2103">
      <w:pPr>
        <w:pStyle w:val="ListParagraph"/>
        <w:numPr>
          <w:ilvl w:val="0"/>
          <w:numId w:val="20"/>
        </w:numPr>
      </w:pPr>
      <w:r w:rsidRPr="00AA2103">
        <w:t>Synchronisation with availability and Command</w:t>
      </w:r>
      <w:r>
        <w:t>-</w:t>
      </w:r>
      <w:r w:rsidRPr="00AA2103">
        <w:t>and</w:t>
      </w:r>
      <w:r>
        <w:t>-</w:t>
      </w:r>
      <w:r w:rsidRPr="00AA2103">
        <w:t xml:space="preserve">Control systems </w:t>
      </w:r>
    </w:p>
    <w:p w14:paraId="1AC952C3" w14:textId="707B84CB" w:rsidR="00AA2103" w:rsidRDefault="00AA2103">
      <w:pPr>
        <w:pStyle w:val="ListParagraph"/>
        <w:numPr>
          <w:ilvl w:val="0"/>
          <w:numId w:val="20"/>
        </w:numPr>
      </w:pPr>
      <w:r w:rsidRPr="00AA2103">
        <w:lastRenderedPageBreak/>
        <w:t>Manual check-in capability for personnel present at stations but not mobilised</w:t>
      </w:r>
    </w:p>
    <w:p w14:paraId="7FACF802" w14:textId="77777777" w:rsidR="00AA2103" w:rsidRDefault="00AA2103" w:rsidP="00AA2103"/>
    <w:p w14:paraId="2E3953E6" w14:textId="25087C38" w:rsidR="00BB1041" w:rsidRDefault="001B2BC4">
      <w:pPr>
        <w:pStyle w:val="Heading1"/>
        <w:numPr>
          <w:ilvl w:val="0"/>
          <w:numId w:val="2"/>
        </w:numPr>
      </w:pPr>
      <w:r>
        <w:t>Key Performance Indicators</w:t>
      </w:r>
      <w:r w:rsidR="004402B6">
        <w:t xml:space="preserve"> </w:t>
      </w:r>
      <w:r>
        <w:t xml:space="preserve">and </w:t>
      </w:r>
      <w:r w:rsidR="00BB1041">
        <w:t>Service Level Agreements</w:t>
      </w:r>
    </w:p>
    <w:p w14:paraId="2F486D53" w14:textId="77777777" w:rsidR="00614843" w:rsidRPr="00614843" w:rsidRDefault="00614843" w:rsidP="00614843">
      <w:pPr>
        <w:rPr>
          <w:lang w:eastAsia="en-GB"/>
        </w:rPr>
      </w:pPr>
      <w:r w:rsidRPr="00614843">
        <w:rPr>
          <w:lang w:eastAsia="en-GB"/>
        </w:rPr>
        <w:t>All performance expectations are defined within the Invitation to Tender (ITT) documentation.</w:t>
      </w:r>
    </w:p>
    <w:p w14:paraId="0896D43C" w14:textId="77777777" w:rsidR="00614843" w:rsidRPr="00614843" w:rsidRDefault="00614843" w:rsidP="00614843">
      <w:pPr>
        <w:rPr>
          <w:lang w:eastAsia="en-GB"/>
        </w:rPr>
      </w:pPr>
      <w:r w:rsidRPr="00614843">
        <w:rPr>
          <w:lang w:eastAsia="en-GB"/>
        </w:rPr>
        <w:t>Service Level Agreements (SLAs) relating to incident management are detailed in Appendix D: Software SLAs – Incidents.</w:t>
      </w:r>
    </w:p>
    <w:p w14:paraId="6BA653D7" w14:textId="13E1FB0C" w:rsidR="00BB1041" w:rsidRDefault="00614843" w:rsidP="00494EA9">
      <w:pPr>
        <w:rPr>
          <w:lang w:eastAsia="en-GB"/>
        </w:rPr>
      </w:pPr>
      <w:r w:rsidRPr="00614843">
        <w:rPr>
          <w:lang w:eastAsia="en-GB"/>
        </w:rPr>
        <w:t>Suppliers must demonstrate their ability to meet or exceed these requirements, supported by robust monitoring, reporting, and continuous improvement mechanisms.</w:t>
      </w:r>
    </w:p>
    <w:p w14:paraId="4FB75C01" w14:textId="77777777" w:rsidR="00280BEF" w:rsidRDefault="00280BEF" w:rsidP="00494EA9"/>
    <w:p w14:paraId="3939A77D" w14:textId="77777777" w:rsidR="00136039" w:rsidRDefault="00136039" w:rsidP="00494EA9"/>
    <w:p w14:paraId="783CBB4A" w14:textId="77777777" w:rsidR="00EA58BA" w:rsidRDefault="00BB1041">
      <w:pPr>
        <w:pStyle w:val="Heading1"/>
        <w:numPr>
          <w:ilvl w:val="0"/>
          <w:numId w:val="2"/>
        </w:numPr>
      </w:pPr>
      <w:r>
        <w:t>D</w:t>
      </w:r>
      <w:r w:rsidRPr="00BB1041">
        <w:t xml:space="preserve">ata </w:t>
      </w:r>
      <w:r>
        <w:t>P</w:t>
      </w:r>
      <w:r w:rsidRPr="00BB1041">
        <w:t>rotection</w:t>
      </w:r>
      <w:r w:rsidR="00136039">
        <w:t>, Security and Information Governance</w:t>
      </w:r>
    </w:p>
    <w:p w14:paraId="058E0D25" w14:textId="323A9DE1" w:rsidR="00BB1041" w:rsidRPr="00BB1041" w:rsidRDefault="00BB1041" w:rsidP="00EA58BA">
      <w:pPr>
        <w:pStyle w:val="Heading1"/>
        <w:numPr>
          <w:ilvl w:val="0"/>
          <w:numId w:val="0"/>
        </w:numPr>
      </w:pPr>
      <w:r w:rsidRPr="00BB1041">
        <w:t xml:space="preserve"> </w:t>
      </w:r>
      <w:r w:rsidR="00EA58BA">
        <w:t xml:space="preserve">Data Protection </w:t>
      </w:r>
      <w:r>
        <w:t>S</w:t>
      </w:r>
      <w:r w:rsidRPr="00BB1041">
        <w:t>tatement</w:t>
      </w:r>
      <w:r w:rsidR="00547028">
        <w:t xml:space="preserve"> for MAWWFRS</w:t>
      </w:r>
    </w:p>
    <w:p w14:paraId="39F504BB" w14:textId="05BDBABC" w:rsidR="003D1ED8" w:rsidRDefault="003D1ED8" w:rsidP="00033C4D">
      <w:pPr>
        <w:rPr>
          <w:lang w:eastAsia="en-GB"/>
        </w:rPr>
      </w:pPr>
      <w:r>
        <w:rPr>
          <w:lang w:eastAsia="en-GB"/>
        </w:rPr>
        <w:t xml:space="preserve">This </w:t>
      </w:r>
      <w:r w:rsidR="00033C4D">
        <w:rPr>
          <w:lang w:eastAsia="en-GB"/>
        </w:rPr>
        <w:t xml:space="preserve">Data Protection </w:t>
      </w:r>
      <w:r>
        <w:rPr>
          <w:lang w:eastAsia="en-GB"/>
        </w:rPr>
        <w:t xml:space="preserve">statement </w:t>
      </w:r>
      <w:r w:rsidRPr="003D1ED8">
        <w:rPr>
          <w:lang w:eastAsia="en-GB"/>
        </w:rPr>
        <w:t xml:space="preserve">ensures that MAWWFRS assesses not only compliance but </w:t>
      </w:r>
      <w:r>
        <w:rPr>
          <w:lang w:eastAsia="en-GB"/>
        </w:rPr>
        <w:t xml:space="preserve">also </w:t>
      </w:r>
      <w:r w:rsidRPr="003D1ED8">
        <w:rPr>
          <w:lang w:eastAsia="en-GB"/>
        </w:rPr>
        <w:t xml:space="preserve">the quality, maturity, and effectiveness of supplier capabilities in safeguarding critical information. </w:t>
      </w:r>
    </w:p>
    <w:p w14:paraId="2335CE1B" w14:textId="0D1356C9" w:rsidR="003D1ED8" w:rsidRPr="003D1ED8" w:rsidRDefault="003D1ED8" w:rsidP="00033C4D">
      <w:pPr>
        <w:rPr>
          <w:lang w:eastAsia="en-GB"/>
        </w:rPr>
      </w:pPr>
      <w:r w:rsidRPr="003D1ED8">
        <w:rPr>
          <w:lang w:eastAsia="en-GB"/>
        </w:rPr>
        <w:t>It supports a move away from purely metric-based measurement toward a holistic, risk-informed evaluation model, aligned with best practice across the UK public sector.</w:t>
      </w:r>
    </w:p>
    <w:p w14:paraId="2CADDDDD" w14:textId="77777777" w:rsidR="003D1ED8" w:rsidRPr="003D1ED8" w:rsidRDefault="003D1ED8" w:rsidP="00B81319">
      <w:pPr>
        <w:pStyle w:val="NoSpacing"/>
      </w:pPr>
    </w:p>
    <w:p w14:paraId="00319A03" w14:textId="092006B4" w:rsidR="00D31C62" w:rsidRPr="00D31C62" w:rsidRDefault="00D31C62" w:rsidP="00EA58BA">
      <w:pPr>
        <w:pStyle w:val="Heading1"/>
        <w:numPr>
          <w:ilvl w:val="0"/>
          <w:numId w:val="0"/>
        </w:numPr>
        <w:ind w:left="360" w:hanging="360"/>
      </w:pPr>
      <w:r w:rsidRPr="00D31C62">
        <w:t>Data Protection, Liability, Data Loss &amp; Data Breach</w:t>
      </w:r>
    </w:p>
    <w:p w14:paraId="52048D86" w14:textId="77777777" w:rsidR="00534E52" w:rsidRDefault="00D31C62" w:rsidP="00D31C62">
      <w:r w:rsidRPr="00D31C62">
        <w:t>MAWWFRS requires suppliers to evidence a mature, risk-based, and standards-aligned approach to information governance and security within the Service Level Agreement (SLA).</w:t>
      </w:r>
      <w:r w:rsidR="00534E52">
        <w:t xml:space="preserve"> </w:t>
      </w:r>
      <w:r w:rsidRPr="00D31C62">
        <w:t xml:space="preserve"> </w:t>
      </w:r>
    </w:p>
    <w:p w14:paraId="09EE2395" w14:textId="4CA2F0C6" w:rsidR="00D31C62" w:rsidRPr="00D31C62" w:rsidRDefault="00D31C62" w:rsidP="00D31C62">
      <w:r w:rsidRPr="00D31C62">
        <w:t xml:space="preserve">In place of fixed KPI metrics alone, bidders must provide a comprehensive narrative describing how they will deliver, assure, and continuously improve performance across </w:t>
      </w:r>
      <w:r w:rsidR="00534E52">
        <w:t>d</w:t>
      </w:r>
      <w:r w:rsidRPr="00D31C62">
        <w:t xml:space="preserve">ata </w:t>
      </w:r>
      <w:r w:rsidR="00534E52">
        <w:t>p</w:t>
      </w:r>
      <w:r w:rsidRPr="00D31C62">
        <w:t>rotection, liability, data loss prevention, and data breach management.</w:t>
      </w:r>
    </w:p>
    <w:p w14:paraId="0FD7D157" w14:textId="21FBC4C2" w:rsidR="00D31C62" w:rsidRPr="00D31C62" w:rsidRDefault="00D31C62" w:rsidP="00D31C62">
      <w:r w:rsidRPr="00D31C62">
        <w:t>This narrative will form a key component of qualitative evaluation and contract management.</w:t>
      </w:r>
    </w:p>
    <w:p w14:paraId="4DAA2DAC" w14:textId="77777777" w:rsidR="00534E52" w:rsidRDefault="00534E52" w:rsidP="00534E52">
      <w:pPr>
        <w:pStyle w:val="NoSpacing"/>
      </w:pPr>
    </w:p>
    <w:p w14:paraId="6586C006" w14:textId="65BE3954" w:rsidR="00D31C62" w:rsidRPr="0056684A" w:rsidRDefault="00D31C62" w:rsidP="00D31C62">
      <w:pPr>
        <w:rPr>
          <w:rStyle w:val="SubtleEmphasis"/>
        </w:rPr>
      </w:pPr>
      <w:r w:rsidRPr="0056684A">
        <w:rPr>
          <w:rStyle w:val="SubtleEmphasis"/>
        </w:rPr>
        <w:t>Data Protection &amp; Compliance</w:t>
      </w:r>
    </w:p>
    <w:p w14:paraId="2CD493DD" w14:textId="77777777" w:rsidR="00E42F80" w:rsidRDefault="00D31C62" w:rsidP="00D31C62">
      <w:r w:rsidRPr="00D31C62">
        <w:t xml:space="preserve">The </w:t>
      </w:r>
      <w:r w:rsidR="00E42F80">
        <w:t>supplier</w:t>
      </w:r>
      <w:r w:rsidRPr="00D31C62">
        <w:t xml:space="preserve"> must demonstrate full compliance with UK GDPR, the Data Protection Act 2018, and relevant sector-specific requirements. </w:t>
      </w:r>
    </w:p>
    <w:p w14:paraId="7D81976E" w14:textId="2CD97119" w:rsidR="00D31C62" w:rsidRPr="00D31C62" w:rsidRDefault="00D31C62" w:rsidP="00D31C62">
      <w:r w:rsidRPr="00D31C62">
        <w:t>This includes:</w:t>
      </w:r>
    </w:p>
    <w:p w14:paraId="6F9B5909" w14:textId="77777777" w:rsidR="00D31C62" w:rsidRPr="00D31C62" w:rsidRDefault="00D31C62">
      <w:pPr>
        <w:numPr>
          <w:ilvl w:val="0"/>
          <w:numId w:val="14"/>
        </w:numPr>
      </w:pPr>
      <w:r w:rsidRPr="00D31C62">
        <w:t>Implementation of appropriate technical and organisational measures (Article 32 UK GDPR)</w:t>
      </w:r>
    </w:p>
    <w:p w14:paraId="35B394B3" w14:textId="77777777" w:rsidR="00D31C62" w:rsidRPr="00D31C62" w:rsidRDefault="00D31C62">
      <w:pPr>
        <w:numPr>
          <w:ilvl w:val="0"/>
          <w:numId w:val="14"/>
        </w:numPr>
      </w:pPr>
      <w:r w:rsidRPr="00D31C62">
        <w:t>Alignment with ISO/IEC 27001  </w:t>
      </w:r>
    </w:p>
    <w:p w14:paraId="455C5631" w14:textId="77777777" w:rsidR="00D31C62" w:rsidRPr="00D31C62" w:rsidRDefault="00D31C62">
      <w:pPr>
        <w:numPr>
          <w:ilvl w:val="0"/>
          <w:numId w:val="14"/>
        </w:numPr>
      </w:pPr>
      <w:r w:rsidRPr="00D31C62">
        <w:t>Adherence to data minimisation, purpose limitation, and secure processing principles</w:t>
      </w:r>
    </w:p>
    <w:p w14:paraId="0263745D" w14:textId="72395F92" w:rsidR="00D31C62" w:rsidRPr="00D31C62" w:rsidRDefault="00D31C62">
      <w:pPr>
        <w:numPr>
          <w:ilvl w:val="0"/>
          <w:numId w:val="14"/>
        </w:numPr>
      </w:pPr>
      <w:r w:rsidRPr="00D31C62">
        <w:t>Staff security measures</w:t>
      </w:r>
      <w:r w:rsidR="00E42F80">
        <w:t>,</w:t>
      </w:r>
      <w:r w:rsidRPr="00D31C62">
        <w:t xml:space="preserve"> including training, vetting, and ongoing awareness</w:t>
      </w:r>
    </w:p>
    <w:p w14:paraId="671318B2" w14:textId="77777777" w:rsidR="00EA58BA" w:rsidRDefault="00EA58BA" w:rsidP="00D31C62"/>
    <w:p w14:paraId="3C73D01A" w14:textId="6DBB7FEE" w:rsidR="00D31C62" w:rsidRPr="00D31C62" w:rsidRDefault="00D31C62" w:rsidP="00D31C62">
      <w:r w:rsidRPr="00D31C62">
        <w:t>Bidders must clearly articulate governance structures, policies, and assurance mechanisms used to protect MAWWFRS information assets.</w:t>
      </w:r>
      <w:r w:rsidR="00B36202">
        <w:t xml:space="preserve"> </w:t>
      </w:r>
    </w:p>
    <w:p w14:paraId="3C27CCA5" w14:textId="77777777" w:rsidR="004D32EB" w:rsidRDefault="004D32EB" w:rsidP="000B10EC">
      <w:pPr>
        <w:pStyle w:val="NoSpacing"/>
      </w:pPr>
    </w:p>
    <w:p w14:paraId="420357C1" w14:textId="1F4BDB46" w:rsidR="00D31C62" w:rsidRPr="00235A9C" w:rsidRDefault="00D31C62" w:rsidP="00D31C62">
      <w:pPr>
        <w:rPr>
          <w:rStyle w:val="SubtleEmphasis"/>
        </w:rPr>
      </w:pPr>
      <w:r w:rsidRPr="00235A9C">
        <w:rPr>
          <w:rStyle w:val="SubtleEmphasis"/>
        </w:rPr>
        <w:t>Liability &amp; Risk Allocation</w:t>
      </w:r>
    </w:p>
    <w:p w14:paraId="154A5D95" w14:textId="4C6691C7" w:rsidR="00D31C62" w:rsidRPr="00D31C62" w:rsidRDefault="00D31C62" w:rsidP="00D31C62">
      <w:r w:rsidRPr="00D31C62">
        <w:t xml:space="preserve">The </w:t>
      </w:r>
      <w:r w:rsidR="004D32EB">
        <w:t>supplier</w:t>
      </w:r>
      <w:r w:rsidRPr="00D31C62">
        <w:t xml:space="preserve"> shall define a clear and proportionate approach to liability and accountability, including:</w:t>
      </w:r>
    </w:p>
    <w:p w14:paraId="60F4E821" w14:textId="77777777" w:rsidR="00D31C62" w:rsidRPr="00D31C62" w:rsidRDefault="00D31C62">
      <w:pPr>
        <w:numPr>
          <w:ilvl w:val="0"/>
          <w:numId w:val="11"/>
        </w:numPr>
      </w:pPr>
      <w:r w:rsidRPr="00D31C62">
        <w:t>Allocation of responsibility for data compromise, unauthorised access, or service failure</w:t>
      </w:r>
    </w:p>
    <w:p w14:paraId="2E7A3360" w14:textId="77777777" w:rsidR="00D31C62" w:rsidRPr="00D31C62" w:rsidRDefault="00D31C62">
      <w:pPr>
        <w:numPr>
          <w:ilvl w:val="0"/>
          <w:numId w:val="11"/>
        </w:numPr>
      </w:pPr>
      <w:r w:rsidRPr="00D31C62">
        <w:t>Defined indemnities and limitations of liability, proportionate to risk</w:t>
      </w:r>
    </w:p>
    <w:p w14:paraId="2111A73E" w14:textId="77777777" w:rsidR="00D31C62" w:rsidRPr="00D31C62" w:rsidRDefault="00D31C62">
      <w:pPr>
        <w:numPr>
          <w:ilvl w:val="0"/>
          <w:numId w:val="11"/>
        </w:numPr>
      </w:pPr>
      <w:r w:rsidRPr="00D31C62">
        <w:t>Transparent risk identification, assessment, and mitigation processes</w:t>
      </w:r>
    </w:p>
    <w:p w14:paraId="3D49C64C" w14:textId="77777777" w:rsidR="00D31C62" w:rsidRPr="00D31C62" w:rsidRDefault="00D31C62">
      <w:pPr>
        <w:numPr>
          <w:ilvl w:val="0"/>
          <w:numId w:val="11"/>
        </w:numPr>
      </w:pPr>
      <w:r w:rsidRPr="00D31C62">
        <w:t>Escalation pathways aligned to MAWWFRS governance structures</w:t>
      </w:r>
    </w:p>
    <w:p w14:paraId="5249241B" w14:textId="73D5A19C" w:rsidR="00D31C62" w:rsidRPr="00D31C62" w:rsidRDefault="00D31C62" w:rsidP="00D31C62">
      <w:r w:rsidRPr="00D31C62">
        <w:t>This should reflect robust risk management practices, consistent with ISO 27005 / CAF Risk Management principles.</w:t>
      </w:r>
    </w:p>
    <w:p w14:paraId="0E720FB8" w14:textId="77777777" w:rsidR="000B10EC" w:rsidRDefault="000B10EC" w:rsidP="000B10EC">
      <w:pPr>
        <w:pStyle w:val="NoSpacing"/>
      </w:pPr>
    </w:p>
    <w:p w14:paraId="5AFAF91F" w14:textId="0F7B7632" w:rsidR="00D31C62" w:rsidRPr="00235A9C" w:rsidRDefault="00D31C62" w:rsidP="00D31C62">
      <w:pPr>
        <w:rPr>
          <w:rStyle w:val="SubtleEmphasis"/>
        </w:rPr>
      </w:pPr>
      <w:r w:rsidRPr="00235A9C">
        <w:rPr>
          <w:rStyle w:val="SubtleEmphasis"/>
        </w:rPr>
        <w:t>Data Loss Prevention &amp; Resilience</w:t>
      </w:r>
    </w:p>
    <w:p w14:paraId="693407E1" w14:textId="14457E25" w:rsidR="00D31C62" w:rsidRPr="00D31C62" w:rsidRDefault="00D31C62" w:rsidP="00D31C62">
      <w:r w:rsidRPr="00D31C62">
        <w:t xml:space="preserve">The </w:t>
      </w:r>
      <w:r w:rsidR="000B10EC">
        <w:t>supplier</w:t>
      </w:r>
      <w:r w:rsidRPr="00D31C62">
        <w:t xml:space="preserve"> must evidence a proactive and resilient approach to preventing data loss, including:</w:t>
      </w:r>
    </w:p>
    <w:p w14:paraId="0C1F38FB" w14:textId="77777777" w:rsidR="00D31C62" w:rsidRPr="00D31C62" w:rsidRDefault="00D31C62">
      <w:pPr>
        <w:numPr>
          <w:ilvl w:val="0"/>
          <w:numId w:val="7"/>
        </w:numPr>
      </w:pPr>
      <w:r w:rsidRPr="00D31C62">
        <w:t>Implementation of Data Loss Prevention (DLP) controls</w:t>
      </w:r>
    </w:p>
    <w:p w14:paraId="24D99A6D" w14:textId="77777777" w:rsidR="00D31C62" w:rsidRPr="00D31C62" w:rsidRDefault="00D31C62">
      <w:pPr>
        <w:numPr>
          <w:ilvl w:val="0"/>
          <w:numId w:val="7"/>
        </w:numPr>
      </w:pPr>
      <w:r w:rsidRPr="00D31C62">
        <w:t>Defined Recovery Time Objectives (RTO) and Recovery Point Objectives (RPO)</w:t>
      </w:r>
    </w:p>
    <w:p w14:paraId="4B0605A3" w14:textId="77777777" w:rsidR="00D31C62" w:rsidRPr="00D31C62" w:rsidRDefault="00D31C62">
      <w:pPr>
        <w:numPr>
          <w:ilvl w:val="0"/>
          <w:numId w:val="7"/>
        </w:numPr>
      </w:pPr>
      <w:r w:rsidRPr="00D31C62">
        <w:t>Business continuity and disaster recovery, including identifying and reporting a data breach</w:t>
      </w:r>
    </w:p>
    <w:p w14:paraId="41132757" w14:textId="671621F8" w:rsidR="00D31C62" w:rsidRDefault="009213FF">
      <w:pPr>
        <w:numPr>
          <w:ilvl w:val="0"/>
          <w:numId w:val="7"/>
        </w:numPr>
      </w:pPr>
      <w:r>
        <w:t>O</w:t>
      </w:r>
      <w:r w:rsidR="00D31C62" w:rsidRPr="00D31C62">
        <w:t>utline monitoring capabilities and assurance processes to demonstrate ongoing resilience.</w:t>
      </w:r>
    </w:p>
    <w:p w14:paraId="7E362980" w14:textId="77777777" w:rsidR="009213FF" w:rsidRPr="00D31C62" w:rsidRDefault="009213FF" w:rsidP="009213FF">
      <w:pPr>
        <w:ind w:left="720"/>
      </w:pPr>
    </w:p>
    <w:p w14:paraId="5FE28551" w14:textId="77777777" w:rsidR="000B10EC" w:rsidRDefault="000B10EC" w:rsidP="000B10EC">
      <w:pPr>
        <w:pStyle w:val="NoSpacing"/>
      </w:pPr>
    </w:p>
    <w:p w14:paraId="16D90861" w14:textId="4905001F" w:rsidR="00D31C62" w:rsidRPr="00235A9C" w:rsidRDefault="00D31C62" w:rsidP="00D31C62">
      <w:pPr>
        <w:rPr>
          <w:rStyle w:val="SubtleEmphasis"/>
        </w:rPr>
      </w:pPr>
      <w:r w:rsidRPr="00235A9C">
        <w:rPr>
          <w:rStyle w:val="SubtleEmphasis"/>
        </w:rPr>
        <w:t>Data Breach &amp; Incident Management</w:t>
      </w:r>
    </w:p>
    <w:p w14:paraId="1F232790" w14:textId="26BE99BB" w:rsidR="00D31C62" w:rsidRPr="00D31C62" w:rsidRDefault="00D31C62" w:rsidP="00D31C62">
      <w:r w:rsidRPr="00D31C62">
        <w:t xml:space="preserve">The </w:t>
      </w:r>
      <w:r w:rsidR="000B10EC">
        <w:t>supplier</w:t>
      </w:r>
      <w:r w:rsidRPr="00D31C62">
        <w:t xml:space="preserve"> must provide a clearly defined incident response framework, aligned with:</w:t>
      </w:r>
    </w:p>
    <w:p w14:paraId="22B18D3D" w14:textId="77777777" w:rsidR="00D31C62" w:rsidRPr="00D31C62" w:rsidRDefault="00D31C62">
      <w:pPr>
        <w:numPr>
          <w:ilvl w:val="0"/>
          <w:numId w:val="16"/>
        </w:numPr>
      </w:pPr>
      <w:r w:rsidRPr="00D31C62">
        <w:t>UK GDPR breach notification requirements (including 72-hour reporting to the ICO where applicable), this must include business continuity reporting to MAWWFRS.</w:t>
      </w:r>
    </w:p>
    <w:p w14:paraId="10843368" w14:textId="77777777" w:rsidR="00D31C62" w:rsidRPr="00D31C62" w:rsidRDefault="00D31C62">
      <w:pPr>
        <w:numPr>
          <w:ilvl w:val="0"/>
          <w:numId w:val="16"/>
        </w:numPr>
      </w:pPr>
      <w:r w:rsidRPr="00D31C62">
        <w:t>CAF Objective D: Minimising Impact of Incidents</w:t>
      </w:r>
    </w:p>
    <w:p w14:paraId="4E7794A7" w14:textId="0C02D2CE" w:rsidR="00764215" w:rsidRDefault="00D31C62" w:rsidP="00111869">
      <w:r w:rsidRPr="00D31C62">
        <w:t>Bidders must demonstrate the ability to support MAWWFRS in meeting its statutory and legal obligations.</w:t>
      </w:r>
    </w:p>
    <w:p w14:paraId="59A461CE" w14:textId="77777777" w:rsidR="006B6544" w:rsidRDefault="006B6544" w:rsidP="00111869"/>
    <w:p w14:paraId="78D18C6D" w14:textId="77777777" w:rsidR="00C44D48" w:rsidRPr="00C44D48" w:rsidRDefault="00C44D48" w:rsidP="00C44D48">
      <w:pPr>
        <w:rPr>
          <w:b/>
          <w:i/>
          <w:iCs/>
          <w:color w:val="404040" w:themeColor="text1" w:themeTint="BF"/>
          <w:sz w:val="24"/>
        </w:rPr>
      </w:pPr>
      <w:r w:rsidRPr="00C44D48">
        <w:rPr>
          <w:b/>
          <w:i/>
          <w:iCs/>
          <w:color w:val="404040" w:themeColor="text1" w:themeTint="BF"/>
          <w:sz w:val="24"/>
        </w:rPr>
        <w:t>Lawful Basis and Special Category Data</w:t>
      </w:r>
    </w:p>
    <w:p w14:paraId="1A05297C" w14:textId="77777777" w:rsidR="00C44D48" w:rsidRPr="00C44D48" w:rsidRDefault="00C44D48" w:rsidP="00C44D48">
      <w:r w:rsidRPr="00C44D48">
        <w:t>The Provider must clearly identify and document the lawful basis relied upon for each processing activity undertaken on behalf of MAWWFRS in accordance with Article 6 UK GDPR. Where processing includes special category personal data under Article 9 UK GDPR, the Provider must specify the applicable Article 9 condition relied upon, together with any additional conditions under the Data Protection Act 2018 where relevant.</w:t>
      </w:r>
    </w:p>
    <w:p w14:paraId="53154580" w14:textId="77777777" w:rsidR="00C44D48" w:rsidRDefault="00C44D48" w:rsidP="00C44D48">
      <w:r w:rsidRPr="00C44D48">
        <w:t>The Provider must demonstrate that appropriate safeguards are implemented for the processing of special category data, including enhanced access controls, encryption, role-based permissions, audit logging, confidentiality obligations, and minimisation of data collection and retention.</w:t>
      </w:r>
    </w:p>
    <w:p w14:paraId="105D1F9C" w14:textId="77777777" w:rsidR="008D72D4" w:rsidRPr="00C44D48" w:rsidRDefault="008D72D4" w:rsidP="00C44D48"/>
    <w:p w14:paraId="721815F7" w14:textId="77777777" w:rsidR="00C44D48" w:rsidRPr="008D72D4" w:rsidRDefault="00C44D48" w:rsidP="00C44D48">
      <w:pPr>
        <w:rPr>
          <w:rStyle w:val="SubtleEmphasis"/>
        </w:rPr>
      </w:pPr>
      <w:r w:rsidRPr="008D72D4">
        <w:rPr>
          <w:rStyle w:val="SubtleEmphasis"/>
        </w:rPr>
        <w:t>Data Protection by Design and DPIA Support</w:t>
      </w:r>
    </w:p>
    <w:p w14:paraId="210F9619" w14:textId="77777777" w:rsidR="00C44D48" w:rsidRPr="00C44D48" w:rsidRDefault="00C44D48" w:rsidP="00C44D48">
      <w:r w:rsidRPr="00C44D48">
        <w:t>The Provider must demonstrate compliance with the principles of Data Protection by Design and by Default under Article 25 UK GDPR. This should include evidence that privacy and security requirements are embedded into the design, development, configuration, implementation, and ongoing operation of the proposed service.</w:t>
      </w:r>
    </w:p>
    <w:p w14:paraId="6DFE102D" w14:textId="77777777" w:rsidR="00C44D48" w:rsidRPr="00C44D48" w:rsidRDefault="00C44D48" w:rsidP="00C44D48">
      <w:r w:rsidRPr="00C44D48">
        <w:t>Given the potential sensitivity of availability data, staffing patterns, operational readiness indicators, and associated workforce information, Suppliers must:</w:t>
      </w:r>
    </w:p>
    <w:p w14:paraId="46BF790C" w14:textId="77777777" w:rsidR="00C44D48" w:rsidRPr="00C44D48" w:rsidRDefault="00C44D48">
      <w:pPr>
        <w:pStyle w:val="ListParagraph"/>
        <w:numPr>
          <w:ilvl w:val="0"/>
          <w:numId w:val="9"/>
        </w:numPr>
      </w:pPr>
      <w:r w:rsidRPr="00C44D48">
        <w:t>Demonstrate privacy-by-design architecture and secure system configuration.</w:t>
      </w:r>
    </w:p>
    <w:p w14:paraId="3A938E03" w14:textId="77777777" w:rsidR="00C44D48" w:rsidRPr="00C44D48" w:rsidRDefault="00C44D48">
      <w:pPr>
        <w:pStyle w:val="ListParagraph"/>
        <w:numPr>
          <w:ilvl w:val="0"/>
          <w:numId w:val="9"/>
        </w:numPr>
      </w:pPr>
      <w:r w:rsidRPr="00C44D48">
        <w:t>Support MAWWFRS in the completion and ongoing review of Data Protection Impact Assessments (DPIAs);</w:t>
      </w:r>
    </w:p>
    <w:p w14:paraId="0B20CE3F" w14:textId="77777777" w:rsidR="008D72D4" w:rsidRDefault="008D72D4" w:rsidP="00C44D48"/>
    <w:p w14:paraId="49BBDBF6" w14:textId="439CD77C" w:rsidR="00C44D48" w:rsidRPr="008D72D4" w:rsidRDefault="00C44D48" w:rsidP="00C44D48">
      <w:pPr>
        <w:rPr>
          <w:rStyle w:val="SubtleEmphasis"/>
        </w:rPr>
      </w:pPr>
      <w:r w:rsidRPr="008D72D4">
        <w:rPr>
          <w:rStyle w:val="SubtleEmphasis"/>
        </w:rPr>
        <w:t>Controller/Processor Status and Supply Chain Governance</w:t>
      </w:r>
    </w:p>
    <w:p w14:paraId="46F24229" w14:textId="77777777" w:rsidR="00C44D48" w:rsidRPr="00C44D48" w:rsidRDefault="00C44D48" w:rsidP="00C44D48">
      <w:r w:rsidRPr="00C44D48">
        <w:t>The Provider must explicitly declare its status under UK GDPR in relation to the services being procured, including whether it acts as a Data Controller, Joint Controller, or Data Processor. Where processing is undertaken on behalf of MAWWFRS, the Provider must demonstrate full compliance with Article 28 UK GDPR processor obligations.</w:t>
      </w:r>
    </w:p>
    <w:p w14:paraId="56E0F7E9" w14:textId="77777777" w:rsidR="00C44D48" w:rsidRPr="00C44D48" w:rsidRDefault="00C44D48" w:rsidP="00C44D48">
      <w:r w:rsidRPr="00C44D48">
        <w:t>The Supplier must provide:</w:t>
      </w:r>
    </w:p>
    <w:p w14:paraId="0F937765" w14:textId="77777777" w:rsidR="00C44D48" w:rsidRPr="00C44D48" w:rsidRDefault="00C44D48">
      <w:pPr>
        <w:pStyle w:val="ListParagraph"/>
        <w:numPr>
          <w:ilvl w:val="0"/>
          <w:numId w:val="21"/>
        </w:numPr>
      </w:pPr>
      <w:r w:rsidRPr="00C44D48">
        <w:t>A clear description of controller and processor responsibilities.</w:t>
      </w:r>
    </w:p>
    <w:p w14:paraId="275817B0" w14:textId="77777777" w:rsidR="00C44D48" w:rsidRPr="00C44D48" w:rsidRDefault="00C44D48">
      <w:pPr>
        <w:pStyle w:val="ListParagraph"/>
        <w:numPr>
          <w:ilvl w:val="0"/>
          <w:numId w:val="21"/>
        </w:numPr>
      </w:pPr>
      <w:r w:rsidRPr="00C44D48">
        <w:t>Details of governance arrangements for managing shared accountability where joint controller relationships exist.</w:t>
      </w:r>
    </w:p>
    <w:p w14:paraId="7991850A" w14:textId="77777777" w:rsidR="00C44D48" w:rsidRPr="00C44D48" w:rsidRDefault="00C44D48">
      <w:pPr>
        <w:pStyle w:val="ListParagraph"/>
        <w:numPr>
          <w:ilvl w:val="0"/>
          <w:numId w:val="21"/>
        </w:numPr>
      </w:pPr>
      <w:r w:rsidRPr="00C44D48">
        <w:t>Confirmation that processing will only occur on documented instructions from MAWWFRS.</w:t>
      </w:r>
    </w:p>
    <w:p w14:paraId="5EA9C31F" w14:textId="77777777" w:rsidR="00C44D48" w:rsidRPr="00C44D48" w:rsidRDefault="00C44D48" w:rsidP="00C44D48">
      <w:r w:rsidRPr="00C44D48">
        <w:t>The Provider must also disclose all subcontractors and sub-processors involved in service delivery, including cloud hosting providers, analytics services, communication platforms, SMS gateways, managed service providers, or other third parties with access to personal data.</w:t>
      </w:r>
    </w:p>
    <w:p w14:paraId="31AF6B15" w14:textId="77777777" w:rsidR="00C44D48" w:rsidRPr="00C44D48" w:rsidRDefault="00C44D48" w:rsidP="00C44D48">
      <w:r w:rsidRPr="00C44D48">
        <w:t>Suppliers must further provide:</w:t>
      </w:r>
    </w:p>
    <w:p w14:paraId="31ABD0E8" w14:textId="77777777" w:rsidR="00C44D48" w:rsidRPr="00C44D48" w:rsidRDefault="00C44D48">
      <w:pPr>
        <w:pStyle w:val="ListParagraph"/>
        <w:numPr>
          <w:ilvl w:val="0"/>
          <w:numId w:val="6"/>
        </w:numPr>
      </w:pPr>
      <w:r w:rsidRPr="00C44D48">
        <w:t>Full sub-processor disclosure.</w:t>
      </w:r>
    </w:p>
    <w:p w14:paraId="277A2AAD" w14:textId="77777777" w:rsidR="00C44D48" w:rsidRPr="00C44D48" w:rsidRDefault="00C44D48">
      <w:pPr>
        <w:pStyle w:val="ListParagraph"/>
        <w:numPr>
          <w:ilvl w:val="0"/>
          <w:numId w:val="6"/>
        </w:numPr>
      </w:pPr>
      <w:r w:rsidRPr="00C44D48">
        <w:t>Data flow transparency across the supply chain.</w:t>
      </w:r>
    </w:p>
    <w:p w14:paraId="14C3F2E3" w14:textId="77777777" w:rsidR="00C44D48" w:rsidRPr="00C44D48" w:rsidRDefault="00C44D48">
      <w:pPr>
        <w:pStyle w:val="ListParagraph"/>
        <w:numPr>
          <w:ilvl w:val="0"/>
          <w:numId w:val="6"/>
        </w:numPr>
      </w:pPr>
      <w:r w:rsidRPr="00C44D48">
        <w:t>Written approval and change control procedures for adding or replacing sub-processors.</w:t>
      </w:r>
    </w:p>
    <w:p w14:paraId="3C499F3E" w14:textId="77777777" w:rsidR="00C44D48" w:rsidRPr="00C44D48" w:rsidRDefault="00C44D48">
      <w:pPr>
        <w:pStyle w:val="ListParagraph"/>
        <w:numPr>
          <w:ilvl w:val="0"/>
          <w:numId w:val="6"/>
        </w:numPr>
      </w:pPr>
      <w:r w:rsidRPr="00C44D48">
        <w:t>Evidence that equivalent UK GDPR obligations are contractually flowed down to all third parties.</w:t>
      </w:r>
    </w:p>
    <w:p w14:paraId="6F6EF0E0" w14:textId="77777777" w:rsidR="00C44D48" w:rsidRPr="00C44D48" w:rsidRDefault="00C44D48">
      <w:pPr>
        <w:pStyle w:val="ListParagraph"/>
        <w:numPr>
          <w:ilvl w:val="0"/>
          <w:numId w:val="6"/>
        </w:numPr>
      </w:pPr>
      <w:r w:rsidRPr="00C44D48">
        <w:t>Details of liability, oversight, and assurance arrangements relating to subcontracted processing activities.</w:t>
      </w:r>
    </w:p>
    <w:p w14:paraId="1727D391" w14:textId="77777777" w:rsidR="00F57FFB" w:rsidRDefault="00F57FFB" w:rsidP="00C44D48"/>
    <w:p w14:paraId="0E1BBC09" w14:textId="4F1FEF30" w:rsidR="00C44D48" w:rsidRPr="00F57FFB" w:rsidRDefault="00C44D48" w:rsidP="00C44D48">
      <w:pPr>
        <w:rPr>
          <w:rStyle w:val="SubtleEmphasis"/>
        </w:rPr>
      </w:pPr>
      <w:r w:rsidRPr="00F57FFB">
        <w:rPr>
          <w:rStyle w:val="SubtleEmphasis"/>
        </w:rPr>
        <w:t>Data Location, Hosting and International Transfers</w:t>
      </w:r>
    </w:p>
    <w:p w14:paraId="59096615" w14:textId="77777777" w:rsidR="00C44D48" w:rsidRPr="00C44D48" w:rsidRDefault="00C44D48" w:rsidP="00C44D48">
      <w:r w:rsidRPr="00C44D48">
        <w:t>The Provider must clearly declare all locations where personal data will be stored, hosted, processed, backed up, accessed, or otherwise transferred during the delivery of the service.</w:t>
      </w:r>
    </w:p>
    <w:p w14:paraId="589E120A" w14:textId="77777777" w:rsidR="00C44D48" w:rsidRPr="00C44D48" w:rsidRDefault="00C44D48" w:rsidP="00C44D48">
      <w:r w:rsidRPr="00C44D48">
        <w:t>This must include:</w:t>
      </w:r>
    </w:p>
    <w:p w14:paraId="4326DE60" w14:textId="77777777" w:rsidR="00C44D48" w:rsidRPr="00C44D48" w:rsidRDefault="00C44D48">
      <w:pPr>
        <w:pStyle w:val="ListParagraph"/>
        <w:numPr>
          <w:ilvl w:val="0"/>
          <w:numId w:val="1"/>
        </w:numPr>
      </w:pPr>
      <w:r w:rsidRPr="00C44D48">
        <w:t>Primary and secondary data hosting locations.</w:t>
      </w:r>
    </w:p>
    <w:p w14:paraId="452DF36C" w14:textId="77777777" w:rsidR="00C44D48" w:rsidRPr="00C44D48" w:rsidRDefault="00C44D48">
      <w:pPr>
        <w:pStyle w:val="ListParagraph"/>
        <w:numPr>
          <w:ilvl w:val="0"/>
          <w:numId w:val="1"/>
        </w:numPr>
      </w:pPr>
      <w:r w:rsidRPr="00C44D48">
        <w:t>Disaster recovery and backup storage locations.</w:t>
      </w:r>
    </w:p>
    <w:p w14:paraId="0EE05B51" w14:textId="77777777" w:rsidR="00C44D48" w:rsidRPr="00C44D48" w:rsidRDefault="00C44D48">
      <w:pPr>
        <w:pStyle w:val="ListParagraph"/>
        <w:numPr>
          <w:ilvl w:val="0"/>
          <w:numId w:val="1"/>
        </w:numPr>
      </w:pPr>
      <w:r w:rsidRPr="00C44D48">
        <w:t>Remote administration or support access arrangements.</w:t>
      </w:r>
    </w:p>
    <w:p w14:paraId="501BE72D" w14:textId="77777777" w:rsidR="00C44D48" w:rsidRPr="00C44D48" w:rsidRDefault="00C44D48">
      <w:pPr>
        <w:pStyle w:val="ListParagraph"/>
        <w:numPr>
          <w:ilvl w:val="0"/>
          <w:numId w:val="1"/>
        </w:numPr>
      </w:pPr>
      <w:r w:rsidRPr="00C44D48">
        <w:t>Any international data transfers outside the United Kingdom.</w:t>
      </w:r>
    </w:p>
    <w:p w14:paraId="27ADDF3D" w14:textId="77777777" w:rsidR="00F57FFB" w:rsidRDefault="00F57FFB" w:rsidP="00C44D48"/>
    <w:p w14:paraId="59807E64" w14:textId="7A9455D6" w:rsidR="00C44D48" w:rsidRPr="00C44D48" w:rsidRDefault="00C44D48" w:rsidP="00C44D48">
      <w:r w:rsidRPr="00C44D48">
        <w:t>Where international transfers occur, the Provider must demonstrate compliance with UK GDPR and provide details of the transfer safeguards relied upon, including:</w:t>
      </w:r>
    </w:p>
    <w:p w14:paraId="317DA263" w14:textId="77777777" w:rsidR="00C44D48" w:rsidRPr="00C44D48" w:rsidRDefault="00C44D48">
      <w:pPr>
        <w:pStyle w:val="ListParagraph"/>
        <w:numPr>
          <w:ilvl w:val="0"/>
          <w:numId w:val="17"/>
        </w:numPr>
      </w:pPr>
      <w:r w:rsidRPr="00C44D48">
        <w:t>UK International Data Transfer Agreements (IDTA);</w:t>
      </w:r>
    </w:p>
    <w:p w14:paraId="3BCB848F" w14:textId="77777777" w:rsidR="00C44D48" w:rsidRPr="00C44D48" w:rsidRDefault="00C44D48">
      <w:pPr>
        <w:pStyle w:val="ListParagraph"/>
        <w:numPr>
          <w:ilvl w:val="0"/>
          <w:numId w:val="17"/>
        </w:numPr>
      </w:pPr>
      <w:r w:rsidRPr="00C44D48">
        <w:t>International Data Transfer Addendum arrangements.</w:t>
      </w:r>
    </w:p>
    <w:p w14:paraId="09A93E90" w14:textId="77777777" w:rsidR="00C44D48" w:rsidRPr="00C44D48" w:rsidRDefault="00C44D48">
      <w:pPr>
        <w:pStyle w:val="ListParagraph"/>
        <w:numPr>
          <w:ilvl w:val="0"/>
          <w:numId w:val="17"/>
        </w:numPr>
      </w:pPr>
      <w:r w:rsidRPr="00C44D48">
        <w:t>UK adequacy regulations.</w:t>
      </w:r>
    </w:p>
    <w:p w14:paraId="3CD1E145" w14:textId="77777777" w:rsidR="00C44D48" w:rsidRPr="00C44D48" w:rsidRDefault="00C44D48">
      <w:pPr>
        <w:pStyle w:val="ListParagraph"/>
        <w:numPr>
          <w:ilvl w:val="0"/>
          <w:numId w:val="17"/>
        </w:numPr>
      </w:pPr>
      <w:r w:rsidRPr="00C44D48">
        <w:t>Standard Contractual Clauses (where applicable)</w:t>
      </w:r>
    </w:p>
    <w:p w14:paraId="5ABBEE6E" w14:textId="77777777" w:rsidR="00C44D48" w:rsidRPr="00C44D48" w:rsidRDefault="00C44D48">
      <w:pPr>
        <w:pStyle w:val="ListParagraph"/>
        <w:numPr>
          <w:ilvl w:val="0"/>
          <w:numId w:val="17"/>
        </w:numPr>
      </w:pPr>
      <w:r w:rsidRPr="00C44D48">
        <w:t>Transfer Risk Assessments and supplementary technical safeguards.</w:t>
      </w:r>
    </w:p>
    <w:p w14:paraId="7A064FBA" w14:textId="77777777" w:rsidR="00F57FFB" w:rsidRDefault="00F57FFB" w:rsidP="00C44D48"/>
    <w:p w14:paraId="76B6CE0B" w14:textId="3DB23E21" w:rsidR="00C44D48" w:rsidRPr="00541AFF" w:rsidRDefault="00C44D48" w:rsidP="00C44D48">
      <w:pPr>
        <w:rPr>
          <w:rStyle w:val="SubtleEmphasis"/>
        </w:rPr>
      </w:pPr>
      <w:r w:rsidRPr="00541AFF">
        <w:rPr>
          <w:rStyle w:val="SubtleEmphasis"/>
        </w:rPr>
        <w:t>Security Assurance, Incident Management and Testing</w:t>
      </w:r>
    </w:p>
    <w:p w14:paraId="5E0B8543" w14:textId="2504D5CB" w:rsidR="00C44D48" w:rsidRPr="00C44D48" w:rsidRDefault="00C44D48" w:rsidP="00C44D48">
      <w:r w:rsidRPr="00C44D48">
        <w:t>The Provider must demonstrate a mature and continuously tested security framework aligned to recognised standards and good practice, examples could be Cyber Essentials Plus, ISO/IEC 27001, NCSC guidance, or equivalent recognised security frameworks where applicable.</w:t>
      </w:r>
    </w:p>
    <w:p w14:paraId="7B04528C" w14:textId="77777777" w:rsidR="00C44D48" w:rsidRPr="00C44D48" w:rsidRDefault="00C44D48" w:rsidP="00C44D48">
      <w:r w:rsidRPr="00C44D48">
        <w:t>The Supplier should provide evidence of:</w:t>
      </w:r>
    </w:p>
    <w:p w14:paraId="6FDFC4AF" w14:textId="77777777" w:rsidR="00C44D48" w:rsidRPr="00C44D48" w:rsidRDefault="00C44D48">
      <w:pPr>
        <w:pStyle w:val="ListParagraph"/>
        <w:numPr>
          <w:ilvl w:val="0"/>
          <w:numId w:val="4"/>
        </w:numPr>
      </w:pPr>
      <w:r w:rsidRPr="00C44D48">
        <w:t>Breach management and escalation procedures compliant with Articles 33 and 34 UK GDPR.</w:t>
      </w:r>
    </w:p>
    <w:p w14:paraId="76896947" w14:textId="77777777" w:rsidR="00C44D48" w:rsidRPr="00C44D48" w:rsidRDefault="00C44D48" w:rsidP="00C44D48">
      <w:r w:rsidRPr="00C44D48">
        <w:t>MAWWFRS reserves the right to request evidence supporting the effectiveness of security assurance and testing arrangements during procurement and throughout the contract term.</w:t>
      </w:r>
    </w:p>
    <w:p w14:paraId="63B0175B" w14:textId="77777777" w:rsidR="00541AFF" w:rsidRDefault="00541AFF" w:rsidP="00C44D48"/>
    <w:p w14:paraId="1098C4CD" w14:textId="58021A19" w:rsidR="00C44D48" w:rsidRPr="00541AFF" w:rsidRDefault="00C44D48" w:rsidP="00C44D48">
      <w:pPr>
        <w:rPr>
          <w:rStyle w:val="SubtleEmphasis"/>
        </w:rPr>
      </w:pPr>
      <w:r w:rsidRPr="00541AFF">
        <w:rPr>
          <w:rStyle w:val="SubtleEmphasis"/>
        </w:rPr>
        <w:t>Data Subject Rights and Transparency Obligations</w:t>
      </w:r>
    </w:p>
    <w:p w14:paraId="4FC2B7A0" w14:textId="77777777" w:rsidR="00C44D48" w:rsidRPr="00C44D48" w:rsidRDefault="00C44D48" w:rsidP="00C44D48">
      <w:r w:rsidRPr="00C44D48">
        <w:t>The Provider must demonstrate processes and controls enabling MAWWFRS to meet its obligations under UK GDPR relating to data subject rights.</w:t>
      </w:r>
    </w:p>
    <w:p w14:paraId="7C0B5614" w14:textId="77777777" w:rsidR="00C44D48" w:rsidRPr="00C44D48" w:rsidRDefault="00C44D48" w:rsidP="00C44D48">
      <w:r w:rsidRPr="00C44D48">
        <w:t>This must include documented procedures supporting:</w:t>
      </w:r>
    </w:p>
    <w:p w14:paraId="59F23F1D" w14:textId="77777777" w:rsidR="00C44D48" w:rsidRPr="0076043B" w:rsidRDefault="00C44D48">
      <w:pPr>
        <w:pStyle w:val="ListParagraph"/>
        <w:numPr>
          <w:ilvl w:val="0"/>
          <w:numId w:val="4"/>
        </w:numPr>
      </w:pPr>
      <w:r w:rsidRPr="0076043B">
        <w:t>Subject Access Requests (DSARs);</w:t>
      </w:r>
    </w:p>
    <w:p w14:paraId="3D6C337F" w14:textId="77777777" w:rsidR="00C44D48" w:rsidRPr="00C44D48" w:rsidRDefault="00C44D48" w:rsidP="00C44D48">
      <w:r w:rsidRPr="00C44D48">
        <w:t>The Provider must confirm that requests received directly from data subjects will be promptly referred to MAWWFRS unless otherwise agreed contractually.</w:t>
      </w:r>
    </w:p>
    <w:p w14:paraId="60E1AA39" w14:textId="77777777" w:rsidR="0076043B" w:rsidRDefault="0076043B" w:rsidP="00C44D48"/>
    <w:p w14:paraId="7B00618E" w14:textId="4586D68D" w:rsidR="00C44D48" w:rsidRPr="0076043B" w:rsidRDefault="00C44D48" w:rsidP="00C44D48">
      <w:pPr>
        <w:rPr>
          <w:rStyle w:val="SubtleEmphasis"/>
        </w:rPr>
      </w:pPr>
      <w:r w:rsidRPr="0076043B">
        <w:rPr>
          <w:rStyle w:val="SubtleEmphasis"/>
        </w:rPr>
        <w:t>Audit, Assurance and Right of Inspection</w:t>
      </w:r>
    </w:p>
    <w:p w14:paraId="58AB7D4B" w14:textId="77777777" w:rsidR="00C44D48" w:rsidRPr="00C44D48" w:rsidRDefault="00C44D48" w:rsidP="00C44D48">
      <w:r w:rsidRPr="00C44D48">
        <w:t>The Provider must agree to maintain sufficient records, evidence, and audit trails to demonstrate ongoing compliance with UK GDPR, the Data Protection Act 2018, and all contractual information governance requirements.</w:t>
      </w:r>
    </w:p>
    <w:p w14:paraId="45F29810" w14:textId="77777777" w:rsidR="00C44D48" w:rsidRPr="00C44D48" w:rsidRDefault="00C44D48" w:rsidP="00C44D48">
      <w:r w:rsidRPr="00C44D48">
        <w:t>MAWWFRS reserves the right to undertake audits, inspections, or assurance reviews either directly or through an authorised third party. The Provider must fully cooperate with such activities and provide timely access to relevant personnel, systems, policies, records, certifications, and security evidence where reasonably required.</w:t>
      </w:r>
    </w:p>
    <w:p w14:paraId="06C07449" w14:textId="77777777" w:rsidR="00C44D48" w:rsidRPr="00C44D48" w:rsidRDefault="00C44D48" w:rsidP="00C44D48">
      <w:r w:rsidRPr="00C44D48">
        <w:t>The Provider must also confirm cooperation with any ICO enquiry, investigation, or regulatory engagement relating to services delivered under the contract, including the timely provision of information, records, and incident evidence where required.</w:t>
      </w:r>
    </w:p>
    <w:p w14:paraId="756A4831" w14:textId="77777777" w:rsidR="00C44D48" w:rsidRPr="00235A9C" w:rsidRDefault="00C44D48" w:rsidP="006B6544">
      <w:pPr>
        <w:rPr>
          <w:rStyle w:val="SubtleEmphasis"/>
        </w:rPr>
      </w:pPr>
    </w:p>
    <w:p w14:paraId="1308CAE7" w14:textId="77777777" w:rsidR="006B6544" w:rsidRDefault="006B6544" w:rsidP="00111869"/>
    <w:sectPr w:rsidR="006B6544" w:rsidSect="00987E71">
      <w:headerReference w:type="default" r:id="rId11"/>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AF454" w14:textId="77777777" w:rsidR="00F4014C" w:rsidRDefault="00F4014C" w:rsidP="00BF6319">
      <w:pPr>
        <w:spacing w:after="0" w:line="240" w:lineRule="auto"/>
      </w:pPr>
      <w:r>
        <w:separator/>
      </w:r>
    </w:p>
  </w:endnote>
  <w:endnote w:type="continuationSeparator" w:id="0">
    <w:p w14:paraId="55204BC2" w14:textId="77777777" w:rsidR="00F4014C" w:rsidRDefault="00F4014C" w:rsidP="00BF6319">
      <w:pPr>
        <w:spacing w:after="0" w:line="240" w:lineRule="auto"/>
      </w:pPr>
      <w:r>
        <w:continuationSeparator/>
      </w:r>
    </w:p>
  </w:endnote>
  <w:endnote w:type="continuationNotice" w:id="1">
    <w:p w14:paraId="54D09733" w14:textId="77777777" w:rsidR="00F4014C" w:rsidRDefault="00F401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E3767" w14:textId="77777777" w:rsidR="00F4014C" w:rsidRDefault="00F4014C" w:rsidP="00BF6319">
      <w:pPr>
        <w:spacing w:after="0" w:line="240" w:lineRule="auto"/>
      </w:pPr>
      <w:r>
        <w:separator/>
      </w:r>
    </w:p>
  </w:footnote>
  <w:footnote w:type="continuationSeparator" w:id="0">
    <w:p w14:paraId="49662556" w14:textId="77777777" w:rsidR="00F4014C" w:rsidRDefault="00F4014C" w:rsidP="00BF6319">
      <w:pPr>
        <w:spacing w:after="0" w:line="240" w:lineRule="auto"/>
      </w:pPr>
      <w:r>
        <w:continuationSeparator/>
      </w:r>
    </w:p>
  </w:footnote>
  <w:footnote w:type="continuationNotice" w:id="1">
    <w:p w14:paraId="691BB9E6" w14:textId="77777777" w:rsidR="00F4014C" w:rsidRDefault="00F401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5B72" w14:textId="628D427F" w:rsidR="00BF6319" w:rsidRPr="00E364E3" w:rsidRDefault="006622C7" w:rsidP="00A07E2B">
    <w:pPr>
      <w:pStyle w:val="Header"/>
      <w:jc w:val="center"/>
    </w:pPr>
    <w:r w:rsidRPr="00E364E3">
      <w:rPr>
        <w:noProof/>
      </w:rPr>
      <w:drawing>
        <wp:anchor distT="0" distB="0" distL="114300" distR="114300" simplePos="0" relativeHeight="251660800" behindDoc="0" locked="0" layoutInCell="1" allowOverlap="1" wp14:anchorId="784CE083" wp14:editId="3C14BEF8">
          <wp:simplePos x="0" y="0"/>
          <wp:positionH relativeFrom="margin">
            <wp:posOffset>4625975</wp:posOffset>
          </wp:positionH>
          <wp:positionV relativeFrom="paragraph">
            <wp:posOffset>126365</wp:posOffset>
          </wp:positionV>
          <wp:extent cx="1676400" cy="542925"/>
          <wp:effectExtent l="0" t="0" r="0" b="9525"/>
          <wp:wrapSquare wrapText="bothSides"/>
          <wp:docPr id="464086518" name="Picture 464086518" descr="A red and green text on a white background&#10;&#10;AI-generated content may be incorrect.">
            <a:extLst xmlns:a="http://schemas.openxmlformats.org/drawingml/2006/main">
              <a:ext uri="{FF2B5EF4-FFF2-40B4-BE49-F238E27FC236}">
                <a16:creationId xmlns:a16="http://schemas.microsoft.com/office/drawing/2014/main" id="{275D8BBE-E428-4431-826A-7CBFC8D201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green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4213" w:rsidRPr="00E364E3">
      <w:t xml:space="preserve">                                 </w:t>
    </w:r>
    <w:r w:rsidR="00A07E2B" w:rsidRPr="00E364E3">
      <w:t>OFFICIAL</w:t>
    </w:r>
  </w:p>
  <w:p w14:paraId="4579FDED" w14:textId="77777777" w:rsidR="001C67A5" w:rsidRDefault="001C67A5" w:rsidP="001C67A5">
    <w:pPr>
      <w:spacing w:line="240" w:lineRule="auto"/>
      <w:rPr>
        <w:sz w:val="24"/>
        <w:szCs w:val="24"/>
      </w:rPr>
    </w:pPr>
  </w:p>
  <w:p w14:paraId="1C3DCDC4" w14:textId="0DED0ED0" w:rsidR="00B81319" w:rsidRDefault="006622C7" w:rsidP="00D46E0F">
    <w:r w:rsidRPr="00136705">
      <w:t>Tender – Appendi</w:t>
    </w:r>
    <w:r w:rsidR="00E364E3" w:rsidRPr="00136705">
      <w:t xml:space="preserve">x </w:t>
    </w:r>
    <w:r w:rsidR="00AE67C5">
      <w:t>C</w:t>
    </w:r>
    <w:r w:rsidR="001C67A5" w:rsidRPr="00136705">
      <w:t>:</w:t>
    </w:r>
    <w:r w:rsidR="00D46E0F" w:rsidRPr="00136705">
      <w:t xml:space="preserve"> API’s, </w:t>
    </w:r>
    <w:r w:rsidR="004402B6">
      <w:t>KPI’s</w:t>
    </w:r>
    <w:r w:rsidR="00B81319">
      <w:t xml:space="preserve">, </w:t>
    </w:r>
    <w:r w:rsidR="004402B6">
      <w:t>SLAs</w:t>
    </w:r>
    <w:r w:rsidR="00D46E0F" w:rsidRPr="00136705">
      <w:t xml:space="preserve"> </w:t>
    </w:r>
  </w:p>
  <w:p w14:paraId="2FCD79B1" w14:textId="173D0D8E" w:rsidR="00C53338" w:rsidRPr="00136705" w:rsidRDefault="00D46E0F" w:rsidP="00D46E0F">
    <w:r w:rsidRPr="00136705">
      <w:t>&amp; Data Protection Statement</w:t>
    </w:r>
  </w:p>
  <w:p w14:paraId="2D698152" w14:textId="77777777" w:rsidR="006622C7" w:rsidRPr="00136705" w:rsidRDefault="006622C7" w:rsidP="001C67A5">
    <w:pPr>
      <w:pStyle w:val="Header"/>
    </w:pPr>
    <w:r w:rsidRPr="00136705">
      <w:t>Title: Mobilising On-Call Availability Software</w:t>
    </w:r>
  </w:p>
  <w:p w14:paraId="4392F850" w14:textId="77777777" w:rsidR="006622C7" w:rsidRPr="00136705" w:rsidRDefault="006622C7" w:rsidP="001C67A5">
    <w:pPr>
      <w:pStyle w:val="Header"/>
    </w:pPr>
    <w:r w:rsidRPr="00136705">
      <w:t>Ref: PA23GPAGST2</w:t>
    </w:r>
  </w:p>
  <w:p w14:paraId="5970F234" w14:textId="77777777" w:rsidR="006622C7" w:rsidRDefault="006622C7" w:rsidP="00A07E2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75D"/>
    <w:multiLevelType w:val="hybridMultilevel"/>
    <w:tmpl w:val="D8921A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F0555C"/>
    <w:multiLevelType w:val="multilevel"/>
    <w:tmpl w:val="EA74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235FC0"/>
    <w:multiLevelType w:val="multilevel"/>
    <w:tmpl w:val="1D06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8664E"/>
    <w:multiLevelType w:val="multilevel"/>
    <w:tmpl w:val="8424EE8C"/>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7717D50"/>
    <w:multiLevelType w:val="hybridMultilevel"/>
    <w:tmpl w:val="56E2B568"/>
    <w:lvl w:ilvl="0" w:tplc="0884F66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1B7F9D"/>
    <w:multiLevelType w:val="multilevel"/>
    <w:tmpl w:val="EAD6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4827DE"/>
    <w:multiLevelType w:val="hybridMultilevel"/>
    <w:tmpl w:val="3BAA5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6A0990"/>
    <w:multiLevelType w:val="hybridMultilevel"/>
    <w:tmpl w:val="1E724B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EB6830"/>
    <w:multiLevelType w:val="multilevel"/>
    <w:tmpl w:val="B324F5C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7876755"/>
    <w:multiLevelType w:val="hybridMultilevel"/>
    <w:tmpl w:val="60285D9A"/>
    <w:lvl w:ilvl="0" w:tplc="600892A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486A0A"/>
    <w:multiLevelType w:val="multilevel"/>
    <w:tmpl w:val="8D8A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B34D5C"/>
    <w:multiLevelType w:val="hybridMultilevel"/>
    <w:tmpl w:val="11184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B4E720E"/>
    <w:multiLevelType w:val="hybridMultilevel"/>
    <w:tmpl w:val="CB9CB4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E382334"/>
    <w:multiLevelType w:val="multilevel"/>
    <w:tmpl w:val="A27A985A"/>
    <w:lvl w:ilvl="0">
      <w:start w:val="1"/>
      <w:numFmt w:val="decimal"/>
      <w:lvlText w:val="%1"/>
      <w:lvlJc w:val="left"/>
      <w:pPr>
        <w:ind w:left="420" w:hanging="420"/>
      </w:pPr>
      <w:rPr>
        <w:rFonts w:hint="default"/>
      </w:rPr>
    </w:lvl>
    <w:lvl w:ilvl="1">
      <w:start w:val="1"/>
      <w:numFmt w:val="decimal"/>
      <w:pStyle w:val="Heading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F7C26AC"/>
    <w:multiLevelType w:val="multilevel"/>
    <w:tmpl w:val="857677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5" w15:restartNumberingAfterBreak="0">
    <w:nsid w:val="4823218F"/>
    <w:multiLevelType w:val="hybridMultilevel"/>
    <w:tmpl w:val="64360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06207A"/>
    <w:multiLevelType w:val="hybridMultilevel"/>
    <w:tmpl w:val="6624F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9455CA"/>
    <w:multiLevelType w:val="hybridMultilevel"/>
    <w:tmpl w:val="C5E2F7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6832909"/>
    <w:multiLevelType w:val="hybridMultilevel"/>
    <w:tmpl w:val="0CF2E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EA1BB0"/>
    <w:multiLevelType w:val="hybridMultilevel"/>
    <w:tmpl w:val="BE007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BF612D"/>
    <w:multiLevelType w:val="hybridMultilevel"/>
    <w:tmpl w:val="3334A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904D05"/>
    <w:multiLevelType w:val="hybridMultilevel"/>
    <w:tmpl w:val="0E0AD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B03E64"/>
    <w:multiLevelType w:val="hybridMultilevel"/>
    <w:tmpl w:val="F98C10E4"/>
    <w:lvl w:ilvl="0" w:tplc="38545E0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43078">
    <w:abstractNumId w:val="19"/>
  </w:num>
  <w:num w:numId="2" w16cid:durableId="1094935528">
    <w:abstractNumId w:val="3"/>
  </w:num>
  <w:num w:numId="3" w16cid:durableId="1113943098">
    <w:abstractNumId w:val="7"/>
  </w:num>
  <w:num w:numId="4" w16cid:durableId="1228613716">
    <w:abstractNumId w:val="20"/>
  </w:num>
  <w:num w:numId="5" w16cid:durableId="1279683386">
    <w:abstractNumId w:val="22"/>
  </w:num>
  <w:num w:numId="6" w16cid:durableId="1370062552">
    <w:abstractNumId w:val="21"/>
  </w:num>
  <w:num w:numId="7" w16cid:durableId="1378776562">
    <w:abstractNumId w:val="1"/>
  </w:num>
  <w:num w:numId="8" w16cid:durableId="1382441010">
    <w:abstractNumId w:val="12"/>
  </w:num>
  <w:num w:numId="9" w16cid:durableId="1623222074">
    <w:abstractNumId w:val="18"/>
  </w:num>
  <w:num w:numId="10" w16cid:durableId="1669396">
    <w:abstractNumId w:val="8"/>
  </w:num>
  <w:num w:numId="11" w16cid:durableId="1705058879">
    <w:abstractNumId w:val="2"/>
  </w:num>
  <w:num w:numId="12" w16cid:durableId="1764257408">
    <w:abstractNumId w:val="0"/>
  </w:num>
  <w:num w:numId="13" w16cid:durableId="1776972455">
    <w:abstractNumId w:val="16"/>
  </w:num>
  <w:num w:numId="14" w16cid:durableId="1844201797">
    <w:abstractNumId w:val="10"/>
  </w:num>
  <w:num w:numId="15" w16cid:durableId="1941864040">
    <w:abstractNumId w:val="11"/>
  </w:num>
  <w:num w:numId="16" w16cid:durableId="1981416684">
    <w:abstractNumId w:val="5"/>
  </w:num>
  <w:num w:numId="17" w16cid:durableId="2127116298">
    <w:abstractNumId w:val="6"/>
  </w:num>
  <w:num w:numId="18" w16cid:durableId="229847229">
    <w:abstractNumId w:val="13"/>
  </w:num>
  <w:num w:numId="19" w16cid:durableId="327946310">
    <w:abstractNumId w:val="4"/>
  </w:num>
  <w:num w:numId="20" w16cid:durableId="618683726">
    <w:abstractNumId w:val="17"/>
  </w:num>
  <w:num w:numId="21" w16cid:durableId="660744102">
    <w:abstractNumId w:val="15"/>
  </w:num>
  <w:num w:numId="22" w16cid:durableId="819004065">
    <w:abstractNumId w:val="14"/>
  </w:num>
  <w:num w:numId="23" w16cid:durableId="821695529">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47"/>
    <w:rsid w:val="000068A2"/>
    <w:rsid w:val="00007DF5"/>
    <w:rsid w:val="00015EDF"/>
    <w:rsid w:val="0001646D"/>
    <w:rsid w:val="00024871"/>
    <w:rsid w:val="000326BE"/>
    <w:rsid w:val="00033C4D"/>
    <w:rsid w:val="00034087"/>
    <w:rsid w:val="00036B0C"/>
    <w:rsid w:val="00040B2C"/>
    <w:rsid w:val="000507A6"/>
    <w:rsid w:val="00055ACF"/>
    <w:rsid w:val="00067B10"/>
    <w:rsid w:val="00067E00"/>
    <w:rsid w:val="00075750"/>
    <w:rsid w:val="0008167C"/>
    <w:rsid w:val="000B10EC"/>
    <w:rsid w:val="000C3BBB"/>
    <w:rsid w:val="000C77B8"/>
    <w:rsid w:val="000F4104"/>
    <w:rsid w:val="0010649D"/>
    <w:rsid w:val="001102EF"/>
    <w:rsid w:val="00111869"/>
    <w:rsid w:val="00114044"/>
    <w:rsid w:val="00136039"/>
    <w:rsid w:val="00136705"/>
    <w:rsid w:val="00144266"/>
    <w:rsid w:val="00170938"/>
    <w:rsid w:val="00175AAA"/>
    <w:rsid w:val="001A6B49"/>
    <w:rsid w:val="001B068A"/>
    <w:rsid w:val="001B2BC4"/>
    <w:rsid w:val="001C67A5"/>
    <w:rsid w:val="001D2953"/>
    <w:rsid w:val="001D7C2B"/>
    <w:rsid w:val="001F5699"/>
    <w:rsid w:val="00204305"/>
    <w:rsid w:val="002061BB"/>
    <w:rsid w:val="00216189"/>
    <w:rsid w:val="00231194"/>
    <w:rsid w:val="00231310"/>
    <w:rsid w:val="00231FE8"/>
    <w:rsid w:val="00235A9C"/>
    <w:rsid w:val="00245F92"/>
    <w:rsid w:val="0024621A"/>
    <w:rsid w:val="002517BB"/>
    <w:rsid w:val="002572D1"/>
    <w:rsid w:val="002629CF"/>
    <w:rsid w:val="002723A2"/>
    <w:rsid w:val="00280BEF"/>
    <w:rsid w:val="00297C5B"/>
    <w:rsid w:val="002B32A7"/>
    <w:rsid w:val="002C1158"/>
    <w:rsid w:val="002D152D"/>
    <w:rsid w:val="002D2DB2"/>
    <w:rsid w:val="002E4E64"/>
    <w:rsid w:val="002F20EF"/>
    <w:rsid w:val="00314A04"/>
    <w:rsid w:val="00322C7B"/>
    <w:rsid w:val="00326EFB"/>
    <w:rsid w:val="00346F13"/>
    <w:rsid w:val="00354F37"/>
    <w:rsid w:val="00361733"/>
    <w:rsid w:val="00363E9D"/>
    <w:rsid w:val="00365876"/>
    <w:rsid w:val="0036778E"/>
    <w:rsid w:val="00375025"/>
    <w:rsid w:val="00375F0A"/>
    <w:rsid w:val="003812B7"/>
    <w:rsid w:val="0039452F"/>
    <w:rsid w:val="003B20D4"/>
    <w:rsid w:val="003C4070"/>
    <w:rsid w:val="003C6FED"/>
    <w:rsid w:val="003D1ED8"/>
    <w:rsid w:val="003F052D"/>
    <w:rsid w:val="0040227C"/>
    <w:rsid w:val="00405C79"/>
    <w:rsid w:val="004127F5"/>
    <w:rsid w:val="0042525E"/>
    <w:rsid w:val="004264FA"/>
    <w:rsid w:val="004402B6"/>
    <w:rsid w:val="004418B6"/>
    <w:rsid w:val="004539D6"/>
    <w:rsid w:val="004548AA"/>
    <w:rsid w:val="00455CA5"/>
    <w:rsid w:val="00460D81"/>
    <w:rsid w:val="00494EA9"/>
    <w:rsid w:val="004950FC"/>
    <w:rsid w:val="004B2569"/>
    <w:rsid w:val="004C1B3A"/>
    <w:rsid w:val="004C3E02"/>
    <w:rsid w:val="004D32EB"/>
    <w:rsid w:val="004D40F3"/>
    <w:rsid w:val="004D4E62"/>
    <w:rsid w:val="004F2C3B"/>
    <w:rsid w:val="00526BFE"/>
    <w:rsid w:val="00534E52"/>
    <w:rsid w:val="00541AFF"/>
    <w:rsid w:val="00547028"/>
    <w:rsid w:val="00556C6F"/>
    <w:rsid w:val="00560B49"/>
    <w:rsid w:val="0056684A"/>
    <w:rsid w:val="0057127E"/>
    <w:rsid w:val="005B1047"/>
    <w:rsid w:val="005B69FC"/>
    <w:rsid w:val="005C0028"/>
    <w:rsid w:val="005C2DD7"/>
    <w:rsid w:val="005C3986"/>
    <w:rsid w:val="005C5E17"/>
    <w:rsid w:val="005C6743"/>
    <w:rsid w:val="005C68A2"/>
    <w:rsid w:val="005D0E59"/>
    <w:rsid w:val="00602CE1"/>
    <w:rsid w:val="0060506A"/>
    <w:rsid w:val="00614843"/>
    <w:rsid w:val="00615E38"/>
    <w:rsid w:val="00617499"/>
    <w:rsid w:val="00621A27"/>
    <w:rsid w:val="00626E19"/>
    <w:rsid w:val="00627C4B"/>
    <w:rsid w:val="00636719"/>
    <w:rsid w:val="00644F12"/>
    <w:rsid w:val="006476F9"/>
    <w:rsid w:val="00653290"/>
    <w:rsid w:val="006613EB"/>
    <w:rsid w:val="006622C7"/>
    <w:rsid w:val="00662A1D"/>
    <w:rsid w:val="00673F70"/>
    <w:rsid w:val="006740DD"/>
    <w:rsid w:val="00675BE3"/>
    <w:rsid w:val="006926C2"/>
    <w:rsid w:val="006A111B"/>
    <w:rsid w:val="006A3517"/>
    <w:rsid w:val="006A6BFC"/>
    <w:rsid w:val="006A7F3B"/>
    <w:rsid w:val="006B2636"/>
    <w:rsid w:val="006B6544"/>
    <w:rsid w:val="006B7F9C"/>
    <w:rsid w:val="006D6614"/>
    <w:rsid w:val="006F1408"/>
    <w:rsid w:val="00706CD3"/>
    <w:rsid w:val="00735CEC"/>
    <w:rsid w:val="007371F3"/>
    <w:rsid w:val="0075574E"/>
    <w:rsid w:val="0076043B"/>
    <w:rsid w:val="00764215"/>
    <w:rsid w:val="00764B6D"/>
    <w:rsid w:val="007655A5"/>
    <w:rsid w:val="00766B3C"/>
    <w:rsid w:val="00770833"/>
    <w:rsid w:val="007722ED"/>
    <w:rsid w:val="00786C22"/>
    <w:rsid w:val="00787DA9"/>
    <w:rsid w:val="007911DD"/>
    <w:rsid w:val="00794AF4"/>
    <w:rsid w:val="007A0884"/>
    <w:rsid w:val="007A41BD"/>
    <w:rsid w:val="007C5158"/>
    <w:rsid w:val="007D4360"/>
    <w:rsid w:val="007D7F93"/>
    <w:rsid w:val="007E7AEF"/>
    <w:rsid w:val="0081487F"/>
    <w:rsid w:val="00815715"/>
    <w:rsid w:val="00836B2F"/>
    <w:rsid w:val="00856FAE"/>
    <w:rsid w:val="008A240C"/>
    <w:rsid w:val="008C0FC7"/>
    <w:rsid w:val="008C7B02"/>
    <w:rsid w:val="008D0EA1"/>
    <w:rsid w:val="008D72D4"/>
    <w:rsid w:val="008F7025"/>
    <w:rsid w:val="008F70CE"/>
    <w:rsid w:val="0091126B"/>
    <w:rsid w:val="009213FF"/>
    <w:rsid w:val="00924E8B"/>
    <w:rsid w:val="009252E9"/>
    <w:rsid w:val="00926AED"/>
    <w:rsid w:val="0093364F"/>
    <w:rsid w:val="00934A50"/>
    <w:rsid w:val="00936D86"/>
    <w:rsid w:val="009416C2"/>
    <w:rsid w:val="0094174B"/>
    <w:rsid w:val="00952593"/>
    <w:rsid w:val="00962639"/>
    <w:rsid w:val="009834C2"/>
    <w:rsid w:val="00985535"/>
    <w:rsid w:val="00987E71"/>
    <w:rsid w:val="009B5009"/>
    <w:rsid w:val="009B5B8E"/>
    <w:rsid w:val="009C07CA"/>
    <w:rsid w:val="009C496E"/>
    <w:rsid w:val="009D091E"/>
    <w:rsid w:val="009D1714"/>
    <w:rsid w:val="00A07E2B"/>
    <w:rsid w:val="00A33820"/>
    <w:rsid w:val="00A36817"/>
    <w:rsid w:val="00A4399A"/>
    <w:rsid w:val="00A43C91"/>
    <w:rsid w:val="00A52261"/>
    <w:rsid w:val="00A7482B"/>
    <w:rsid w:val="00A76E15"/>
    <w:rsid w:val="00A77C14"/>
    <w:rsid w:val="00A82097"/>
    <w:rsid w:val="00A82282"/>
    <w:rsid w:val="00A879C2"/>
    <w:rsid w:val="00A94F1A"/>
    <w:rsid w:val="00A95D77"/>
    <w:rsid w:val="00AA2103"/>
    <w:rsid w:val="00AA75F3"/>
    <w:rsid w:val="00AB2407"/>
    <w:rsid w:val="00AB7920"/>
    <w:rsid w:val="00AD54B6"/>
    <w:rsid w:val="00AE67C5"/>
    <w:rsid w:val="00B0034D"/>
    <w:rsid w:val="00B00534"/>
    <w:rsid w:val="00B0200A"/>
    <w:rsid w:val="00B0533C"/>
    <w:rsid w:val="00B06EA3"/>
    <w:rsid w:val="00B20827"/>
    <w:rsid w:val="00B22BA8"/>
    <w:rsid w:val="00B22BB1"/>
    <w:rsid w:val="00B23F98"/>
    <w:rsid w:val="00B25561"/>
    <w:rsid w:val="00B339FB"/>
    <w:rsid w:val="00B36202"/>
    <w:rsid w:val="00B37B8E"/>
    <w:rsid w:val="00B40831"/>
    <w:rsid w:val="00B429E1"/>
    <w:rsid w:val="00B503D6"/>
    <w:rsid w:val="00B81319"/>
    <w:rsid w:val="00B916F3"/>
    <w:rsid w:val="00B96781"/>
    <w:rsid w:val="00BB1041"/>
    <w:rsid w:val="00BB34A7"/>
    <w:rsid w:val="00BC0991"/>
    <w:rsid w:val="00BC199A"/>
    <w:rsid w:val="00BF02DC"/>
    <w:rsid w:val="00BF3A1A"/>
    <w:rsid w:val="00BF6319"/>
    <w:rsid w:val="00BF68DD"/>
    <w:rsid w:val="00C01964"/>
    <w:rsid w:val="00C04847"/>
    <w:rsid w:val="00C14803"/>
    <w:rsid w:val="00C148B8"/>
    <w:rsid w:val="00C2366A"/>
    <w:rsid w:val="00C319D3"/>
    <w:rsid w:val="00C41E84"/>
    <w:rsid w:val="00C44321"/>
    <w:rsid w:val="00C44D48"/>
    <w:rsid w:val="00C4780C"/>
    <w:rsid w:val="00C53338"/>
    <w:rsid w:val="00C61280"/>
    <w:rsid w:val="00C61924"/>
    <w:rsid w:val="00C63B1A"/>
    <w:rsid w:val="00C6575E"/>
    <w:rsid w:val="00C716CE"/>
    <w:rsid w:val="00C8183F"/>
    <w:rsid w:val="00C90B4B"/>
    <w:rsid w:val="00CA58B5"/>
    <w:rsid w:val="00CB1D54"/>
    <w:rsid w:val="00CC4B22"/>
    <w:rsid w:val="00CC56C7"/>
    <w:rsid w:val="00CD526C"/>
    <w:rsid w:val="00CF28E2"/>
    <w:rsid w:val="00D0189F"/>
    <w:rsid w:val="00D1418B"/>
    <w:rsid w:val="00D15E15"/>
    <w:rsid w:val="00D20F90"/>
    <w:rsid w:val="00D2231E"/>
    <w:rsid w:val="00D31C62"/>
    <w:rsid w:val="00D35892"/>
    <w:rsid w:val="00D37D90"/>
    <w:rsid w:val="00D46E0F"/>
    <w:rsid w:val="00D47D05"/>
    <w:rsid w:val="00D772C5"/>
    <w:rsid w:val="00D77B2C"/>
    <w:rsid w:val="00D959BB"/>
    <w:rsid w:val="00DA1F2D"/>
    <w:rsid w:val="00DA6C03"/>
    <w:rsid w:val="00DB3799"/>
    <w:rsid w:val="00DC172E"/>
    <w:rsid w:val="00DE04F3"/>
    <w:rsid w:val="00DE0991"/>
    <w:rsid w:val="00DE194C"/>
    <w:rsid w:val="00DE7567"/>
    <w:rsid w:val="00DF19D9"/>
    <w:rsid w:val="00DF7A98"/>
    <w:rsid w:val="00E027E4"/>
    <w:rsid w:val="00E0771C"/>
    <w:rsid w:val="00E129DA"/>
    <w:rsid w:val="00E1516F"/>
    <w:rsid w:val="00E3625C"/>
    <w:rsid w:val="00E364E3"/>
    <w:rsid w:val="00E42F80"/>
    <w:rsid w:val="00E436BD"/>
    <w:rsid w:val="00E548B7"/>
    <w:rsid w:val="00E65C45"/>
    <w:rsid w:val="00E75107"/>
    <w:rsid w:val="00E76322"/>
    <w:rsid w:val="00E80724"/>
    <w:rsid w:val="00E80DB8"/>
    <w:rsid w:val="00E82216"/>
    <w:rsid w:val="00E9078B"/>
    <w:rsid w:val="00EA0002"/>
    <w:rsid w:val="00EA58BA"/>
    <w:rsid w:val="00EB4213"/>
    <w:rsid w:val="00EB7C92"/>
    <w:rsid w:val="00EC1A9E"/>
    <w:rsid w:val="00EC1D92"/>
    <w:rsid w:val="00ED4299"/>
    <w:rsid w:val="00EE3582"/>
    <w:rsid w:val="00EF62F2"/>
    <w:rsid w:val="00F002B7"/>
    <w:rsid w:val="00F07046"/>
    <w:rsid w:val="00F16FEC"/>
    <w:rsid w:val="00F33C78"/>
    <w:rsid w:val="00F4014C"/>
    <w:rsid w:val="00F43B66"/>
    <w:rsid w:val="00F54228"/>
    <w:rsid w:val="00F55811"/>
    <w:rsid w:val="00F57FFB"/>
    <w:rsid w:val="00F606D7"/>
    <w:rsid w:val="00F752A2"/>
    <w:rsid w:val="00F82254"/>
    <w:rsid w:val="00F87E23"/>
    <w:rsid w:val="00FA507A"/>
    <w:rsid w:val="00FB6B68"/>
    <w:rsid w:val="00FC265D"/>
    <w:rsid w:val="00FD567B"/>
    <w:rsid w:val="00FD79E2"/>
    <w:rsid w:val="00FE1E4C"/>
    <w:rsid w:val="00FE20C5"/>
    <w:rsid w:val="0EDC3306"/>
    <w:rsid w:val="10586C76"/>
    <w:rsid w:val="108A727F"/>
    <w:rsid w:val="137DF640"/>
    <w:rsid w:val="1945328E"/>
    <w:rsid w:val="1FA66DA7"/>
    <w:rsid w:val="208089A4"/>
    <w:rsid w:val="2765BD95"/>
    <w:rsid w:val="3397804D"/>
    <w:rsid w:val="3E65AE86"/>
    <w:rsid w:val="43B05D22"/>
    <w:rsid w:val="47B569AE"/>
    <w:rsid w:val="4933B510"/>
    <w:rsid w:val="5164E40C"/>
    <w:rsid w:val="56CC6295"/>
    <w:rsid w:val="5E68F3EE"/>
    <w:rsid w:val="629A08A5"/>
    <w:rsid w:val="6617D076"/>
    <w:rsid w:val="6773E625"/>
    <w:rsid w:val="6821D464"/>
    <w:rsid w:val="6DFD7481"/>
    <w:rsid w:val="6EFF17E4"/>
    <w:rsid w:val="7DBEB607"/>
    <w:rsid w:val="7DE24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B0132"/>
  <w15:chartTrackingRefBased/>
  <w15:docId w15:val="{C2940876-6FF2-485F-A86F-63585B6F5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B8E"/>
  </w:style>
  <w:style w:type="paragraph" w:styleId="Heading1">
    <w:name w:val="heading 1"/>
    <w:basedOn w:val="Normal"/>
    <w:next w:val="Normal"/>
    <w:link w:val="Heading1Char"/>
    <w:autoRedefine/>
    <w:uiPriority w:val="9"/>
    <w:qFormat/>
    <w:rsid w:val="00EB7C92"/>
    <w:pPr>
      <w:keepNext/>
      <w:keepLines/>
      <w:numPr>
        <w:ilvl w:val="1"/>
        <w:numId w:val="18"/>
      </w:numPr>
      <w:spacing w:before="360" w:after="80"/>
      <w:outlineLvl w:val="0"/>
    </w:pPr>
    <w:rPr>
      <w:rFonts w:asciiTheme="majorHAnsi" w:eastAsiaTheme="majorEastAsia" w:hAnsiTheme="majorHAnsi" w:cstheme="majorBidi"/>
      <w:color w:val="0F4761" w:themeColor="accent1" w:themeShade="BF"/>
      <w:sz w:val="32"/>
      <w:szCs w:val="40"/>
    </w:rPr>
  </w:style>
  <w:style w:type="paragraph" w:styleId="Heading2">
    <w:name w:val="heading 2"/>
    <w:basedOn w:val="Normal"/>
    <w:next w:val="Normal"/>
    <w:link w:val="Heading2Char"/>
    <w:uiPriority w:val="9"/>
    <w:unhideWhenUsed/>
    <w:qFormat/>
    <w:rsid w:val="005B1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0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0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0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0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0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0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0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C92"/>
    <w:rPr>
      <w:rFonts w:asciiTheme="majorHAnsi" w:eastAsiaTheme="majorEastAsia" w:hAnsiTheme="majorHAnsi" w:cstheme="majorBidi"/>
      <w:color w:val="0F4761" w:themeColor="accent1" w:themeShade="BF"/>
      <w:sz w:val="32"/>
      <w:szCs w:val="40"/>
    </w:rPr>
  </w:style>
  <w:style w:type="character" w:customStyle="1" w:styleId="Heading2Char">
    <w:name w:val="Heading 2 Char"/>
    <w:basedOn w:val="DefaultParagraphFont"/>
    <w:link w:val="Heading2"/>
    <w:uiPriority w:val="9"/>
    <w:rsid w:val="005B10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0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0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0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047"/>
    <w:rPr>
      <w:rFonts w:eastAsiaTheme="majorEastAsia" w:cstheme="majorBidi"/>
      <w:color w:val="272727" w:themeColor="text1" w:themeTint="D8"/>
    </w:rPr>
  </w:style>
  <w:style w:type="paragraph" w:styleId="Title">
    <w:name w:val="Title"/>
    <w:basedOn w:val="Normal"/>
    <w:next w:val="Normal"/>
    <w:link w:val="TitleChar"/>
    <w:uiPriority w:val="10"/>
    <w:qFormat/>
    <w:rsid w:val="005B1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047"/>
    <w:pPr>
      <w:spacing w:before="160"/>
      <w:jc w:val="center"/>
    </w:pPr>
    <w:rPr>
      <w:i/>
      <w:iCs/>
      <w:color w:val="404040" w:themeColor="text1" w:themeTint="BF"/>
    </w:rPr>
  </w:style>
  <w:style w:type="character" w:customStyle="1" w:styleId="QuoteChar">
    <w:name w:val="Quote Char"/>
    <w:basedOn w:val="DefaultParagraphFont"/>
    <w:link w:val="Quote"/>
    <w:uiPriority w:val="29"/>
    <w:rsid w:val="005B1047"/>
    <w:rPr>
      <w:i/>
      <w:iCs/>
      <w:color w:val="404040" w:themeColor="text1" w:themeTint="BF"/>
    </w:rPr>
  </w:style>
  <w:style w:type="paragraph" w:styleId="ListParagraph">
    <w:name w:val="List Paragraph"/>
    <w:basedOn w:val="Normal"/>
    <w:uiPriority w:val="34"/>
    <w:qFormat/>
    <w:rsid w:val="005B1047"/>
    <w:pPr>
      <w:ind w:left="720"/>
      <w:contextualSpacing/>
    </w:pPr>
  </w:style>
  <w:style w:type="character" w:styleId="IntenseEmphasis">
    <w:name w:val="Intense Emphasis"/>
    <w:basedOn w:val="DefaultParagraphFont"/>
    <w:uiPriority w:val="21"/>
    <w:qFormat/>
    <w:rsid w:val="005B1047"/>
    <w:rPr>
      <w:i/>
      <w:iCs/>
      <w:color w:val="0F4761" w:themeColor="accent1" w:themeShade="BF"/>
    </w:rPr>
  </w:style>
  <w:style w:type="paragraph" w:styleId="IntenseQuote">
    <w:name w:val="Intense Quote"/>
    <w:basedOn w:val="Normal"/>
    <w:next w:val="Normal"/>
    <w:link w:val="IntenseQuoteChar"/>
    <w:uiPriority w:val="30"/>
    <w:qFormat/>
    <w:rsid w:val="005B1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047"/>
    <w:rPr>
      <w:i/>
      <w:iCs/>
      <w:color w:val="0F4761" w:themeColor="accent1" w:themeShade="BF"/>
    </w:rPr>
  </w:style>
  <w:style w:type="character" w:styleId="IntenseReference">
    <w:name w:val="Intense Reference"/>
    <w:basedOn w:val="DefaultParagraphFont"/>
    <w:uiPriority w:val="32"/>
    <w:qFormat/>
    <w:rsid w:val="005B1047"/>
    <w:rPr>
      <w:b/>
      <w:bCs/>
      <w:smallCaps/>
      <w:color w:val="0F4761" w:themeColor="accent1" w:themeShade="BF"/>
      <w:spacing w:val="5"/>
    </w:rPr>
  </w:style>
  <w:style w:type="paragraph" w:styleId="NormalWeb">
    <w:name w:val="Normal (Web)"/>
    <w:basedOn w:val="Normal"/>
    <w:uiPriority w:val="99"/>
    <w:unhideWhenUsed/>
    <w:rsid w:val="005B1047"/>
    <w:rPr>
      <w:rFonts w:ascii="Times New Roman" w:hAnsi="Times New Roman" w:cs="Times New Roman"/>
      <w:sz w:val="24"/>
      <w:szCs w:val="24"/>
    </w:rPr>
  </w:style>
  <w:style w:type="character" w:styleId="Hyperlink">
    <w:name w:val="Hyperlink"/>
    <w:basedOn w:val="DefaultParagraphFont"/>
    <w:uiPriority w:val="99"/>
    <w:unhideWhenUsed/>
    <w:rsid w:val="005B1047"/>
    <w:rPr>
      <w:color w:val="467886" w:themeColor="hyperlink"/>
      <w:u w:val="single"/>
    </w:rPr>
  </w:style>
  <w:style w:type="character" w:styleId="UnresolvedMention">
    <w:name w:val="Unresolved Mention"/>
    <w:basedOn w:val="DefaultParagraphFont"/>
    <w:uiPriority w:val="99"/>
    <w:semiHidden/>
    <w:unhideWhenUsed/>
    <w:rsid w:val="005B1047"/>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F63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319"/>
  </w:style>
  <w:style w:type="paragraph" w:styleId="Footer">
    <w:name w:val="footer"/>
    <w:basedOn w:val="Normal"/>
    <w:link w:val="FooterChar"/>
    <w:uiPriority w:val="99"/>
    <w:unhideWhenUsed/>
    <w:rsid w:val="00BF63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319"/>
  </w:style>
  <w:style w:type="paragraph" w:styleId="NoSpacing">
    <w:name w:val="No Spacing"/>
    <w:uiPriority w:val="1"/>
    <w:qFormat/>
    <w:rsid w:val="00534E52"/>
    <w:pPr>
      <w:spacing w:after="0" w:line="240" w:lineRule="auto"/>
    </w:pPr>
  </w:style>
  <w:style w:type="character" w:styleId="SubtleEmphasis">
    <w:name w:val="Subtle Emphasis"/>
    <w:basedOn w:val="DefaultParagraphFont"/>
    <w:uiPriority w:val="19"/>
    <w:qFormat/>
    <w:rsid w:val="0056684A"/>
    <w:rPr>
      <w:rFonts w:asciiTheme="minorHAnsi" w:hAnsiTheme="minorHAnsi"/>
      <w:b/>
      <w:i/>
      <w:iCs/>
      <w:color w:val="404040" w:themeColor="text1" w:themeTint="BF"/>
      <w:sz w:val="24"/>
    </w:rPr>
  </w:style>
  <w:style w:type="table" w:styleId="ListTable4-Accent3">
    <w:name w:val="List Table 4 Accent 3"/>
    <w:basedOn w:val="TableNormal"/>
    <w:uiPriority w:val="49"/>
    <w:rsid w:val="00B25561"/>
    <w:pPr>
      <w:spacing w:after="0" w:line="240" w:lineRule="auto"/>
    </w:pPr>
    <w:rPr>
      <w:rFonts w:ascii="Calibri" w:hAnsi="Calibri" w:cstheme="minorHAnsi"/>
      <w:sz w:val="24"/>
      <w:szCs w:val="24"/>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1">
    <w:name w:val="List Table 4 Accent 1"/>
    <w:basedOn w:val="TableNormal"/>
    <w:uiPriority w:val="49"/>
    <w:rsid w:val="00A3681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Accent1">
    <w:name w:val="List Table 3 Accent 1"/>
    <w:basedOn w:val="TableNormal"/>
    <w:uiPriority w:val="48"/>
    <w:rsid w:val="00A3681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styleId="Emphasis">
    <w:name w:val="Emphasis"/>
    <w:basedOn w:val="DefaultParagraphFont"/>
    <w:uiPriority w:val="20"/>
    <w:qFormat/>
    <w:rsid w:val="006148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4553">
      <w:bodyDiv w:val="1"/>
      <w:marLeft w:val="0"/>
      <w:marRight w:val="0"/>
      <w:marTop w:val="0"/>
      <w:marBottom w:val="0"/>
      <w:divBdr>
        <w:top w:val="none" w:sz="0" w:space="0" w:color="auto"/>
        <w:left w:val="none" w:sz="0" w:space="0" w:color="auto"/>
        <w:bottom w:val="none" w:sz="0" w:space="0" w:color="auto"/>
        <w:right w:val="none" w:sz="0" w:space="0" w:color="auto"/>
      </w:divBdr>
    </w:div>
    <w:div w:id="47806572">
      <w:bodyDiv w:val="1"/>
      <w:marLeft w:val="0"/>
      <w:marRight w:val="0"/>
      <w:marTop w:val="0"/>
      <w:marBottom w:val="0"/>
      <w:divBdr>
        <w:top w:val="none" w:sz="0" w:space="0" w:color="auto"/>
        <w:left w:val="none" w:sz="0" w:space="0" w:color="auto"/>
        <w:bottom w:val="none" w:sz="0" w:space="0" w:color="auto"/>
        <w:right w:val="none" w:sz="0" w:space="0" w:color="auto"/>
      </w:divBdr>
    </w:div>
    <w:div w:id="128203876">
      <w:bodyDiv w:val="1"/>
      <w:marLeft w:val="0"/>
      <w:marRight w:val="0"/>
      <w:marTop w:val="0"/>
      <w:marBottom w:val="0"/>
      <w:divBdr>
        <w:top w:val="none" w:sz="0" w:space="0" w:color="auto"/>
        <w:left w:val="none" w:sz="0" w:space="0" w:color="auto"/>
        <w:bottom w:val="none" w:sz="0" w:space="0" w:color="auto"/>
        <w:right w:val="none" w:sz="0" w:space="0" w:color="auto"/>
      </w:divBdr>
      <w:divsChild>
        <w:div w:id="477573936">
          <w:marLeft w:val="0"/>
          <w:marRight w:val="0"/>
          <w:marTop w:val="0"/>
          <w:marBottom w:val="0"/>
          <w:divBdr>
            <w:top w:val="none" w:sz="0" w:space="0" w:color="auto"/>
            <w:left w:val="none" w:sz="0" w:space="0" w:color="auto"/>
            <w:bottom w:val="none" w:sz="0" w:space="0" w:color="auto"/>
            <w:right w:val="none" w:sz="0" w:space="0" w:color="auto"/>
          </w:divBdr>
        </w:div>
        <w:div w:id="1014302080">
          <w:marLeft w:val="0"/>
          <w:marRight w:val="0"/>
          <w:marTop w:val="0"/>
          <w:marBottom w:val="0"/>
          <w:divBdr>
            <w:top w:val="none" w:sz="0" w:space="0" w:color="auto"/>
            <w:left w:val="none" w:sz="0" w:space="0" w:color="auto"/>
            <w:bottom w:val="none" w:sz="0" w:space="0" w:color="auto"/>
            <w:right w:val="none" w:sz="0" w:space="0" w:color="auto"/>
          </w:divBdr>
        </w:div>
        <w:div w:id="1099259238">
          <w:marLeft w:val="0"/>
          <w:marRight w:val="0"/>
          <w:marTop w:val="0"/>
          <w:marBottom w:val="0"/>
          <w:divBdr>
            <w:top w:val="none" w:sz="0" w:space="0" w:color="auto"/>
            <w:left w:val="none" w:sz="0" w:space="0" w:color="auto"/>
            <w:bottom w:val="none" w:sz="0" w:space="0" w:color="auto"/>
            <w:right w:val="none" w:sz="0" w:space="0" w:color="auto"/>
          </w:divBdr>
        </w:div>
        <w:div w:id="1136678250">
          <w:marLeft w:val="0"/>
          <w:marRight w:val="0"/>
          <w:marTop w:val="0"/>
          <w:marBottom w:val="0"/>
          <w:divBdr>
            <w:top w:val="none" w:sz="0" w:space="0" w:color="auto"/>
            <w:left w:val="none" w:sz="0" w:space="0" w:color="auto"/>
            <w:bottom w:val="none" w:sz="0" w:space="0" w:color="auto"/>
            <w:right w:val="none" w:sz="0" w:space="0" w:color="auto"/>
          </w:divBdr>
        </w:div>
        <w:div w:id="1786341255">
          <w:marLeft w:val="0"/>
          <w:marRight w:val="0"/>
          <w:marTop w:val="0"/>
          <w:marBottom w:val="0"/>
          <w:divBdr>
            <w:top w:val="none" w:sz="0" w:space="0" w:color="auto"/>
            <w:left w:val="none" w:sz="0" w:space="0" w:color="auto"/>
            <w:bottom w:val="none" w:sz="0" w:space="0" w:color="auto"/>
            <w:right w:val="none" w:sz="0" w:space="0" w:color="auto"/>
          </w:divBdr>
        </w:div>
      </w:divsChild>
    </w:div>
    <w:div w:id="144516843">
      <w:bodyDiv w:val="1"/>
      <w:marLeft w:val="0"/>
      <w:marRight w:val="0"/>
      <w:marTop w:val="0"/>
      <w:marBottom w:val="0"/>
      <w:divBdr>
        <w:top w:val="none" w:sz="0" w:space="0" w:color="auto"/>
        <w:left w:val="none" w:sz="0" w:space="0" w:color="auto"/>
        <w:bottom w:val="none" w:sz="0" w:space="0" w:color="auto"/>
        <w:right w:val="none" w:sz="0" w:space="0" w:color="auto"/>
      </w:divBdr>
    </w:div>
    <w:div w:id="189881995">
      <w:bodyDiv w:val="1"/>
      <w:marLeft w:val="0"/>
      <w:marRight w:val="0"/>
      <w:marTop w:val="0"/>
      <w:marBottom w:val="0"/>
      <w:divBdr>
        <w:top w:val="none" w:sz="0" w:space="0" w:color="auto"/>
        <w:left w:val="none" w:sz="0" w:space="0" w:color="auto"/>
        <w:bottom w:val="none" w:sz="0" w:space="0" w:color="auto"/>
        <w:right w:val="none" w:sz="0" w:space="0" w:color="auto"/>
      </w:divBdr>
    </w:div>
    <w:div w:id="246810688">
      <w:bodyDiv w:val="1"/>
      <w:marLeft w:val="0"/>
      <w:marRight w:val="0"/>
      <w:marTop w:val="0"/>
      <w:marBottom w:val="0"/>
      <w:divBdr>
        <w:top w:val="none" w:sz="0" w:space="0" w:color="auto"/>
        <w:left w:val="none" w:sz="0" w:space="0" w:color="auto"/>
        <w:bottom w:val="none" w:sz="0" w:space="0" w:color="auto"/>
        <w:right w:val="none" w:sz="0" w:space="0" w:color="auto"/>
      </w:divBdr>
    </w:div>
    <w:div w:id="398945947">
      <w:bodyDiv w:val="1"/>
      <w:marLeft w:val="0"/>
      <w:marRight w:val="0"/>
      <w:marTop w:val="0"/>
      <w:marBottom w:val="0"/>
      <w:divBdr>
        <w:top w:val="none" w:sz="0" w:space="0" w:color="auto"/>
        <w:left w:val="none" w:sz="0" w:space="0" w:color="auto"/>
        <w:bottom w:val="none" w:sz="0" w:space="0" w:color="auto"/>
        <w:right w:val="none" w:sz="0" w:space="0" w:color="auto"/>
      </w:divBdr>
      <w:divsChild>
        <w:div w:id="495614706">
          <w:marLeft w:val="0"/>
          <w:marRight w:val="0"/>
          <w:marTop w:val="0"/>
          <w:marBottom w:val="0"/>
          <w:divBdr>
            <w:top w:val="none" w:sz="0" w:space="0" w:color="auto"/>
            <w:left w:val="none" w:sz="0" w:space="0" w:color="auto"/>
            <w:bottom w:val="none" w:sz="0" w:space="0" w:color="auto"/>
            <w:right w:val="none" w:sz="0" w:space="0" w:color="auto"/>
          </w:divBdr>
        </w:div>
        <w:div w:id="781536423">
          <w:marLeft w:val="0"/>
          <w:marRight w:val="0"/>
          <w:marTop w:val="0"/>
          <w:marBottom w:val="0"/>
          <w:divBdr>
            <w:top w:val="none" w:sz="0" w:space="0" w:color="auto"/>
            <w:left w:val="none" w:sz="0" w:space="0" w:color="auto"/>
            <w:bottom w:val="none" w:sz="0" w:space="0" w:color="auto"/>
            <w:right w:val="none" w:sz="0" w:space="0" w:color="auto"/>
          </w:divBdr>
        </w:div>
        <w:div w:id="964237101">
          <w:marLeft w:val="0"/>
          <w:marRight w:val="0"/>
          <w:marTop w:val="0"/>
          <w:marBottom w:val="0"/>
          <w:divBdr>
            <w:top w:val="none" w:sz="0" w:space="0" w:color="auto"/>
            <w:left w:val="none" w:sz="0" w:space="0" w:color="auto"/>
            <w:bottom w:val="none" w:sz="0" w:space="0" w:color="auto"/>
            <w:right w:val="none" w:sz="0" w:space="0" w:color="auto"/>
          </w:divBdr>
        </w:div>
        <w:div w:id="1337228296">
          <w:marLeft w:val="0"/>
          <w:marRight w:val="0"/>
          <w:marTop w:val="0"/>
          <w:marBottom w:val="0"/>
          <w:divBdr>
            <w:top w:val="none" w:sz="0" w:space="0" w:color="auto"/>
            <w:left w:val="none" w:sz="0" w:space="0" w:color="auto"/>
            <w:bottom w:val="none" w:sz="0" w:space="0" w:color="auto"/>
            <w:right w:val="none" w:sz="0" w:space="0" w:color="auto"/>
          </w:divBdr>
        </w:div>
        <w:div w:id="1598899869">
          <w:marLeft w:val="0"/>
          <w:marRight w:val="0"/>
          <w:marTop w:val="0"/>
          <w:marBottom w:val="0"/>
          <w:divBdr>
            <w:top w:val="none" w:sz="0" w:space="0" w:color="auto"/>
            <w:left w:val="none" w:sz="0" w:space="0" w:color="auto"/>
            <w:bottom w:val="none" w:sz="0" w:space="0" w:color="auto"/>
            <w:right w:val="none" w:sz="0" w:space="0" w:color="auto"/>
          </w:divBdr>
        </w:div>
      </w:divsChild>
    </w:div>
    <w:div w:id="413280336">
      <w:bodyDiv w:val="1"/>
      <w:marLeft w:val="0"/>
      <w:marRight w:val="0"/>
      <w:marTop w:val="0"/>
      <w:marBottom w:val="0"/>
      <w:divBdr>
        <w:top w:val="none" w:sz="0" w:space="0" w:color="auto"/>
        <w:left w:val="none" w:sz="0" w:space="0" w:color="auto"/>
        <w:bottom w:val="none" w:sz="0" w:space="0" w:color="auto"/>
        <w:right w:val="none" w:sz="0" w:space="0" w:color="auto"/>
      </w:divBdr>
    </w:div>
    <w:div w:id="1055080670">
      <w:bodyDiv w:val="1"/>
      <w:marLeft w:val="0"/>
      <w:marRight w:val="0"/>
      <w:marTop w:val="0"/>
      <w:marBottom w:val="0"/>
      <w:divBdr>
        <w:top w:val="none" w:sz="0" w:space="0" w:color="auto"/>
        <w:left w:val="none" w:sz="0" w:space="0" w:color="auto"/>
        <w:bottom w:val="none" w:sz="0" w:space="0" w:color="auto"/>
        <w:right w:val="none" w:sz="0" w:space="0" w:color="auto"/>
      </w:divBdr>
    </w:div>
    <w:div w:id="1097168110">
      <w:bodyDiv w:val="1"/>
      <w:marLeft w:val="0"/>
      <w:marRight w:val="0"/>
      <w:marTop w:val="0"/>
      <w:marBottom w:val="0"/>
      <w:divBdr>
        <w:top w:val="none" w:sz="0" w:space="0" w:color="auto"/>
        <w:left w:val="none" w:sz="0" w:space="0" w:color="auto"/>
        <w:bottom w:val="none" w:sz="0" w:space="0" w:color="auto"/>
        <w:right w:val="none" w:sz="0" w:space="0" w:color="auto"/>
      </w:divBdr>
    </w:div>
    <w:div w:id="1282297164">
      <w:bodyDiv w:val="1"/>
      <w:marLeft w:val="0"/>
      <w:marRight w:val="0"/>
      <w:marTop w:val="0"/>
      <w:marBottom w:val="0"/>
      <w:divBdr>
        <w:top w:val="none" w:sz="0" w:space="0" w:color="auto"/>
        <w:left w:val="none" w:sz="0" w:space="0" w:color="auto"/>
        <w:bottom w:val="none" w:sz="0" w:space="0" w:color="auto"/>
        <w:right w:val="none" w:sz="0" w:space="0" w:color="auto"/>
      </w:divBdr>
      <w:divsChild>
        <w:div w:id="407967796">
          <w:marLeft w:val="0"/>
          <w:marRight w:val="0"/>
          <w:marTop w:val="0"/>
          <w:marBottom w:val="0"/>
          <w:divBdr>
            <w:top w:val="none" w:sz="0" w:space="0" w:color="auto"/>
            <w:left w:val="none" w:sz="0" w:space="0" w:color="auto"/>
            <w:bottom w:val="none" w:sz="0" w:space="0" w:color="auto"/>
            <w:right w:val="none" w:sz="0" w:space="0" w:color="auto"/>
          </w:divBdr>
        </w:div>
        <w:div w:id="599916706">
          <w:marLeft w:val="0"/>
          <w:marRight w:val="0"/>
          <w:marTop w:val="0"/>
          <w:marBottom w:val="0"/>
          <w:divBdr>
            <w:top w:val="none" w:sz="0" w:space="0" w:color="auto"/>
            <w:left w:val="none" w:sz="0" w:space="0" w:color="auto"/>
            <w:bottom w:val="none" w:sz="0" w:space="0" w:color="auto"/>
            <w:right w:val="none" w:sz="0" w:space="0" w:color="auto"/>
          </w:divBdr>
        </w:div>
        <w:div w:id="1057780102">
          <w:marLeft w:val="0"/>
          <w:marRight w:val="0"/>
          <w:marTop w:val="0"/>
          <w:marBottom w:val="0"/>
          <w:divBdr>
            <w:top w:val="none" w:sz="0" w:space="0" w:color="auto"/>
            <w:left w:val="none" w:sz="0" w:space="0" w:color="auto"/>
            <w:bottom w:val="none" w:sz="0" w:space="0" w:color="auto"/>
            <w:right w:val="none" w:sz="0" w:space="0" w:color="auto"/>
          </w:divBdr>
        </w:div>
        <w:div w:id="1384984008">
          <w:marLeft w:val="0"/>
          <w:marRight w:val="0"/>
          <w:marTop w:val="0"/>
          <w:marBottom w:val="0"/>
          <w:divBdr>
            <w:top w:val="none" w:sz="0" w:space="0" w:color="auto"/>
            <w:left w:val="none" w:sz="0" w:space="0" w:color="auto"/>
            <w:bottom w:val="none" w:sz="0" w:space="0" w:color="auto"/>
            <w:right w:val="none" w:sz="0" w:space="0" w:color="auto"/>
          </w:divBdr>
        </w:div>
        <w:div w:id="1956322430">
          <w:marLeft w:val="0"/>
          <w:marRight w:val="0"/>
          <w:marTop w:val="0"/>
          <w:marBottom w:val="0"/>
          <w:divBdr>
            <w:top w:val="none" w:sz="0" w:space="0" w:color="auto"/>
            <w:left w:val="none" w:sz="0" w:space="0" w:color="auto"/>
            <w:bottom w:val="none" w:sz="0" w:space="0" w:color="auto"/>
            <w:right w:val="none" w:sz="0" w:space="0" w:color="auto"/>
          </w:divBdr>
        </w:div>
      </w:divsChild>
    </w:div>
    <w:div w:id="1427992861">
      <w:bodyDiv w:val="1"/>
      <w:marLeft w:val="0"/>
      <w:marRight w:val="0"/>
      <w:marTop w:val="0"/>
      <w:marBottom w:val="0"/>
      <w:divBdr>
        <w:top w:val="none" w:sz="0" w:space="0" w:color="auto"/>
        <w:left w:val="none" w:sz="0" w:space="0" w:color="auto"/>
        <w:bottom w:val="none" w:sz="0" w:space="0" w:color="auto"/>
        <w:right w:val="none" w:sz="0" w:space="0" w:color="auto"/>
      </w:divBdr>
    </w:div>
    <w:div w:id="1444962910">
      <w:bodyDiv w:val="1"/>
      <w:marLeft w:val="0"/>
      <w:marRight w:val="0"/>
      <w:marTop w:val="0"/>
      <w:marBottom w:val="0"/>
      <w:divBdr>
        <w:top w:val="none" w:sz="0" w:space="0" w:color="auto"/>
        <w:left w:val="none" w:sz="0" w:space="0" w:color="auto"/>
        <w:bottom w:val="none" w:sz="0" w:space="0" w:color="auto"/>
        <w:right w:val="none" w:sz="0" w:space="0" w:color="auto"/>
      </w:divBdr>
    </w:div>
    <w:div w:id="2074573008">
      <w:bodyDiv w:val="1"/>
      <w:marLeft w:val="0"/>
      <w:marRight w:val="0"/>
      <w:marTop w:val="0"/>
      <w:marBottom w:val="0"/>
      <w:divBdr>
        <w:top w:val="none" w:sz="0" w:space="0" w:color="auto"/>
        <w:left w:val="none" w:sz="0" w:space="0" w:color="auto"/>
        <w:bottom w:val="none" w:sz="0" w:space="0" w:color="auto"/>
        <w:right w:val="none" w:sz="0" w:space="0" w:color="auto"/>
      </w:divBdr>
    </w:div>
    <w:div w:id="2116363089">
      <w:bodyDiv w:val="1"/>
      <w:marLeft w:val="0"/>
      <w:marRight w:val="0"/>
      <w:marTop w:val="0"/>
      <w:marBottom w:val="0"/>
      <w:divBdr>
        <w:top w:val="none" w:sz="0" w:space="0" w:color="auto"/>
        <w:left w:val="none" w:sz="0" w:space="0" w:color="auto"/>
        <w:bottom w:val="none" w:sz="0" w:space="0" w:color="auto"/>
        <w:right w:val="none" w:sz="0" w:space="0" w:color="auto"/>
      </w:divBdr>
      <w:divsChild>
        <w:div w:id="209801177">
          <w:marLeft w:val="0"/>
          <w:marRight w:val="0"/>
          <w:marTop w:val="0"/>
          <w:marBottom w:val="0"/>
          <w:divBdr>
            <w:top w:val="none" w:sz="0" w:space="0" w:color="auto"/>
            <w:left w:val="none" w:sz="0" w:space="0" w:color="auto"/>
            <w:bottom w:val="none" w:sz="0" w:space="0" w:color="auto"/>
            <w:right w:val="none" w:sz="0" w:space="0" w:color="auto"/>
          </w:divBdr>
        </w:div>
        <w:div w:id="424765000">
          <w:marLeft w:val="0"/>
          <w:marRight w:val="0"/>
          <w:marTop w:val="0"/>
          <w:marBottom w:val="0"/>
          <w:divBdr>
            <w:top w:val="none" w:sz="0" w:space="0" w:color="auto"/>
            <w:left w:val="none" w:sz="0" w:space="0" w:color="auto"/>
            <w:bottom w:val="none" w:sz="0" w:space="0" w:color="auto"/>
            <w:right w:val="none" w:sz="0" w:space="0" w:color="auto"/>
          </w:divBdr>
        </w:div>
        <w:div w:id="1337030654">
          <w:marLeft w:val="0"/>
          <w:marRight w:val="0"/>
          <w:marTop w:val="0"/>
          <w:marBottom w:val="0"/>
          <w:divBdr>
            <w:top w:val="none" w:sz="0" w:space="0" w:color="auto"/>
            <w:left w:val="none" w:sz="0" w:space="0" w:color="auto"/>
            <w:bottom w:val="none" w:sz="0" w:space="0" w:color="auto"/>
            <w:right w:val="none" w:sz="0" w:space="0" w:color="auto"/>
          </w:divBdr>
        </w:div>
        <w:div w:id="1637028535">
          <w:marLeft w:val="0"/>
          <w:marRight w:val="0"/>
          <w:marTop w:val="0"/>
          <w:marBottom w:val="0"/>
          <w:divBdr>
            <w:top w:val="none" w:sz="0" w:space="0" w:color="auto"/>
            <w:left w:val="none" w:sz="0" w:space="0" w:color="auto"/>
            <w:bottom w:val="none" w:sz="0" w:space="0" w:color="auto"/>
            <w:right w:val="none" w:sz="0" w:space="0" w:color="auto"/>
          </w:divBdr>
        </w:div>
        <w:div w:id="1731153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09e74da-8c42-47ff-a2b2-b544444cc05f"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DE6E695FF5BC4FAE46B14A8E19FB49" ma:contentTypeVersion="7" ma:contentTypeDescription="Create a new document." ma:contentTypeScope="" ma:versionID="12379eb80192bff31bf145aae63caa69">
  <xsd:schema xmlns:xsd="http://www.w3.org/2001/XMLSchema" xmlns:xs="http://www.w3.org/2001/XMLSchema" xmlns:p="http://schemas.microsoft.com/office/2006/metadata/properties" xmlns:ns2="23d1b5a2-60b3-4e8b-acb1-71a3c5296f9c" targetNamespace="http://schemas.microsoft.com/office/2006/metadata/properties" ma:root="true" ma:fieldsID="cc5c599fcb806f3042133028702cb7f9" ns2:_="">
    <xsd:import namespace="23d1b5a2-60b3-4e8b-acb1-71a3c5296f9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1b5a2-60b3-4e8b-acb1-71a3c5296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8B45A-F85D-423E-B158-ABFD0F056397}">
  <ds:schemaRefs>
    <ds:schemaRef ds:uri="Microsoft.SharePoint.Taxonomy.ContentTypeSync"/>
  </ds:schemaRefs>
</ds:datastoreItem>
</file>

<file path=customXml/itemProps2.xml><?xml version="1.0" encoding="utf-8"?>
<ds:datastoreItem xmlns:ds="http://schemas.openxmlformats.org/officeDocument/2006/customXml" ds:itemID="{456AAD48-4C1B-486F-A7CC-14236C00A6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E30E71-839C-4FCF-895B-83072704C5E3}">
  <ds:schemaRefs>
    <ds:schemaRef ds:uri="http://schemas.microsoft.com/sharepoint/v3/contenttype/forms"/>
  </ds:schemaRefs>
</ds:datastoreItem>
</file>

<file path=customXml/itemProps4.xml><?xml version="1.0" encoding="utf-8"?>
<ds:datastoreItem xmlns:ds="http://schemas.openxmlformats.org/officeDocument/2006/customXml" ds:itemID="{D7FE11A9-4822-4D9D-AB18-451A20E9C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1b5a2-60b3-4e8b-acb1-71a3c5296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2676</Words>
  <Characters>14938</Characters>
  <Application>Microsoft Office Word</Application>
  <DocSecurity>0</DocSecurity>
  <Lines>574</Lines>
  <Paragraphs>244</Paragraphs>
  <ScaleCrop>false</ScaleCrop>
  <Company/>
  <LinksUpToDate>false</LinksUpToDate>
  <CharactersWithSpaces>17370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lynne.morgan@mawwfire.gov.uk</dc:creator>
  <cp:keywords/>
  <dc:description/>
  <cp:lastModifiedBy>David Williams</cp:lastModifiedBy>
  <cp:revision>2</cp:revision>
  <dcterms:created xsi:type="dcterms:W3CDTF">2026-07-20T14:50:00Z</dcterms:created>
  <dcterms:modified xsi:type="dcterms:W3CDTF">2026-07-20T14:50:00Z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0x010100F8DE6E695FF5BC4FAE46B14A8E19FB49</vt:lpwstr>
  </property>
  <property fmtid="{D5CDD505-2E9C-101B-9397-08002B2CF9AE}" pid="3" name="GrammarlyDocumentId">
    <vt:lpwstr>a6abaf6b-de87-4d93-981d-8b83a93787ae</vt:lpwstr>
  </property>
</Properties>
</file>