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5634A" w14:textId="77777777" w:rsidR="00482993" w:rsidRPr="00347EC0" w:rsidRDefault="00482993" w:rsidP="00482993">
      <w:pPr>
        <w:rPr>
          <w:b/>
          <w:bCs/>
        </w:rPr>
      </w:pPr>
      <w:r w:rsidRPr="00347EC0">
        <w:rPr>
          <w:b/>
          <w:bCs/>
        </w:rPr>
        <w:t>PA23</w:t>
      </w:r>
      <w:r w:rsidRPr="00347EC0">
        <w:rPr>
          <w:b/>
          <w:bCs/>
        </w:rPr>
        <w:noBreakHyphen/>
        <w:t>Compliant Justification for a 7</w:t>
      </w:r>
      <w:r w:rsidRPr="00347EC0">
        <w:rPr>
          <w:b/>
          <w:bCs/>
        </w:rPr>
        <w:noBreakHyphen/>
        <w:t>Year SOC Framework (Hybrid SIEM, Data Migration, Tool Consolidation)</w:t>
      </w:r>
    </w:p>
    <w:p w14:paraId="393EC4F5" w14:textId="77777777" w:rsidR="00482993" w:rsidRPr="00347EC0" w:rsidRDefault="00482993" w:rsidP="00482993">
      <w:r w:rsidRPr="00347EC0">
        <w:rPr>
          <w:b/>
          <w:bCs/>
        </w:rPr>
        <w:t>Framework Duration Justification (Procurement Act 2023, Section 47)</w:t>
      </w:r>
    </w:p>
    <w:p w14:paraId="3816B1E3" w14:textId="77777777" w:rsidR="00482993" w:rsidRPr="00347EC0" w:rsidRDefault="00482993" w:rsidP="00482993">
      <w:r w:rsidRPr="00347EC0">
        <w:t>The contracting authority has determined that a 7</w:t>
      </w:r>
      <w:r w:rsidRPr="00347EC0">
        <w:noBreakHyphen/>
        <w:t>year framework agreement is required due to the nature of the Security Operations Centre (SOC) services being procured, including the provision, operation, and continuous optimisation of a hybrid Security Information and Event Management (SIEM) capability.</w:t>
      </w:r>
    </w:p>
    <w:p w14:paraId="59B324DC" w14:textId="77777777" w:rsidR="00482993" w:rsidRPr="00347EC0" w:rsidRDefault="00482993" w:rsidP="00482993">
      <w:r w:rsidRPr="00347EC0">
        <w:t>The requirement involves complex onboarding of a new SOC provider at the start of the framework, including full offboarding of the incumbent supplier, migration of historical and live security data, consolidation of existing security tools, and integration of multiple log sources into the hybrid SIEM environment. These activities require significant supplier investment in infrastructure, analytics tooling, detection engineering, and specialist personnel, and typically follow multi</w:t>
      </w:r>
      <w:r w:rsidRPr="00347EC0">
        <w:noBreakHyphen/>
        <w:t>year maturity cycles that cannot be efficiently delivered or recovered within a 4</w:t>
      </w:r>
      <w:r w:rsidRPr="00347EC0">
        <w:noBreakHyphen/>
        <w:t>year term.</w:t>
      </w:r>
    </w:p>
    <w:p w14:paraId="4899EC21" w14:textId="77777777" w:rsidR="00482993" w:rsidRPr="00347EC0" w:rsidRDefault="00482993" w:rsidP="00482993">
      <w:r w:rsidRPr="00347EC0">
        <w:t>The hybrid SIEM model requires long</w:t>
      </w:r>
      <w:r w:rsidRPr="00347EC0">
        <w:noBreakHyphen/>
        <w:t>term stability to maintain correlation rules, analytics tuning, threat</w:t>
      </w:r>
      <w:r w:rsidRPr="00347EC0">
        <w:noBreakHyphen/>
        <w:t>detection maturity, and continuous improvement of use cases. Data migration and tool consolidation are resource</w:t>
      </w:r>
      <w:r w:rsidRPr="00347EC0">
        <w:noBreakHyphen/>
        <w:t>intensive processes that must be undertaken once per supplier cycle to avoid operational disruption. A shorter framework term would increase the frequency of these high</w:t>
      </w:r>
      <w:r w:rsidRPr="00347EC0">
        <w:noBreakHyphen/>
        <w:t>risk transitions, raising security risk, reducing value for money, and undermining the continuity of monitoring and incident response.</w:t>
      </w:r>
    </w:p>
    <w:p w14:paraId="54049085" w14:textId="77777777" w:rsidR="00482993" w:rsidRPr="00347EC0" w:rsidRDefault="00482993" w:rsidP="00482993">
      <w:r w:rsidRPr="00347EC0">
        <w:t>The framework also requires full offboarding of the new provider at the end of the term, including secure data transfer, decommissioning of tooling, and re</w:t>
      </w:r>
      <w:r w:rsidRPr="00347EC0">
        <w:noBreakHyphen/>
        <w:t>establishment of baselines. These transitions involve substantial effort to maintain security assurance and continuity of service.</w:t>
      </w:r>
    </w:p>
    <w:p w14:paraId="4E2912AF" w14:textId="77777777" w:rsidR="00482993" w:rsidRPr="00347EC0" w:rsidRDefault="00482993" w:rsidP="00482993">
      <w:r w:rsidRPr="00347EC0">
        <w:t>Suppliers must commit significant resources to SIEM platform investment, detection engineering, threat</w:t>
      </w:r>
      <w:r w:rsidRPr="00347EC0">
        <w:noBreakHyphen/>
        <w:t>intelligence integration, and accreditation cycles that typically align with 5–7</w:t>
      </w:r>
      <w:r w:rsidRPr="00347EC0">
        <w:noBreakHyphen/>
        <w:t>year technology lifecycles. A 7</w:t>
      </w:r>
      <w:r w:rsidRPr="00347EC0">
        <w:noBreakHyphen/>
        <w:t>year term ensures operational resilience, supports supplier investment recovery, and aligns with industry</w:t>
      </w:r>
      <w:r w:rsidRPr="00347EC0">
        <w:noBreakHyphen/>
        <w:t>standard SOC and SIEM refresh cycles.</w:t>
      </w:r>
    </w:p>
    <w:p w14:paraId="18BEB1A6" w14:textId="77777777" w:rsidR="00482993" w:rsidRPr="00347EC0" w:rsidRDefault="00482993" w:rsidP="00482993">
      <w:r w:rsidRPr="00347EC0">
        <w:t>For these reasons, the authority considers that the nature of the SOC requirement — including hybrid SIEM operation, data migration, tool consolidation, and onboarding/offboarding complexity — necessitates a 7</w:t>
      </w:r>
      <w:r w:rsidRPr="00347EC0">
        <w:noBreakHyphen/>
        <w:t>year term, in accordance with Section 47(3) of the Procurement Act 2023.</w:t>
      </w:r>
    </w:p>
    <w:p w14:paraId="7622F14E" w14:textId="77777777" w:rsidR="00EF6B34" w:rsidRDefault="00EF6B34"/>
    <w:sectPr w:rsidR="00EF6B3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993"/>
    <w:rsid w:val="00482993"/>
    <w:rsid w:val="0066099B"/>
    <w:rsid w:val="00EF6B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07F7A"/>
  <w15:chartTrackingRefBased/>
  <w15:docId w15:val="{B7FD65C6-58FB-489E-9BF1-FD997CB2D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2993"/>
  </w:style>
  <w:style w:type="paragraph" w:styleId="Heading1">
    <w:name w:val="heading 1"/>
    <w:basedOn w:val="Normal"/>
    <w:next w:val="Normal"/>
    <w:link w:val="Heading1Char"/>
    <w:uiPriority w:val="9"/>
    <w:qFormat/>
    <w:rsid w:val="00482993"/>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482993"/>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482993"/>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482993"/>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482993"/>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4829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29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29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29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2993"/>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482993"/>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482993"/>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482993"/>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482993"/>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4829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29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29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2993"/>
    <w:rPr>
      <w:rFonts w:eastAsiaTheme="majorEastAsia" w:cstheme="majorBidi"/>
      <w:color w:val="272727" w:themeColor="text1" w:themeTint="D8"/>
    </w:rPr>
  </w:style>
  <w:style w:type="paragraph" w:styleId="Title">
    <w:name w:val="Title"/>
    <w:basedOn w:val="Normal"/>
    <w:next w:val="Normal"/>
    <w:link w:val="TitleChar"/>
    <w:uiPriority w:val="10"/>
    <w:qFormat/>
    <w:rsid w:val="004829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29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29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29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2993"/>
    <w:pPr>
      <w:spacing w:before="160"/>
      <w:jc w:val="center"/>
    </w:pPr>
    <w:rPr>
      <w:i/>
      <w:iCs/>
      <w:color w:val="404040" w:themeColor="text1" w:themeTint="BF"/>
    </w:rPr>
  </w:style>
  <w:style w:type="character" w:customStyle="1" w:styleId="QuoteChar">
    <w:name w:val="Quote Char"/>
    <w:basedOn w:val="DefaultParagraphFont"/>
    <w:link w:val="Quote"/>
    <w:uiPriority w:val="29"/>
    <w:rsid w:val="00482993"/>
    <w:rPr>
      <w:i/>
      <w:iCs/>
      <w:color w:val="404040" w:themeColor="text1" w:themeTint="BF"/>
    </w:rPr>
  </w:style>
  <w:style w:type="paragraph" w:styleId="ListParagraph">
    <w:name w:val="List Paragraph"/>
    <w:basedOn w:val="Normal"/>
    <w:uiPriority w:val="34"/>
    <w:qFormat/>
    <w:rsid w:val="00482993"/>
    <w:pPr>
      <w:ind w:left="720"/>
      <w:contextualSpacing/>
    </w:pPr>
  </w:style>
  <w:style w:type="character" w:styleId="IntenseEmphasis">
    <w:name w:val="Intense Emphasis"/>
    <w:basedOn w:val="DefaultParagraphFont"/>
    <w:uiPriority w:val="21"/>
    <w:qFormat/>
    <w:rsid w:val="00482993"/>
    <w:rPr>
      <w:i/>
      <w:iCs/>
      <w:color w:val="2E74B5" w:themeColor="accent1" w:themeShade="BF"/>
    </w:rPr>
  </w:style>
  <w:style w:type="paragraph" w:styleId="IntenseQuote">
    <w:name w:val="Intense Quote"/>
    <w:basedOn w:val="Normal"/>
    <w:next w:val="Normal"/>
    <w:link w:val="IntenseQuoteChar"/>
    <w:uiPriority w:val="30"/>
    <w:qFormat/>
    <w:rsid w:val="0048299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482993"/>
    <w:rPr>
      <w:i/>
      <w:iCs/>
      <w:color w:val="2E74B5" w:themeColor="accent1" w:themeShade="BF"/>
    </w:rPr>
  </w:style>
  <w:style w:type="character" w:styleId="IntenseReference">
    <w:name w:val="Intense Reference"/>
    <w:basedOn w:val="DefaultParagraphFont"/>
    <w:uiPriority w:val="32"/>
    <w:qFormat/>
    <w:rsid w:val="00482993"/>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375</Words>
  <Characters>2139</Characters>
  <Application>Microsoft Office Word</Application>
  <DocSecurity>0</DocSecurity>
  <Lines>17</Lines>
  <Paragraphs>5</Paragraphs>
  <ScaleCrop>false</ScaleCrop>
  <Company>MTCBC</Company>
  <LinksUpToDate>false</LinksUpToDate>
  <CharactersWithSpaces>2509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Wiggins, Stuart</dc:creator>
  <cp:keywords/>
  <dc:description/>
  <cp:lastModifiedBy>Wiggins, Stuart</cp:lastModifiedBy>
  <cp:revision>1</cp:revision>
  <dcterms:created xsi:type="dcterms:W3CDTF">2026-10-01T15:00:00Z</dcterms:created>
  <dcterms:modified xsi:type="dcterms:W3CDTF">2026-10-01T15:01:00Z</dcterms:modified>
</cp:coreProperties>
</file>