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B3C1D" w:rsidRDefault="00D44EE8" w14:paraId="696596FB" w14:textId="35541ACB">
      <w:r>
        <w:rPr>
          <w:noProof/>
        </w:rPr>
        <w:drawing>
          <wp:anchor distT="0" distB="0" distL="114300" distR="114300" simplePos="0" relativeHeight="251658240" behindDoc="0" locked="0" layoutInCell="1" allowOverlap="1" wp14:anchorId="489E6C43" wp14:editId="3794DB95">
            <wp:simplePos x="0" y="0"/>
            <wp:positionH relativeFrom="margin">
              <wp:align>left</wp:align>
            </wp:positionH>
            <wp:positionV relativeFrom="paragraph">
              <wp:posOffset>-591037</wp:posOffset>
            </wp:positionV>
            <wp:extent cx="3275330" cy="1165225"/>
            <wp:effectExtent l="0" t="0" r="1270" b="0"/>
            <wp:wrapNone/>
            <wp:docPr id="330999289" name="Picture 33099928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5330" cy="1165225"/>
                    </a:xfrm>
                    <a:prstGeom prst="rect">
                      <a:avLst/>
                    </a:prstGeom>
                  </pic:spPr>
                </pic:pic>
              </a:graphicData>
            </a:graphic>
            <wp14:sizeRelH relativeFrom="page">
              <wp14:pctWidth>0</wp14:pctWidth>
            </wp14:sizeRelH>
            <wp14:sizeRelV relativeFrom="page">
              <wp14:pctHeight>0</wp14:pctHeight>
            </wp14:sizeRelV>
          </wp:anchor>
        </w:drawing>
      </w:r>
    </w:p>
    <w:p w:rsidRPr="00530856" w:rsidR="00530856" w:rsidP="00530856" w:rsidRDefault="00530856" w14:paraId="02613637" w14:textId="77777777"/>
    <w:p w:rsidRPr="00530856" w:rsidR="00530856" w:rsidP="00530856" w:rsidRDefault="00530856" w14:paraId="584D8DBC" w14:textId="77777777"/>
    <w:p w:rsidRPr="00530856" w:rsidR="00530856" w:rsidP="00530856" w:rsidRDefault="00530856" w14:paraId="5C18B979" w14:textId="358781EE"/>
    <w:p w:rsidRPr="00530856" w:rsidR="00530856" w:rsidP="00530856" w:rsidRDefault="00AE1207" w14:paraId="29E5A328" w14:textId="2A906486">
      <w:r>
        <w:rPr>
          <w:rFonts w:ascii="Aptos Display" w:hAnsi="Aptos Display" w:cs="LilyUPC"/>
          <w:b/>
          <w:bCs/>
          <w:noProof/>
          <w:color w:val="4472C4" w:themeColor="accent1"/>
          <w:sz w:val="54"/>
          <w:szCs w:val="54"/>
        </w:rPr>
        <mc:AlternateContent>
          <mc:Choice Requires="wps">
            <w:drawing>
              <wp:anchor distT="0" distB="0" distL="114300" distR="114300" simplePos="0" relativeHeight="251658241" behindDoc="0" locked="0" layoutInCell="1" allowOverlap="1" wp14:anchorId="48EC4069" wp14:editId="2D9AF080">
                <wp:simplePos x="0" y="0"/>
                <wp:positionH relativeFrom="margin">
                  <wp:posOffset>-425450</wp:posOffset>
                </wp:positionH>
                <wp:positionV relativeFrom="paragraph">
                  <wp:posOffset>185486</wp:posOffset>
                </wp:positionV>
                <wp:extent cx="5322570" cy="3830955"/>
                <wp:effectExtent l="0" t="0" r="0" b="0"/>
                <wp:wrapNone/>
                <wp:docPr id="971966599" name="Text Box 971966599"/>
                <wp:cNvGraphicFramePr/>
                <a:graphic xmlns:a="http://schemas.openxmlformats.org/drawingml/2006/main">
                  <a:graphicData uri="http://schemas.microsoft.com/office/word/2010/wordprocessingShape">
                    <wps:wsp>
                      <wps:cNvSpPr txBox="1"/>
                      <wps:spPr>
                        <a:xfrm>
                          <a:off x="0" y="0"/>
                          <a:ext cx="5322570" cy="3830955"/>
                        </a:xfrm>
                        <a:prstGeom prst="rect">
                          <a:avLst/>
                        </a:prstGeom>
                        <a:noFill/>
                        <a:ln w="6350">
                          <a:noFill/>
                        </a:ln>
                      </wps:spPr>
                      <wps:txbx>
                        <w:txbxContent>
                          <w:p w:rsidRPr="00530856" w:rsidR="00530856" w:rsidP="00530856" w:rsidRDefault="00530856" w14:paraId="39E81177" w14:textId="18CFFBE6">
                            <w:pPr>
                              <w:rPr>
                                <w:rFonts w:ascii="Montserrat" w:hAnsi="Montserrat" w:cs="LilyUPC"/>
                                <w:b/>
                                <w:bCs/>
                                <w:sz w:val="54"/>
                                <w:szCs w:val="54"/>
                                <w:shd w:val="clear" w:color="auto" w:fill="FFFFFF"/>
                              </w:rPr>
                            </w:pPr>
                            <w:r w:rsidRPr="001D21F4">
                              <w:rPr>
                                <w:rFonts w:ascii="Montserrat" w:hAnsi="Montserrat" w:cs="LilyUPC"/>
                                <w:b/>
                                <w:bCs/>
                                <w:sz w:val="54"/>
                                <w:szCs w:val="54"/>
                                <w:shd w:val="clear" w:color="auto" w:fill="FFFFFF"/>
                              </w:rPr>
                              <w:t xml:space="preserve">Invitation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 xml:space="preserve">o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ender</w:t>
                            </w:r>
                          </w:p>
                          <w:p w:rsidR="000F0FF6" w:rsidP="000F0FF6" w:rsidRDefault="000F0FF6" w14:paraId="4B4ECD19" w14:textId="77777777">
                            <w:pPr>
                              <w:rPr>
                                <w:rFonts w:ascii="Montserrat" w:hAnsi="Montserrat" w:cs="LilyUPC"/>
                                <w:b/>
                                <w:bCs/>
                                <w:caps/>
                                <w:sz w:val="54"/>
                                <w:szCs w:val="54"/>
                                <w:shd w:val="clear" w:color="auto" w:fill="FFFFFF"/>
                              </w:rPr>
                            </w:pPr>
                            <w:r w:rsidRPr="00D3731D">
                              <w:rPr>
                                <w:rFonts w:ascii="Montserrat" w:hAnsi="Montserrat" w:cs="LilyUPC"/>
                                <w:b/>
                                <w:bCs/>
                                <w:caps/>
                                <w:sz w:val="54"/>
                                <w:szCs w:val="54"/>
                                <w:shd w:val="clear" w:color="auto" w:fill="FFFFFF"/>
                              </w:rPr>
                              <w:t xml:space="preserve">BSS24005 </w:t>
                            </w:r>
                            <w:r>
                              <w:rPr>
                                <w:rFonts w:ascii="Montserrat" w:hAnsi="Montserrat" w:cs="LilyUPC"/>
                                <w:b/>
                                <w:bCs/>
                                <w:caps/>
                                <w:sz w:val="54"/>
                                <w:szCs w:val="54"/>
                                <w:shd w:val="clear" w:color="auto" w:fill="FFFFFF"/>
                              </w:rPr>
                              <w:t>–</w:t>
                            </w:r>
                            <w:r w:rsidRPr="00D3731D">
                              <w:rPr>
                                <w:rFonts w:ascii="Montserrat" w:hAnsi="Montserrat" w:cs="LilyUPC"/>
                                <w:b/>
                                <w:bCs/>
                                <w:caps/>
                                <w:sz w:val="54"/>
                                <w:szCs w:val="54"/>
                                <w:shd w:val="clear" w:color="auto" w:fill="FFFFFF"/>
                              </w:rPr>
                              <w:t xml:space="preserve"> </w:t>
                            </w:r>
                            <w:r>
                              <w:rPr>
                                <w:rFonts w:ascii="Montserrat" w:hAnsi="Montserrat" w:cs="LilyUPC"/>
                                <w:b/>
                                <w:bCs/>
                                <w:caps/>
                                <w:sz w:val="54"/>
                                <w:szCs w:val="54"/>
                                <w:shd w:val="clear" w:color="auto" w:fill="FFFFFF"/>
                              </w:rPr>
                              <w:t>Works of adapations (WOA)</w:t>
                            </w:r>
                          </w:p>
                          <w:p w:rsidR="00530856" w:rsidP="00530856" w:rsidRDefault="00530856" w14:paraId="7F46C174" w14:textId="77777777">
                            <w:pPr>
                              <w:rPr>
                                <w:rFonts w:ascii="Aptos" w:hAnsi="Aptos"/>
                                <w:b/>
                                <w:bCs/>
                                <w:sz w:val="36"/>
                                <w:szCs w:val="36"/>
                              </w:rPr>
                            </w:pPr>
                            <w:r w:rsidRPr="00D0776C">
                              <w:rPr>
                                <w:rFonts w:ascii="Aptos" w:hAnsi="Aptos"/>
                                <w:b/>
                                <w:bCs/>
                                <w:sz w:val="36"/>
                                <w:szCs w:val="36"/>
                              </w:rPr>
                              <w:t>Return Deadline</w:t>
                            </w:r>
                            <w:r>
                              <w:rPr>
                                <w:rFonts w:ascii="Aptos" w:hAnsi="Aptos"/>
                                <w:b/>
                                <w:bCs/>
                                <w:sz w:val="36"/>
                                <w:szCs w:val="36"/>
                              </w:rPr>
                              <w:t xml:space="preserve">: </w:t>
                            </w:r>
                          </w:p>
                          <w:p w:rsidRPr="00D0776C" w:rsidR="00530856" w:rsidP="00492C9D" w:rsidRDefault="00CC5089" w14:paraId="58787C6B" w14:textId="31033B24">
                            <w:pPr>
                              <w:rPr>
                                <w:rFonts w:ascii="Aptos" w:hAnsi="Aptos"/>
                                <w:sz w:val="36"/>
                                <w:szCs w:val="36"/>
                              </w:rPr>
                            </w:pPr>
                            <w:r>
                              <w:rPr>
                                <w:rFonts w:ascii="Aptos" w:hAnsi="Aptos"/>
                                <w:sz w:val="36"/>
                                <w:szCs w:val="36"/>
                              </w:rPr>
                              <w:t>06</w:t>
                            </w:r>
                            <w:r w:rsidRPr="00492C9D" w:rsidR="00492C9D">
                              <w:rPr>
                                <w:rFonts w:ascii="Aptos" w:hAnsi="Aptos"/>
                                <w:sz w:val="36"/>
                                <w:szCs w:val="36"/>
                              </w:rPr>
                              <w:t>/</w:t>
                            </w:r>
                            <w:r>
                              <w:rPr>
                                <w:rFonts w:ascii="Aptos" w:hAnsi="Aptos"/>
                                <w:sz w:val="36"/>
                                <w:szCs w:val="36"/>
                              </w:rPr>
                              <w:t>10</w:t>
                            </w:r>
                            <w:r w:rsidRPr="00492C9D" w:rsidR="00492C9D">
                              <w:rPr>
                                <w:rFonts w:ascii="Aptos" w:hAnsi="Aptos"/>
                                <w:sz w:val="36"/>
                                <w:szCs w:val="36"/>
                              </w:rPr>
                              <w:t>/2025 12.00 (noon)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48EC4069">
                <v:stroke joinstyle="miter"/>
                <v:path gradientshapeok="t" o:connecttype="rect"/>
              </v:shapetype>
              <v:shape id="Text Box 971966599" style="position:absolute;margin-left:-33.5pt;margin-top:14.6pt;width:419.1pt;height:301.6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">
                <v:textbox>
                  <w:txbxContent>
                    <w:p w:rsidRPr="00530856" w:rsidR="00530856" w:rsidP="00530856" w:rsidRDefault="00530856" w14:paraId="39E81177" w14:textId="18CFFBE6">
                      <w:pPr>
                        <w:rPr>
                          <w:rFonts w:ascii="Montserrat" w:hAnsi="Montserrat" w:cs="LilyUPC"/>
                          <w:b/>
                          <w:bCs/>
                          <w:sz w:val="54"/>
                          <w:szCs w:val="54"/>
                          <w:shd w:val="clear" w:color="auto" w:fill="FFFFFF"/>
                        </w:rPr>
                      </w:pPr>
                      <w:r w:rsidRPr="001D21F4">
                        <w:rPr>
                          <w:rFonts w:ascii="Montserrat" w:hAnsi="Montserrat" w:cs="LilyUPC"/>
                          <w:b/>
                          <w:bCs/>
                          <w:sz w:val="54"/>
                          <w:szCs w:val="54"/>
                          <w:shd w:val="clear" w:color="auto" w:fill="FFFFFF"/>
                        </w:rPr>
                        <w:t xml:space="preserve">Invitation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 xml:space="preserve">o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ender</w:t>
                      </w:r>
                    </w:p>
                    <w:p w:rsidR="000F0FF6" w:rsidP="000F0FF6" w:rsidRDefault="000F0FF6" w14:paraId="4B4ECD19" w14:textId="77777777">
                      <w:pPr>
                        <w:rPr>
                          <w:rFonts w:ascii="Montserrat" w:hAnsi="Montserrat" w:cs="LilyUPC"/>
                          <w:b/>
                          <w:bCs/>
                          <w:caps/>
                          <w:sz w:val="54"/>
                          <w:szCs w:val="54"/>
                          <w:shd w:val="clear" w:color="auto" w:fill="FFFFFF"/>
                        </w:rPr>
                      </w:pPr>
                      <w:r w:rsidRPr="00D3731D">
                        <w:rPr>
                          <w:rFonts w:ascii="Montserrat" w:hAnsi="Montserrat" w:cs="LilyUPC"/>
                          <w:b/>
                          <w:bCs/>
                          <w:caps/>
                          <w:sz w:val="54"/>
                          <w:szCs w:val="54"/>
                          <w:shd w:val="clear" w:color="auto" w:fill="FFFFFF"/>
                        </w:rPr>
                        <w:t xml:space="preserve">BSS24005 </w:t>
                      </w:r>
                      <w:r>
                        <w:rPr>
                          <w:rFonts w:ascii="Montserrat" w:hAnsi="Montserrat" w:cs="LilyUPC"/>
                          <w:b/>
                          <w:bCs/>
                          <w:caps/>
                          <w:sz w:val="54"/>
                          <w:szCs w:val="54"/>
                          <w:shd w:val="clear" w:color="auto" w:fill="FFFFFF"/>
                        </w:rPr>
                        <w:t>–</w:t>
                      </w:r>
                      <w:r w:rsidRPr="00D3731D">
                        <w:rPr>
                          <w:rFonts w:ascii="Montserrat" w:hAnsi="Montserrat" w:cs="LilyUPC"/>
                          <w:b/>
                          <w:bCs/>
                          <w:caps/>
                          <w:sz w:val="54"/>
                          <w:szCs w:val="54"/>
                          <w:shd w:val="clear" w:color="auto" w:fill="FFFFFF"/>
                        </w:rPr>
                        <w:t xml:space="preserve"> </w:t>
                      </w:r>
                      <w:r>
                        <w:rPr>
                          <w:rFonts w:ascii="Montserrat" w:hAnsi="Montserrat" w:cs="LilyUPC"/>
                          <w:b/>
                          <w:bCs/>
                          <w:caps/>
                          <w:sz w:val="54"/>
                          <w:szCs w:val="54"/>
                          <w:shd w:val="clear" w:color="auto" w:fill="FFFFFF"/>
                        </w:rPr>
                        <w:t>Works of adapations (WOA)</w:t>
                      </w:r>
                    </w:p>
                    <w:p w:rsidR="00530856" w:rsidP="00530856" w:rsidRDefault="00530856" w14:paraId="7F46C174" w14:textId="77777777">
                      <w:pPr>
                        <w:rPr>
                          <w:rFonts w:ascii="Aptos" w:hAnsi="Aptos"/>
                          <w:b/>
                          <w:bCs/>
                          <w:sz w:val="36"/>
                          <w:szCs w:val="36"/>
                        </w:rPr>
                      </w:pPr>
                      <w:r w:rsidRPr="00D0776C">
                        <w:rPr>
                          <w:rFonts w:ascii="Aptos" w:hAnsi="Aptos"/>
                          <w:b/>
                          <w:bCs/>
                          <w:sz w:val="36"/>
                          <w:szCs w:val="36"/>
                        </w:rPr>
                        <w:t>Return Deadline</w:t>
                      </w:r>
                      <w:r>
                        <w:rPr>
                          <w:rFonts w:ascii="Aptos" w:hAnsi="Aptos"/>
                          <w:b/>
                          <w:bCs/>
                          <w:sz w:val="36"/>
                          <w:szCs w:val="36"/>
                        </w:rPr>
                        <w:t xml:space="preserve">: </w:t>
                      </w:r>
                    </w:p>
                    <w:p w:rsidRPr="00D0776C" w:rsidR="00530856" w:rsidP="00492C9D" w:rsidRDefault="00CC5089" w14:paraId="58787C6B" w14:textId="31033B24">
                      <w:pPr>
                        <w:rPr>
                          <w:rFonts w:ascii="Aptos" w:hAnsi="Aptos"/>
                          <w:sz w:val="36"/>
                          <w:szCs w:val="36"/>
                        </w:rPr>
                      </w:pPr>
                      <w:r>
                        <w:rPr>
                          <w:rFonts w:ascii="Aptos" w:hAnsi="Aptos"/>
                          <w:sz w:val="36"/>
                          <w:szCs w:val="36"/>
                        </w:rPr>
                        <w:t>06</w:t>
                      </w:r>
                      <w:r w:rsidRPr="00492C9D" w:rsidR="00492C9D">
                        <w:rPr>
                          <w:rFonts w:ascii="Aptos" w:hAnsi="Aptos"/>
                          <w:sz w:val="36"/>
                          <w:szCs w:val="36"/>
                        </w:rPr>
                        <w:t>/</w:t>
                      </w:r>
                      <w:r>
                        <w:rPr>
                          <w:rFonts w:ascii="Aptos" w:hAnsi="Aptos"/>
                          <w:sz w:val="36"/>
                          <w:szCs w:val="36"/>
                        </w:rPr>
                        <w:t>10</w:t>
                      </w:r>
                      <w:r w:rsidRPr="00492C9D" w:rsidR="00492C9D">
                        <w:rPr>
                          <w:rFonts w:ascii="Aptos" w:hAnsi="Aptos"/>
                          <w:sz w:val="36"/>
                          <w:szCs w:val="36"/>
                        </w:rPr>
                        <w:t>/2025 12.00 (noon)</w:t>
                      </w:r>
                    </w:p>
                  </w:txbxContent>
                </v:textbox>
                <w10:wrap anchorx="margin"/>
              </v:shape>
            </w:pict>
          </mc:Fallback>
        </mc:AlternateContent>
      </w:r>
    </w:p>
    <w:p w:rsidRPr="00530856" w:rsidR="00530856" w:rsidP="00530856" w:rsidRDefault="00530856" w14:paraId="46575BD3" w14:textId="625A5AEC"/>
    <w:p w:rsidRPr="00530856" w:rsidR="00530856" w:rsidP="00530856" w:rsidRDefault="00530856" w14:paraId="328936B0" w14:textId="3C9515C3"/>
    <w:p w:rsidRPr="00530856" w:rsidR="00530856" w:rsidP="00530856" w:rsidRDefault="00530856" w14:paraId="0CD91D3B" w14:textId="77777777"/>
    <w:p w:rsidRPr="00530856" w:rsidR="00530856" w:rsidP="00530856" w:rsidRDefault="00530856" w14:paraId="29179B0B" w14:textId="77777777"/>
    <w:p w:rsidR="00530856" w:rsidP="00530856" w:rsidRDefault="00530856" w14:paraId="3952DA8F" w14:textId="23EA8CF3">
      <w:pPr>
        <w:tabs>
          <w:tab w:val="left" w:pos="7237"/>
        </w:tabs>
        <w:sectPr w:rsidR="00530856" w:rsidSect="00D44EE8">
          <w:headerReference w:type="default" r:id="rId12"/>
          <w:footerReference w:type="default" r:id="rId13"/>
          <w:headerReference w:type="first" r:id="rId14"/>
          <w:footerReference w:type="first" r:id="rId15"/>
          <w:pgSz w:w="11906" w:h="16838" w:orient="portrait"/>
          <w:pgMar w:top="1440" w:right="1440" w:bottom="1440" w:left="1440" w:header="708" w:footer="708" w:gutter="0"/>
          <w:cols w:space="708"/>
          <w:titlePg/>
          <w:docGrid w:linePitch="360"/>
        </w:sectPr>
      </w:pPr>
    </w:p>
    <w:sdt>
      <w:sdtPr>
        <w:id w:val="917597012"/>
        <w:docPartObj>
          <w:docPartGallery w:val="Table of Contents"/>
          <w:docPartUnique/>
        </w:docPartObj>
      </w:sdtPr>
      <w:sdtContent>
        <w:p w:rsidR="00070406" w:rsidRDefault="00070406" w14:paraId="0E40AA34" w14:textId="1A44A8B5" w14:noSpellErr="1">
          <w:pPr>
            <w:pStyle w:val="TOCHeading"/>
          </w:pPr>
          <w:r w:rsidR="00070406">
            <w:rPr/>
            <w:t>Contents</w:t>
          </w:r>
        </w:p>
        <w:p w:rsidR="00492C9D" w:rsidP="1871EEFA" w:rsidRDefault="00F86394" w14:paraId="71DB73CA" w14:textId="11F0DD26">
          <w:pPr>
            <w:pStyle w:val="TOC1"/>
            <w:tabs>
              <w:tab w:val="left" w:leader="none" w:pos="435"/>
              <w:tab w:val="right" w:leader="dot" w:pos="9015"/>
            </w:tabs>
            <w:rPr>
              <w:rStyle w:val="Hyperlink"/>
              <w:noProof/>
              <w:kern w:val="2"/>
              <w:lang w:eastAsia="en-GB"/>
              <w14:ligatures w14:val="standardContextual"/>
            </w:rPr>
          </w:pPr>
          <w:r>
            <w:fldChar w:fldCharType="begin"/>
          </w:r>
          <w:r>
            <w:instrText xml:space="preserve">TOC \o "1-3" \z \u \h</w:instrText>
          </w:r>
          <w:r>
            <w:fldChar w:fldCharType="separate"/>
          </w:r>
          <w:hyperlink w:anchor="_Toc2113445748">
            <w:r w:rsidRPr="1871EEFA" w:rsidR="1871EEFA">
              <w:rPr>
                <w:rStyle w:val="Hyperlink"/>
              </w:rPr>
              <w:t>1.</w:t>
            </w:r>
            <w:r>
              <w:tab/>
            </w:r>
            <w:r w:rsidRPr="1871EEFA" w:rsidR="1871EEFA">
              <w:rPr>
                <w:rStyle w:val="Hyperlink"/>
              </w:rPr>
              <w:t>Tender Overview</w:t>
            </w:r>
            <w:r>
              <w:tab/>
            </w:r>
            <w:r>
              <w:fldChar w:fldCharType="begin"/>
            </w:r>
            <w:r>
              <w:instrText xml:space="preserve">PAGEREF _Toc2113445748 \h</w:instrText>
            </w:r>
            <w:r>
              <w:fldChar w:fldCharType="separate"/>
            </w:r>
            <w:r w:rsidRPr="1871EEFA" w:rsidR="1871EEFA">
              <w:rPr>
                <w:rStyle w:val="Hyperlink"/>
              </w:rPr>
              <w:t>2</w:t>
            </w:r>
            <w:r>
              <w:fldChar w:fldCharType="end"/>
            </w:r>
          </w:hyperlink>
        </w:p>
        <w:p w:rsidR="00492C9D" w:rsidP="1871EEFA" w:rsidRDefault="00492C9D" w14:paraId="0AF5F8F5" w14:textId="719802EE">
          <w:pPr>
            <w:pStyle w:val="TOC2"/>
            <w:tabs>
              <w:tab w:val="left" w:leader="none" w:pos="660"/>
              <w:tab w:val="right" w:leader="dot" w:pos="9015"/>
            </w:tabs>
            <w:rPr>
              <w:rStyle w:val="Hyperlink"/>
              <w:noProof/>
              <w:kern w:val="2"/>
              <w:lang w:eastAsia="en-GB"/>
              <w14:ligatures w14:val="standardContextual"/>
            </w:rPr>
          </w:pPr>
          <w:hyperlink w:anchor="_Toc181702411">
            <w:r w:rsidRPr="1871EEFA" w:rsidR="1871EEFA">
              <w:rPr>
                <w:rStyle w:val="Hyperlink"/>
              </w:rPr>
              <w:t>1.1.</w:t>
            </w:r>
            <w:r>
              <w:tab/>
            </w:r>
            <w:r w:rsidRPr="1871EEFA" w:rsidR="1871EEFA">
              <w:rPr>
                <w:rStyle w:val="Hyperlink"/>
              </w:rPr>
              <w:t>Tender Brief</w:t>
            </w:r>
            <w:r>
              <w:tab/>
            </w:r>
            <w:r>
              <w:fldChar w:fldCharType="begin"/>
            </w:r>
            <w:r>
              <w:instrText xml:space="preserve">PAGEREF _Toc181702411 \h</w:instrText>
            </w:r>
            <w:r>
              <w:fldChar w:fldCharType="separate"/>
            </w:r>
            <w:r w:rsidRPr="1871EEFA" w:rsidR="1871EEFA">
              <w:rPr>
                <w:rStyle w:val="Hyperlink"/>
              </w:rPr>
              <w:t>3</w:t>
            </w:r>
            <w:r>
              <w:fldChar w:fldCharType="end"/>
            </w:r>
          </w:hyperlink>
        </w:p>
        <w:p w:rsidR="00492C9D" w:rsidP="1871EEFA" w:rsidRDefault="00492C9D" w14:paraId="195C8A20" w14:textId="27512C93">
          <w:pPr>
            <w:pStyle w:val="TOC2"/>
            <w:tabs>
              <w:tab w:val="left" w:leader="none" w:pos="660"/>
              <w:tab w:val="right" w:leader="dot" w:pos="9015"/>
            </w:tabs>
            <w:rPr>
              <w:rStyle w:val="Hyperlink"/>
              <w:noProof/>
              <w:kern w:val="2"/>
              <w:lang w:eastAsia="en-GB"/>
              <w14:ligatures w14:val="standardContextual"/>
            </w:rPr>
          </w:pPr>
          <w:hyperlink w:anchor="_Toc1295862485">
            <w:r w:rsidRPr="1871EEFA" w:rsidR="1871EEFA">
              <w:rPr>
                <w:rStyle w:val="Hyperlink"/>
              </w:rPr>
              <w:t>1.2.</w:t>
            </w:r>
            <w:r>
              <w:tab/>
            </w:r>
            <w:r w:rsidRPr="1871EEFA" w:rsidR="1871EEFA">
              <w:rPr>
                <w:rStyle w:val="Hyperlink"/>
              </w:rPr>
              <w:t>Indicative Timetable</w:t>
            </w:r>
            <w:r>
              <w:tab/>
            </w:r>
            <w:r>
              <w:fldChar w:fldCharType="begin"/>
            </w:r>
            <w:r>
              <w:instrText xml:space="preserve">PAGEREF _Toc1295862485 \h</w:instrText>
            </w:r>
            <w:r>
              <w:fldChar w:fldCharType="separate"/>
            </w:r>
            <w:r w:rsidRPr="1871EEFA" w:rsidR="1871EEFA">
              <w:rPr>
                <w:rStyle w:val="Hyperlink"/>
              </w:rPr>
              <w:t>3</w:t>
            </w:r>
            <w:r>
              <w:fldChar w:fldCharType="end"/>
            </w:r>
          </w:hyperlink>
        </w:p>
        <w:p w:rsidR="00492C9D" w:rsidP="1871EEFA" w:rsidRDefault="00492C9D" w14:paraId="0E2BAD2B" w14:textId="7686E5AE">
          <w:pPr>
            <w:pStyle w:val="TOC2"/>
            <w:tabs>
              <w:tab w:val="left" w:leader="none" w:pos="660"/>
              <w:tab w:val="right" w:leader="dot" w:pos="9015"/>
            </w:tabs>
            <w:rPr>
              <w:rStyle w:val="Hyperlink"/>
              <w:noProof/>
              <w:kern w:val="2"/>
              <w:lang w:eastAsia="en-GB"/>
              <w14:ligatures w14:val="standardContextual"/>
            </w:rPr>
          </w:pPr>
          <w:hyperlink w:anchor="_Toc395599568">
            <w:r w:rsidRPr="1871EEFA" w:rsidR="1871EEFA">
              <w:rPr>
                <w:rStyle w:val="Hyperlink"/>
              </w:rPr>
              <w:t>1.3.</w:t>
            </w:r>
            <w:r>
              <w:tab/>
            </w:r>
            <w:r w:rsidRPr="1871EEFA" w:rsidR="1871EEFA">
              <w:rPr>
                <w:rStyle w:val="Hyperlink"/>
              </w:rPr>
              <w:t>Introduction to Barcud Shared Services</w:t>
            </w:r>
            <w:r>
              <w:tab/>
            </w:r>
            <w:r>
              <w:fldChar w:fldCharType="begin"/>
            </w:r>
            <w:r>
              <w:instrText xml:space="preserve">PAGEREF _Toc395599568 \h</w:instrText>
            </w:r>
            <w:r>
              <w:fldChar w:fldCharType="separate"/>
            </w:r>
            <w:r w:rsidRPr="1871EEFA" w:rsidR="1871EEFA">
              <w:rPr>
                <w:rStyle w:val="Hyperlink"/>
              </w:rPr>
              <w:t>3</w:t>
            </w:r>
            <w:r>
              <w:fldChar w:fldCharType="end"/>
            </w:r>
          </w:hyperlink>
        </w:p>
        <w:p w:rsidR="00492C9D" w:rsidP="1871EEFA" w:rsidRDefault="00492C9D" w14:paraId="3C9EFF4C" w14:textId="6D39E099">
          <w:pPr>
            <w:pStyle w:val="TOC1"/>
            <w:tabs>
              <w:tab w:val="left" w:leader="none" w:pos="435"/>
              <w:tab w:val="right" w:leader="dot" w:pos="9015"/>
            </w:tabs>
            <w:rPr>
              <w:rStyle w:val="Hyperlink"/>
              <w:noProof/>
              <w:kern w:val="2"/>
              <w:lang w:eastAsia="en-GB"/>
              <w14:ligatures w14:val="standardContextual"/>
            </w:rPr>
          </w:pPr>
          <w:hyperlink w:anchor="_Toc423577699">
            <w:r w:rsidRPr="1871EEFA" w:rsidR="1871EEFA">
              <w:rPr>
                <w:rStyle w:val="Hyperlink"/>
              </w:rPr>
              <w:t>2.</w:t>
            </w:r>
            <w:r>
              <w:tab/>
            </w:r>
            <w:r w:rsidRPr="1871EEFA" w:rsidR="1871EEFA">
              <w:rPr>
                <w:rStyle w:val="Hyperlink"/>
              </w:rPr>
              <w:t>Tender Guidance</w:t>
            </w:r>
            <w:r>
              <w:tab/>
            </w:r>
            <w:r>
              <w:fldChar w:fldCharType="begin"/>
            </w:r>
            <w:r>
              <w:instrText xml:space="preserve">PAGEREF _Toc423577699 \h</w:instrText>
            </w:r>
            <w:r>
              <w:fldChar w:fldCharType="separate"/>
            </w:r>
            <w:r w:rsidRPr="1871EEFA" w:rsidR="1871EEFA">
              <w:rPr>
                <w:rStyle w:val="Hyperlink"/>
              </w:rPr>
              <w:t>4</w:t>
            </w:r>
            <w:r>
              <w:fldChar w:fldCharType="end"/>
            </w:r>
          </w:hyperlink>
        </w:p>
        <w:p w:rsidR="00492C9D" w:rsidP="1871EEFA" w:rsidRDefault="00492C9D" w14:paraId="3AB4D4AF" w14:textId="44165F39">
          <w:pPr>
            <w:pStyle w:val="TOC2"/>
            <w:tabs>
              <w:tab w:val="left" w:leader="none" w:pos="660"/>
              <w:tab w:val="right" w:leader="dot" w:pos="9015"/>
            </w:tabs>
            <w:rPr>
              <w:rStyle w:val="Hyperlink"/>
              <w:noProof/>
              <w:kern w:val="2"/>
              <w:lang w:eastAsia="en-GB"/>
              <w14:ligatures w14:val="standardContextual"/>
            </w:rPr>
          </w:pPr>
          <w:hyperlink w:anchor="_Toc726475698">
            <w:r w:rsidRPr="1871EEFA" w:rsidR="1871EEFA">
              <w:rPr>
                <w:rStyle w:val="Hyperlink"/>
              </w:rPr>
              <w:t>2.1.</w:t>
            </w:r>
            <w:r>
              <w:tab/>
            </w:r>
            <w:r w:rsidRPr="1871EEFA" w:rsidR="1871EEFA">
              <w:rPr>
                <w:rStyle w:val="Hyperlink"/>
              </w:rPr>
              <w:t>Instructions to Tenderers</w:t>
            </w:r>
            <w:r>
              <w:tab/>
            </w:r>
            <w:r>
              <w:fldChar w:fldCharType="begin"/>
            </w:r>
            <w:r>
              <w:instrText xml:space="preserve">PAGEREF _Toc726475698 \h</w:instrText>
            </w:r>
            <w:r>
              <w:fldChar w:fldCharType="separate"/>
            </w:r>
            <w:r w:rsidRPr="1871EEFA" w:rsidR="1871EEFA">
              <w:rPr>
                <w:rStyle w:val="Hyperlink"/>
              </w:rPr>
              <w:t>5</w:t>
            </w:r>
            <w:r>
              <w:fldChar w:fldCharType="end"/>
            </w:r>
          </w:hyperlink>
        </w:p>
        <w:p w:rsidR="00492C9D" w:rsidP="1871EEFA" w:rsidRDefault="00492C9D" w14:paraId="465021C1" w14:textId="65D1DFC8">
          <w:pPr>
            <w:pStyle w:val="TOC2"/>
            <w:tabs>
              <w:tab w:val="left" w:leader="none" w:pos="660"/>
              <w:tab w:val="right" w:leader="dot" w:pos="9015"/>
            </w:tabs>
            <w:rPr>
              <w:rStyle w:val="Hyperlink"/>
              <w:noProof/>
              <w:kern w:val="2"/>
              <w:lang w:eastAsia="en-GB"/>
              <w14:ligatures w14:val="standardContextual"/>
            </w:rPr>
          </w:pPr>
          <w:hyperlink w:anchor="_Toc133313767">
            <w:r w:rsidRPr="1871EEFA" w:rsidR="1871EEFA">
              <w:rPr>
                <w:rStyle w:val="Hyperlink"/>
              </w:rPr>
              <w:t>2.2.</w:t>
            </w:r>
            <w:r>
              <w:tab/>
            </w:r>
            <w:r w:rsidRPr="1871EEFA" w:rsidR="1871EEFA">
              <w:rPr>
                <w:rStyle w:val="Hyperlink"/>
              </w:rPr>
              <w:t>Preparation of Tender</w:t>
            </w:r>
            <w:r>
              <w:tab/>
            </w:r>
            <w:r>
              <w:fldChar w:fldCharType="begin"/>
            </w:r>
            <w:r>
              <w:instrText xml:space="preserve">PAGEREF _Toc133313767 \h</w:instrText>
            </w:r>
            <w:r>
              <w:fldChar w:fldCharType="separate"/>
            </w:r>
            <w:r w:rsidRPr="1871EEFA" w:rsidR="1871EEFA">
              <w:rPr>
                <w:rStyle w:val="Hyperlink"/>
              </w:rPr>
              <w:t>6</w:t>
            </w:r>
            <w:r>
              <w:fldChar w:fldCharType="end"/>
            </w:r>
          </w:hyperlink>
        </w:p>
        <w:p w:rsidR="00492C9D" w:rsidP="1871EEFA" w:rsidRDefault="00492C9D" w14:paraId="0B2BBD56" w14:textId="7EF7E250">
          <w:pPr>
            <w:pStyle w:val="TOC2"/>
            <w:tabs>
              <w:tab w:val="left" w:leader="none" w:pos="660"/>
              <w:tab w:val="right" w:leader="dot" w:pos="9015"/>
            </w:tabs>
            <w:rPr>
              <w:rStyle w:val="Hyperlink"/>
              <w:noProof/>
              <w:kern w:val="2"/>
              <w:lang w:eastAsia="en-GB"/>
              <w14:ligatures w14:val="standardContextual"/>
            </w:rPr>
          </w:pPr>
          <w:hyperlink w:anchor="_Toc2002682659">
            <w:r w:rsidRPr="1871EEFA" w:rsidR="1871EEFA">
              <w:rPr>
                <w:rStyle w:val="Hyperlink"/>
              </w:rPr>
              <w:t>2.3.</w:t>
            </w:r>
            <w:r>
              <w:tab/>
            </w:r>
            <w:r w:rsidRPr="1871EEFA" w:rsidR="1871EEFA">
              <w:rPr>
                <w:rStyle w:val="Hyperlink"/>
              </w:rPr>
              <w:t>Submission of Tenders</w:t>
            </w:r>
            <w:r>
              <w:tab/>
            </w:r>
            <w:r>
              <w:fldChar w:fldCharType="begin"/>
            </w:r>
            <w:r>
              <w:instrText xml:space="preserve">PAGEREF _Toc2002682659 \h</w:instrText>
            </w:r>
            <w:r>
              <w:fldChar w:fldCharType="separate"/>
            </w:r>
            <w:r w:rsidRPr="1871EEFA" w:rsidR="1871EEFA">
              <w:rPr>
                <w:rStyle w:val="Hyperlink"/>
              </w:rPr>
              <w:t>6</w:t>
            </w:r>
            <w:r>
              <w:fldChar w:fldCharType="end"/>
            </w:r>
          </w:hyperlink>
        </w:p>
        <w:p w:rsidR="00492C9D" w:rsidP="1871EEFA" w:rsidRDefault="00492C9D" w14:paraId="280B4604" w14:textId="5EEFE803">
          <w:pPr>
            <w:pStyle w:val="TOC2"/>
            <w:tabs>
              <w:tab w:val="left" w:leader="none" w:pos="660"/>
              <w:tab w:val="right" w:leader="dot" w:pos="9015"/>
            </w:tabs>
            <w:rPr>
              <w:rStyle w:val="Hyperlink"/>
              <w:noProof/>
              <w:kern w:val="2"/>
              <w:lang w:eastAsia="en-GB"/>
              <w14:ligatures w14:val="standardContextual"/>
            </w:rPr>
          </w:pPr>
          <w:hyperlink w:anchor="_Toc1101598824">
            <w:r w:rsidRPr="1871EEFA" w:rsidR="1871EEFA">
              <w:rPr>
                <w:rStyle w:val="Hyperlink"/>
              </w:rPr>
              <w:t>2.4.</w:t>
            </w:r>
            <w:r>
              <w:tab/>
            </w:r>
            <w:r w:rsidRPr="1871EEFA" w:rsidR="1871EEFA">
              <w:rPr>
                <w:rStyle w:val="Hyperlink"/>
              </w:rPr>
              <w:t>Queries Relating to Tender</w:t>
            </w:r>
            <w:r>
              <w:tab/>
            </w:r>
            <w:r>
              <w:fldChar w:fldCharType="begin"/>
            </w:r>
            <w:r>
              <w:instrText xml:space="preserve">PAGEREF _Toc1101598824 \h</w:instrText>
            </w:r>
            <w:r>
              <w:fldChar w:fldCharType="separate"/>
            </w:r>
            <w:r w:rsidRPr="1871EEFA" w:rsidR="1871EEFA">
              <w:rPr>
                <w:rStyle w:val="Hyperlink"/>
              </w:rPr>
              <w:t>7</w:t>
            </w:r>
            <w:r>
              <w:fldChar w:fldCharType="end"/>
            </w:r>
          </w:hyperlink>
        </w:p>
        <w:p w:rsidR="00492C9D" w:rsidP="1871EEFA" w:rsidRDefault="00492C9D" w14:paraId="5389BCA7" w14:textId="75CF38A4">
          <w:pPr>
            <w:pStyle w:val="TOC2"/>
            <w:tabs>
              <w:tab w:val="left" w:leader="none" w:pos="660"/>
              <w:tab w:val="right" w:leader="dot" w:pos="9015"/>
            </w:tabs>
            <w:rPr>
              <w:rStyle w:val="Hyperlink"/>
              <w:noProof/>
              <w:kern w:val="2"/>
              <w:lang w:eastAsia="en-GB"/>
              <w14:ligatures w14:val="standardContextual"/>
            </w:rPr>
          </w:pPr>
          <w:hyperlink w:anchor="_Toc1020755372">
            <w:r w:rsidRPr="1871EEFA" w:rsidR="1871EEFA">
              <w:rPr>
                <w:rStyle w:val="Hyperlink"/>
              </w:rPr>
              <w:t>2.5.</w:t>
            </w:r>
            <w:r>
              <w:tab/>
            </w:r>
            <w:r w:rsidRPr="1871EEFA" w:rsidR="1871EEFA">
              <w:rPr>
                <w:rStyle w:val="Hyperlink"/>
              </w:rPr>
              <w:t>Amendments to Tender Documents</w:t>
            </w:r>
            <w:r>
              <w:tab/>
            </w:r>
            <w:r>
              <w:fldChar w:fldCharType="begin"/>
            </w:r>
            <w:r>
              <w:instrText xml:space="preserve">PAGEREF _Toc1020755372 \h</w:instrText>
            </w:r>
            <w:r>
              <w:fldChar w:fldCharType="separate"/>
            </w:r>
            <w:r w:rsidRPr="1871EEFA" w:rsidR="1871EEFA">
              <w:rPr>
                <w:rStyle w:val="Hyperlink"/>
              </w:rPr>
              <w:t>8</w:t>
            </w:r>
            <w:r>
              <w:fldChar w:fldCharType="end"/>
            </w:r>
          </w:hyperlink>
        </w:p>
        <w:p w:rsidR="00492C9D" w:rsidP="1871EEFA" w:rsidRDefault="00492C9D" w14:paraId="66172B28" w14:textId="5837EA64">
          <w:pPr>
            <w:pStyle w:val="TOC2"/>
            <w:tabs>
              <w:tab w:val="left" w:leader="none" w:pos="660"/>
              <w:tab w:val="right" w:leader="dot" w:pos="9015"/>
            </w:tabs>
            <w:rPr>
              <w:rStyle w:val="Hyperlink"/>
              <w:noProof/>
              <w:kern w:val="2"/>
              <w:lang w:eastAsia="en-GB"/>
              <w14:ligatures w14:val="standardContextual"/>
            </w:rPr>
          </w:pPr>
          <w:hyperlink w:anchor="_Toc217570081">
            <w:r w:rsidRPr="1871EEFA" w:rsidR="1871EEFA">
              <w:rPr>
                <w:rStyle w:val="Hyperlink"/>
              </w:rPr>
              <w:t>2.6.</w:t>
            </w:r>
            <w:r>
              <w:tab/>
            </w:r>
            <w:r w:rsidRPr="1871EEFA" w:rsidR="1871EEFA">
              <w:rPr>
                <w:rStyle w:val="Hyperlink"/>
              </w:rPr>
              <w:t>Right to Reject/Disqualify</w:t>
            </w:r>
            <w:r>
              <w:tab/>
            </w:r>
            <w:r>
              <w:fldChar w:fldCharType="begin"/>
            </w:r>
            <w:r>
              <w:instrText xml:space="preserve">PAGEREF _Toc217570081 \h</w:instrText>
            </w:r>
            <w:r>
              <w:fldChar w:fldCharType="separate"/>
            </w:r>
            <w:r w:rsidRPr="1871EEFA" w:rsidR="1871EEFA">
              <w:rPr>
                <w:rStyle w:val="Hyperlink"/>
              </w:rPr>
              <w:t>8</w:t>
            </w:r>
            <w:r>
              <w:fldChar w:fldCharType="end"/>
            </w:r>
          </w:hyperlink>
        </w:p>
        <w:p w:rsidR="00492C9D" w:rsidP="1871EEFA" w:rsidRDefault="00492C9D" w14:paraId="21DF8B3A" w14:textId="47A53F13">
          <w:pPr>
            <w:pStyle w:val="TOC2"/>
            <w:tabs>
              <w:tab w:val="left" w:leader="none" w:pos="660"/>
              <w:tab w:val="right" w:leader="dot" w:pos="9015"/>
            </w:tabs>
            <w:rPr>
              <w:rStyle w:val="Hyperlink"/>
              <w:noProof/>
              <w:kern w:val="2"/>
              <w:lang w:eastAsia="en-GB"/>
              <w14:ligatures w14:val="standardContextual"/>
            </w:rPr>
          </w:pPr>
          <w:hyperlink w:anchor="_Toc1115864293">
            <w:r w:rsidRPr="1871EEFA" w:rsidR="1871EEFA">
              <w:rPr>
                <w:rStyle w:val="Hyperlink"/>
              </w:rPr>
              <w:t>2.7.</w:t>
            </w:r>
            <w:r>
              <w:tab/>
            </w:r>
            <w:r w:rsidRPr="1871EEFA" w:rsidR="1871EEFA">
              <w:rPr>
                <w:rStyle w:val="Hyperlink"/>
              </w:rPr>
              <w:t>Right to Cancel, Clarify or Vary the Process</w:t>
            </w:r>
            <w:r>
              <w:tab/>
            </w:r>
            <w:r>
              <w:fldChar w:fldCharType="begin"/>
            </w:r>
            <w:r>
              <w:instrText xml:space="preserve">PAGEREF _Toc1115864293 \h</w:instrText>
            </w:r>
            <w:r>
              <w:fldChar w:fldCharType="separate"/>
            </w:r>
            <w:r w:rsidRPr="1871EEFA" w:rsidR="1871EEFA">
              <w:rPr>
                <w:rStyle w:val="Hyperlink"/>
              </w:rPr>
              <w:t>8</w:t>
            </w:r>
            <w:r>
              <w:fldChar w:fldCharType="end"/>
            </w:r>
          </w:hyperlink>
        </w:p>
        <w:p w:rsidR="00492C9D" w:rsidP="1871EEFA" w:rsidRDefault="00492C9D" w14:paraId="17ED06EA" w14:textId="18E2C3FD">
          <w:pPr>
            <w:pStyle w:val="TOC2"/>
            <w:tabs>
              <w:tab w:val="left" w:leader="none" w:pos="660"/>
              <w:tab w:val="right" w:leader="dot" w:pos="9015"/>
            </w:tabs>
            <w:rPr>
              <w:rStyle w:val="Hyperlink"/>
              <w:noProof/>
              <w:kern w:val="2"/>
              <w:lang w:eastAsia="en-GB"/>
              <w14:ligatures w14:val="standardContextual"/>
            </w:rPr>
          </w:pPr>
          <w:hyperlink w:anchor="_Toc1275838698">
            <w:r w:rsidRPr="1871EEFA" w:rsidR="1871EEFA">
              <w:rPr>
                <w:rStyle w:val="Hyperlink"/>
              </w:rPr>
              <w:t>2.8.</w:t>
            </w:r>
            <w:r>
              <w:tab/>
            </w:r>
            <w:r w:rsidRPr="1871EEFA" w:rsidR="1871EEFA">
              <w:rPr>
                <w:rStyle w:val="Hyperlink"/>
              </w:rPr>
              <w:t>Site Visits</w:t>
            </w:r>
            <w:r>
              <w:tab/>
            </w:r>
            <w:r>
              <w:fldChar w:fldCharType="begin"/>
            </w:r>
            <w:r>
              <w:instrText xml:space="preserve">PAGEREF _Toc1275838698 \h</w:instrText>
            </w:r>
            <w:r>
              <w:fldChar w:fldCharType="separate"/>
            </w:r>
            <w:r w:rsidRPr="1871EEFA" w:rsidR="1871EEFA">
              <w:rPr>
                <w:rStyle w:val="Hyperlink"/>
              </w:rPr>
              <w:t>8</w:t>
            </w:r>
            <w:r>
              <w:fldChar w:fldCharType="end"/>
            </w:r>
          </w:hyperlink>
        </w:p>
        <w:p w:rsidR="00492C9D" w:rsidP="1871EEFA" w:rsidRDefault="00492C9D" w14:paraId="7B2F067C" w14:textId="5C679CC1">
          <w:pPr>
            <w:pStyle w:val="TOC2"/>
            <w:tabs>
              <w:tab w:val="left" w:leader="none" w:pos="660"/>
              <w:tab w:val="right" w:leader="dot" w:pos="9015"/>
            </w:tabs>
            <w:rPr>
              <w:rStyle w:val="Hyperlink"/>
              <w:noProof/>
              <w:kern w:val="2"/>
              <w:lang w:eastAsia="en-GB"/>
              <w14:ligatures w14:val="standardContextual"/>
            </w:rPr>
          </w:pPr>
          <w:hyperlink w:anchor="_Toc559764936">
            <w:r w:rsidRPr="1871EEFA" w:rsidR="1871EEFA">
              <w:rPr>
                <w:rStyle w:val="Hyperlink"/>
              </w:rPr>
              <w:t>2.9.</w:t>
            </w:r>
            <w:r>
              <w:tab/>
            </w:r>
            <w:r w:rsidRPr="1871EEFA" w:rsidR="1871EEFA">
              <w:rPr>
                <w:rStyle w:val="Hyperlink"/>
              </w:rPr>
              <w:t>Leaseholder Consultation</w:t>
            </w:r>
            <w:r>
              <w:tab/>
            </w:r>
            <w:r>
              <w:fldChar w:fldCharType="begin"/>
            </w:r>
            <w:r>
              <w:instrText xml:space="preserve">PAGEREF _Toc559764936 \h</w:instrText>
            </w:r>
            <w:r>
              <w:fldChar w:fldCharType="separate"/>
            </w:r>
            <w:r w:rsidRPr="1871EEFA" w:rsidR="1871EEFA">
              <w:rPr>
                <w:rStyle w:val="Hyperlink"/>
              </w:rPr>
              <w:t>8</w:t>
            </w:r>
            <w:r>
              <w:fldChar w:fldCharType="end"/>
            </w:r>
          </w:hyperlink>
        </w:p>
        <w:p w:rsidR="00492C9D" w:rsidP="1871EEFA" w:rsidRDefault="00492C9D" w14:paraId="5618CE30" w14:textId="5203A705">
          <w:pPr>
            <w:pStyle w:val="TOC2"/>
            <w:tabs>
              <w:tab w:val="left" w:leader="none" w:pos="870"/>
              <w:tab w:val="right" w:leader="dot" w:pos="9015"/>
            </w:tabs>
            <w:rPr>
              <w:rStyle w:val="Hyperlink"/>
              <w:noProof/>
              <w:kern w:val="2"/>
              <w:lang w:eastAsia="en-GB"/>
              <w14:ligatures w14:val="standardContextual"/>
            </w:rPr>
          </w:pPr>
          <w:hyperlink w:anchor="_Toc938188138">
            <w:r w:rsidRPr="1871EEFA" w:rsidR="1871EEFA">
              <w:rPr>
                <w:rStyle w:val="Hyperlink"/>
              </w:rPr>
              <w:t>2.10.</w:t>
            </w:r>
            <w:r>
              <w:tab/>
            </w:r>
            <w:r w:rsidRPr="1871EEFA" w:rsidR="1871EEFA">
              <w:rPr>
                <w:rStyle w:val="Hyperlink"/>
              </w:rPr>
              <w:t>Corporate Policies</w:t>
            </w:r>
            <w:r>
              <w:tab/>
            </w:r>
            <w:r>
              <w:fldChar w:fldCharType="begin"/>
            </w:r>
            <w:r>
              <w:instrText xml:space="preserve">PAGEREF _Toc938188138 \h</w:instrText>
            </w:r>
            <w:r>
              <w:fldChar w:fldCharType="separate"/>
            </w:r>
            <w:r w:rsidRPr="1871EEFA" w:rsidR="1871EEFA">
              <w:rPr>
                <w:rStyle w:val="Hyperlink"/>
              </w:rPr>
              <w:t>9</w:t>
            </w:r>
            <w:r>
              <w:fldChar w:fldCharType="end"/>
            </w:r>
          </w:hyperlink>
        </w:p>
        <w:p w:rsidR="00492C9D" w:rsidP="1871EEFA" w:rsidRDefault="00492C9D" w14:paraId="10AAED1E" w14:textId="1102956E">
          <w:pPr>
            <w:pStyle w:val="TOC2"/>
            <w:tabs>
              <w:tab w:val="left" w:leader="none" w:pos="870"/>
              <w:tab w:val="right" w:leader="dot" w:pos="9015"/>
            </w:tabs>
            <w:rPr>
              <w:rStyle w:val="Hyperlink"/>
              <w:noProof/>
              <w:kern w:val="2"/>
              <w:lang w:eastAsia="en-GB"/>
              <w14:ligatures w14:val="standardContextual"/>
            </w:rPr>
          </w:pPr>
          <w:hyperlink w:anchor="_Toc1485153659">
            <w:r w:rsidRPr="1871EEFA" w:rsidR="1871EEFA">
              <w:rPr>
                <w:rStyle w:val="Hyperlink"/>
              </w:rPr>
              <w:t>2.11.</w:t>
            </w:r>
            <w:r>
              <w:tab/>
            </w:r>
            <w:r w:rsidRPr="1871EEFA" w:rsidR="1871EEFA">
              <w:rPr>
                <w:rStyle w:val="Hyperlink"/>
              </w:rPr>
              <w:t>Sub-Contracting Arrangements</w:t>
            </w:r>
            <w:r>
              <w:tab/>
            </w:r>
            <w:r>
              <w:fldChar w:fldCharType="begin"/>
            </w:r>
            <w:r>
              <w:instrText xml:space="preserve">PAGEREF _Toc1485153659 \h</w:instrText>
            </w:r>
            <w:r>
              <w:fldChar w:fldCharType="separate"/>
            </w:r>
            <w:r w:rsidRPr="1871EEFA" w:rsidR="1871EEFA">
              <w:rPr>
                <w:rStyle w:val="Hyperlink"/>
              </w:rPr>
              <w:t>9</w:t>
            </w:r>
            <w:r>
              <w:fldChar w:fldCharType="end"/>
            </w:r>
          </w:hyperlink>
        </w:p>
        <w:p w:rsidR="00492C9D" w:rsidP="1871EEFA" w:rsidRDefault="00492C9D" w14:paraId="08575E09" w14:textId="65AEC639">
          <w:pPr>
            <w:pStyle w:val="TOC2"/>
            <w:tabs>
              <w:tab w:val="left" w:leader="none" w:pos="870"/>
              <w:tab w:val="right" w:leader="dot" w:pos="9015"/>
            </w:tabs>
            <w:rPr>
              <w:rStyle w:val="Hyperlink"/>
              <w:noProof/>
              <w:kern w:val="2"/>
              <w:lang w:eastAsia="en-GB"/>
              <w14:ligatures w14:val="standardContextual"/>
            </w:rPr>
          </w:pPr>
          <w:hyperlink w:anchor="_Toc1320275965">
            <w:r w:rsidRPr="1871EEFA" w:rsidR="1871EEFA">
              <w:rPr>
                <w:rStyle w:val="Hyperlink"/>
              </w:rPr>
              <w:t>2.12.</w:t>
            </w:r>
            <w:r>
              <w:tab/>
            </w:r>
            <w:r w:rsidRPr="1871EEFA" w:rsidR="1871EEFA">
              <w:rPr>
                <w:rStyle w:val="Hyperlink"/>
              </w:rPr>
              <w:t>Consortia Arrangements</w:t>
            </w:r>
            <w:r>
              <w:tab/>
            </w:r>
            <w:r>
              <w:fldChar w:fldCharType="begin"/>
            </w:r>
            <w:r>
              <w:instrText xml:space="preserve">PAGEREF _Toc1320275965 \h</w:instrText>
            </w:r>
            <w:r>
              <w:fldChar w:fldCharType="separate"/>
            </w:r>
            <w:r w:rsidRPr="1871EEFA" w:rsidR="1871EEFA">
              <w:rPr>
                <w:rStyle w:val="Hyperlink"/>
              </w:rPr>
              <w:t>9</w:t>
            </w:r>
            <w:r>
              <w:fldChar w:fldCharType="end"/>
            </w:r>
          </w:hyperlink>
        </w:p>
        <w:p w:rsidR="00492C9D" w:rsidP="1871EEFA" w:rsidRDefault="00492C9D" w14:paraId="1ABF3359" w14:textId="313ED64B">
          <w:pPr>
            <w:pStyle w:val="TOC1"/>
            <w:tabs>
              <w:tab w:val="left" w:leader="none" w:pos="435"/>
              <w:tab w:val="right" w:leader="dot" w:pos="9015"/>
            </w:tabs>
            <w:rPr>
              <w:rStyle w:val="Hyperlink"/>
              <w:noProof/>
              <w:kern w:val="2"/>
              <w:lang w:eastAsia="en-GB"/>
              <w14:ligatures w14:val="standardContextual"/>
            </w:rPr>
          </w:pPr>
          <w:hyperlink w:anchor="_Toc986760912">
            <w:r w:rsidRPr="1871EEFA" w:rsidR="1871EEFA">
              <w:rPr>
                <w:rStyle w:val="Hyperlink"/>
              </w:rPr>
              <w:t>3.</w:t>
            </w:r>
            <w:r>
              <w:tab/>
            </w:r>
            <w:r w:rsidRPr="1871EEFA" w:rsidR="1871EEFA">
              <w:rPr>
                <w:rStyle w:val="Hyperlink"/>
              </w:rPr>
              <w:t>Evaluation and Selection</w:t>
            </w:r>
            <w:r>
              <w:tab/>
            </w:r>
            <w:r>
              <w:fldChar w:fldCharType="begin"/>
            </w:r>
            <w:r>
              <w:instrText xml:space="preserve">PAGEREF _Toc986760912 \h</w:instrText>
            </w:r>
            <w:r>
              <w:fldChar w:fldCharType="separate"/>
            </w:r>
            <w:r w:rsidRPr="1871EEFA" w:rsidR="1871EEFA">
              <w:rPr>
                <w:rStyle w:val="Hyperlink"/>
              </w:rPr>
              <w:t>10</w:t>
            </w:r>
            <w:r>
              <w:fldChar w:fldCharType="end"/>
            </w:r>
          </w:hyperlink>
        </w:p>
        <w:p w:rsidR="00492C9D" w:rsidP="1871EEFA" w:rsidRDefault="00492C9D" w14:paraId="34219A06" w14:textId="719633DF">
          <w:pPr>
            <w:pStyle w:val="TOC2"/>
            <w:tabs>
              <w:tab w:val="left" w:leader="none" w:pos="660"/>
              <w:tab w:val="right" w:leader="dot" w:pos="9015"/>
            </w:tabs>
            <w:rPr>
              <w:rStyle w:val="Hyperlink"/>
              <w:noProof/>
              <w:kern w:val="2"/>
              <w:lang w:eastAsia="en-GB"/>
              <w14:ligatures w14:val="standardContextual"/>
            </w:rPr>
          </w:pPr>
          <w:hyperlink w:anchor="_Toc819464800">
            <w:r w:rsidRPr="1871EEFA" w:rsidR="1871EEFA">
              <w:rPr>
                <w:rStyle w:val="Hyperlink"/>
              </w:rPr>
              <w:t>3.1.</w:t>
            </w:r>
            <w:r>
              <w:tab/>
            </w:r>
            <w:r w:rsidRPr="1871EEFA" w:rsidR="1871EEFA">
              <w:rPr>
                <w:rStyle w:val="Hyperlink"/>
              </w:rPr>
              <w:t>Award Criteria</w:t>
            </w:r>
            <w:r>
              <w:tab/>
            </w:r>
            <w:r>
              <w:fldChar w:fldCharType="begin"/>
            </w:r>
            <w:r>
              <w:instrText xml:space="preserve">PAGEREF _Toc819464800 \h</w:instrText>
            </w:r>
            <w:r>
              <w:fldChar w:fldCharType="separate"/>
            </w:r>
            <w:r w:rsidRPr="1871EEFA" w:rsidR="1871EEFA">
              <w:rPr>
                <w:rStyle w:val="Hyperlink"/>
              </w:rPr>
              <w:t>11</w:t>
            </w:r>
            <w:r>
              <w:fldChar w:fldCharType="end"/>
            </w:r>
          </w:hyperlink>
        </w:p>
        <w:p w:rsidR="00492C9D" w:rsidP="1871EEFA" w:rsidRDefault="00492C9D" w14:paraId="081EB6F8" w14:textId="57FB403E">
          <w:pPr>
            <w:pStyle w:val="TOC2"/>
            <w:tabs>
              <w:tab w:val="left" w:leader="none" w:pos="660"/>
              <w:tab w:val="right" w:leader="dot" w:pos="9015"/>
            </w:tabs>
            <w:rPr>
              <w:rStyle w:val="Hyperlink"/>
              <w:noProof/>
              <w:kern w:val="2"/>
              <w:lang w:eastAsia="en-GB"/>
              <w14:ligatures w14:val="standardContextual"/>
            </w:rPr>
          </w:pPr>
          <w:hyperlink w:anchor="_Toc1901978158">
            <w:r w:rsidRPr="1871EEFA" w:rsidR="1871EEFA">
              <w:rPr>
                <w:rStyle w:val="Hyperlink"/>
              </w:rPr>
              <w:t>3.2.</w:t>
            </w:r>
            <w:r>
              <w:tab/>
            </w:r>
            <w:r w:rsidRPr="1871EEFA" w:rsidR="1871EEFA">
              <w:rPr>
                <w:rStyle w:val="Hyperlink"/>
              </w:rPr>
              <w:t>Foundation Questions</w:t>
            </w:r>
            <w:r>
              <w:tab/>
            </w:r>
            <w:r>
              <w:fldChar w:fldCharType="begin"/>
            </w:r>
            <w:r>
              <w:instrText xml:space="preserve">PAGEREF _Toc1901978158 \h</w:instrText>
            </w:r>
            <w:r>
              <w:fldChar w:fldCharType="separate"/>
            </w:r>
            <w:r w:rsidRPr="1871EEFA" w:rsidR="1871EEFA">
              <w:rPr>
                <w:rStyle w:val="Hyperlink"/>
              </w:rPr>
              <w:t>11</w:t>
            </w:r>
            <w:r>
              <w:fldChar w:fldCharType="end"/>
            </w:r>
          </w:hyperlink>
        </w:p>
        <w:p w:rsidR="00492C9D" w:rsidP="1871EEFA" w:rsidRDefault="00492C9D" w14:paraId="1D5DF2F5" w14:textId="5C5FA370">
          <w:pPr>
            <w:pStyle w:val="TOC2"/>
            <w:tabs>
              <w:tab w:val="left" w:leader="none" w:pos="660"/>
              <w:tab w:val="right" w:leader="dot" w:pos="9015"/>
            </w:tabs>
            <w:rPr>
              <w:rStyle w:val="Hyperlink"/>
              <w:noProof/>
              <w:kern w:val="2"/>
              <w:lang w:eastAsia="en-GB"/>
              <w14:ligatures w14:val="standardContextual"/>
            </w:rPr>
          </w:pPr>
          <w:hyperlink w:anchor="_Toc1192266961">
            <w:r w:rsidRPr="1871EEFA" w:rsidR="1871EEFA">
              <w:rPr>
                <w:rStyle w:val="Hyperlink"/>
              </w:rPr>
              <w:t>3.3.</w:t>
            </w:r>
            <w:r>
              <w:tab/>
            </w:r>
            <w:r w:rsidRPr="1871EEFA" w:rsidR="1871EEFA">
              <w:rPr>
                <w:rStyle w:val="Hyperlink"/>
              </w:rPr>
              <w:t>Evaluation Questions</w:t>
            </w:r>
            <w:r>
              <w:tab/>
            </w:r>
            <w:r>
              <w:fldChar w:fldCharType="begin"/>
            </w:r>
            <w:r>
              <w:instrText xml:space="preserve">PAGEREF _Toc1192266961 \h</w:instrText>
            </w:r>
            <w:r>
              <w:fldChar w:fldCharType="separate"/>
            </w:r>
            <w:r w:rsidRPr="1871EEFA" w:rsidR="1871EEFA">
              <w:rPr>
                <w:rStyle w:val="Hyperlink"/>
              </w:rPr>
              <w:t>12</w:t>
            </w:r>
            <w:r>
              <w:fldChar w:fldCharType="end"/>
            </w:r>
          </w:hyperlink>
        </w:p>
        <w:p w:rsidR="00492C9D" w:rsidP="1871EEFA" w:rsidRDefault="00492C9D" w14:paraId="383E5096" w14:textId="5A8074FE">
          <w:pPr>
            <w:pStyle w:val="TOC2"/>
            <w:tabs>
              <w:tab w:val="left" w:leader="none" w:pos="660"/>
              <w:tab w:val="right" w:leader="dot" w:pos="9015"/>
            </w:tabs>
            <w:rPr>
              <w:rStyle w:val="Hyperlink"/>
              <w:noProof/>
              <w:kern w:val="2"/>
              <w:lang w:eastAsia="en-GB"/>
              <w14:ligatures w14:val="standardContextual"/>
            </w:rPr>
          </w:pPr>
          <w:hyperlink w:anchor="_Toc578875240">
            <w:r w:rsidRPr="1871EEFA" w:rsidR="1871EEFA">
              <w:rPr>
                <w:rStyle w:val="Hyperlink"/>
              </w:rPr>
              <w:t>3.4.</w:t>
            </w:r>
            <w:r>
              <w:tab/>
            </w:r>
            <w:r w:rsidRPr="1871EEFA" w:rsidR="1871EEFA">
              <w:rPr>
                <w:rStyle w:val="Hyperlink"/>
              </w:rPr>
              <w:t>Tender Evaluation Process</w:t>
            </w:r>
            <w:r>
              <w:tab/>
            </w:r>
            <w:r>
              <w:fldChar w:fldCharType="begin"/>
            </w:r>
            <w:r>
              <w:instrText xml:space="preserve">PAGEREF _Toc578875240 \h</w:instrText>
            </w:r>
            <w:r>
              <w:fldChar w:fldCharType="separate"/>
            </w:r>
            <w:r w:rsidRPr="1871EEFA" w:rsidR="1871EEFA">
              <w:rPr>
                <w:rStyle w:val="Hyperlink"/>
              </w:rPr>
              <w:t>12</w:t>
            </w:r>
            <w:r>
              <w:fldChar w:fldCharType="end"/>
            </w:r>
          </w:hyperlink>
        </w:p>
        <w:p w:rsidR="00492C9D" w:rsidP="1871EEFA" w:rsidRDefault="00492C9D" w14:paraId="49A64B15" w14:textId="55A11246">
          <w:pPr>
            <w:pStyle w:val="TOC3"/>
            <w:tabs>
              <w:tab w:val="left" w:leader="none" w:pos="1320"/>
              <w:tab w:val="right" w:leader="dot" w:pos="9015"/>
            </w:tabs>
            <w:rPr>
              <w:rStyle w:val="Hyperlink"/>
              <w:noProof/>
              <w:kern w:val="2"/>
              <w:lang w:eastAsia="en-GB"/>
              <w14:ligatures w14:val="standardContextual"/>
            </w:rPr>
          </w:pPr>
          <w:hyperlink w:anchor="_Toc342453399">
            <w:r w:rsidRPr="1871EEFA" w:rsidR="1871EEFA">
              <w:rPr>
                <w:rStyle w:val="Hyperlink"/>
              </w:rPr>
              <w:t>3.4.1.</w:t>
            </w:r>
            <w:r>
              <w:tab/>
            </w:r>
            <w:r w:rsidRPr="1871EEFA" w:rsidR="1871EEFA">
              <w:rPr>
                <w:rStyle w:val="Hyperlink"/>
              </w:rPr>
              <w:t>Part One – Initial Screening Assessment</w:t>
            </w:r>
            <w:r>
              <w:tab/>
            </w:r>
            <w:r>
              <w:fldChar w:fldCharType="begin"/>
            </w:r>
            <w:r>
              <w:instrText xml:space="preserve">PAGEREF _Toc342453399 \h</w:instrText>
            </w:r>
            <w:r>
              <w:fldChar w:fldCharType="separate"/>
            </w:r>
            <w:r w:rsidRPr="1871EEFA" w:rsidR="1871EEFA">
              <w:rPr>
                <w:rStyle w:val="Hyperlink"/>
              </w:rPr>
              <w:t>12</w:t>
            </w:r>
            <w:r>
              <w:fldChar w:fldCharType="end"/>
            </w:r>
          </w:hyperlink>
        </w:p>
        <w:p w:rsidR="00492C9D" w:rsidP="1871EEFA" w:rsidRDefault="00492C9D" w14:paraId="0B9B2E23" w14:textId="26E4AFFF">
          <w:pPr>
            <w:pStyle w:val="TOC3"/>
            <w:tabs>
              <w:tab w:val="left" w:leader="none" w:pos="1320"/>
              <w:tab w:val="right" w:leader="dot" w:pos="9015"/>
            </w:tabs>
            <w:rPr>
              <w:rStyle w:val="Hyperlink"/>
              <w:noProof/>
              <w:kern w:val="2"/>
              <w:lang w:eastAsia="en-GB"/>
              <w14:ligatures w14:val="standardContextual"/>
            </w:rPr>
          </w:pPr>
          <w:hyperlink w:anchor="_Toc1425296309">
            <w:r w:rsidRPr="1871EEFA" w:rsidR="1871EEFA">
              <w:rPr>
                <w:rStyle w:val="Hyperlink"/>
              </w:rPr>
              <w:t>3.4.2.</w:t>
            </w:r>
            <w:r>
              <w:tab/>
            </w:r>
            <w:r w:rsidRPr="1871EEFA" w:rsidR="1871EEFA">
              <w:rPr>
                <w:rStyle w:val="Hyperlink"/>
              </w:rPr>
              <w:t>Part Two – Qualification Pass/Fail Questions</w:t>
            </w:r>
            <w:r>
              <w:tab/>
            </w:r>
            <w:r>
              <w:fldChar w:fldCharType="begin"/>
            </w:r>
            <w:r>
              <w:instrText xml:space="preserve">PAGEREF _Toc1425296309 \h</w:instrText>
            </w:r>
            <w:r>
              <w:fldChar w:fldCharType="separate"/>
            </w:r>
            <w:r w:rsidRPr="1871EEFA" w:rsidR="1871EEFA">
              <w:rPr>
                <w:rStyle w:val="Hyperlink"/>
              </w:rPr>
              <w:t>12</w:t>
            </w:r>
            <w:r>
              <w:fldChar w:fldCharType="end"/>
            </w:r>
          </w:hyperlink>
        </w:p>
        <w:p w:rsidR="00492C9D" w:rsidP="1871EEFA" w:rsidRDefault="00492C9D" w14:paraId="5B45AF75" w14:textId="51866B0E">
          <w:pPr>
            <w:pStyle w:val="TOC3"/>
            <w:tabs>
              <w:tab w:val="left" w:leader="none" w:pos="1320"/>
              <w:tab w:val="right" w:leader="dot" w:pos="9015"/>
            </w:tabs>
            <w:rPr>
              <w:rStyle w:val="Hyperlink"/>
              <w:noProof/>
              <w:kern w:val="2"/>
              <w:lang w:eastAsia="en-GB"/>
              <w14:ligatures w14:val="standardContextual"/>
            </w:rPr>
          </w:pPr>
          <w:hyperlink w:anchor="_Toc894161957">
            <w:r w:rsidRPr="1871EEFA" w:rsidR="1871EEFA">
              <w:rPr>
                <w:rStyle w:val="Hyperlink"/>
              </w:rPr>
              <w:t>3.4.3.</w:t>
            </w:r>
            <w:r>
              <w:tab/>
            </w:r>
            <w:r w:rsidRPr="1871EEFA" w:rsidR="1871EEFA">
              <w:rPr>
                <w:rStyle w:val="Hyperlink"/>
              </w:rPr>
              <w:t>‘Self-cleaning’</w:t>
            </w:r>
            <w:r>
              <w:tab/>
            </w:r>
            <w:r>
              <w:fldChar w:fldCharType="begin"/>
            </w:r>
            <w:r>
              <w:instrText xml:space="preserve">PAGEREF _Toc894161957 \h</w:instrText>
            </w:r>
            <w:r>
              <w:fldChar w:fldCharType="separate"/>
            </w:r>
            <w:r w:rsidRPr="1871EEFA" w:rsidR="1871EEFA">
              <w:rPr>
                <w:rStyle w:val="Hyperlink"/>
              </w:rPr>
              <w:t>13</w:t>
            </w:r>
            <w:r>
              <w:fldChar w:fldCharType="end"/>
            </w:r>
          </w:hyperlink>
        </w:p>
        <w:p w:rsidR="00492C9D" w:rsidP="1871EEFA" w:rsidRDefault="00492C9D" w14:paraId="1B6904EE" w14:textId="11D597FE">
          <w:pPr>
            <w:pStyle w:val="TOC3"/>
            <w:tabs>
              <w:tab w:val="left" w:leader="none" w:pos="1320"/>
              <w:tab w:val="right" w:leader="dot" w:pos="9015"/>
            </w:tabs>
            <w:rPr>
              <w:rStyle w:val="Hyperlink"/>
              <w:noProof/>
              <w:kern w:val="2"/>
              <w:lang w:eastAsia="en-GB"/>
              <w14:ligatures w14:val="standardContextual"/>
            </w:rPr>
          </w:pPr>
          <w:hyperlink w:anchor="_Toc2048297845">
            <w:r w:rsidRPr="1871EEFA" w:rsidR="1871EEFA">
              <w:rPr>
                <w:rStyle w:val="Hyperlink"/>
              </w:rPr>
              <w:t>3.4.4.</w:t>
            </w:r>
            <w:r>
              <w:tab/>
            </w:r>
            <w:r w:rsidRPr="1871EEFA" w:rsidR="1871EEFA">
              <w:rPr>
                <w:rStyle w:val="Hyperlink"/>
              </w:rPr>
              <w:t>Part Three – Quality Evaluation</w:t>
            </w:r>
            <w:r>
              <w:tab/>
            </w:r>
            <w:r>
              <w:fldChar w:fldCharType="begin"/>
            </w:r>
            <w:r>
              <w:instrText xml:space="preserve">PAGEREF _Toc2048297845 \h</w:instrText>
            </w:r>
            <w:r>
              <w:fldChar w:fldCharType="separate"/>
            </w:r>
            <w:r w:rsidRPr="1871EEFA" w:rsidR="1871EEFA">
              <w:rPr>
                <w:rStyle w:val="Hyperlink"/>
              </w:rPr>
              <w:t>13</w:t>
            </w:r>
            <w:r>
              <w:fldChar w:fldCharType="end"/>
            </w:r>
          </w:hyperlink>
        </w:p>
        <w:p w:rsidR="00492C9D" w:rsidP="1871EEFA" w:rsidRDefault="00492C9D" w14:paraId="26EEE7BE" w14:textId="2ACE53DD">
          <w:pPr>
            <w:pStyle w:val="TOC3"/>
            <w:tabs>
              <w:tab w:val="left" w:leader="none" w:pos="1320"/>
              <w:tab w:val="right" w:leader="dot" w:pos="9015"/>
            </w:tabs>
            <w:rPr>
              <w:rStyle w:val="Hyperlink"/>
              <w:noProof/>
              <w:kern w:val="2"/>
              <w:lang w:eastAsia="en-GB"/>
              <w14:ligatures w14:val="standardContextual"/>
            </w:rPr>
          </w:pPr>
          <w:hyperlink w:anchor="_Toc1844090009">
            <w:r w:rsidRPr="1871EEFA" w:rsidR="1871EEFA">
              <w:rPr>
                <w:rStyle w:val="Hyperlink"/>
              </w:rPr>
              <w:t>3.4.5.</w:t>
            </w:r>
            <w:r>
              <w:tab/>
            </w:r>
            <w:r w:rsidRPr="1871EEFA" w:rsidR="1871EEFA">
              <w:rPr>
                <w:rStyle w:val="Hyperlink"/>
              </w:rPr>
              <w:t>Part Three – Price Evaluation</w:t>
            </w:r>
            <w:r>
              <w:tab/>
            </w:r>
            <w:r>
              <w:fldChar w:fldCharType="begin"/>
            </w:r>
            <w:r>
              <w:instrText xml:space="preserve">PAGEREF _Toc1844090009 \h</w:instrText>
            </w:r>
            <w:r>
              <w:fldChar w:fldCharType="separate"/>
            </w:r>
            <w:r w:rsidRPr="1871EEFA" w:rsidR="1871EEFA">
              <w:rPr>
                <w:rStyle w:val="Hyperlink"/>
              </w:rPr>
              <w:t>14</w:t>
            </w:r>
            <w:r>
              <w:fldChar w:fldCharType="end"/>
            </w:r>
          </w:hyperlink>
        </w:p>
        <w:p w:rsidR="00492C9D" w:rsidP="1871EEFA" w:rsidRDefault="00492C9D" w14:paraId="363D303A" w14:textId="55027EDA">
          <w:pPr>
            <w:pStyle w:val="TOC2"/>
            <w:tabs>
              <w:tab w:val="left" w:leader="none" w:pos="660"/>
              <w:tab w:val="right" w:leader="dot" w:pos="9015"/>
            </w:tabs>
            <w:rPr>
              <w:rStyle w:val="Hyperlink"/>
              <w:noProof/>
              <w:kern w:val="2"/>
              <w:lang w:eastAsia="en-GB"/>
              <w14:ligatures w14:val="standardContextual"/>
            </w:rPr>
          </w:pPr>
          <w:hyperlink w:anchor="_Toc1799870441">
            <w:r w:rsidRPr="1871EEFA" w:rsidR="1871EEFA">
              <w:rPr>
                <w:rStyle w:val="Hyperlink"/>
              </w:rPr>
              <w:t>3.5.</w:t>
            </w:r>
            <w:r>
              <w:tab/>
            </w:r>
            <w:r w:rsidRPr="1871EEFA" w:rsidR="1871EEFA">
              <w:rPr>
                <w:rStyle w:val="Hyperlink"/>
              </w:rPr>
              <w:t>Overall Scoring</w:t>
            </w:r>
            <w:r>
              <w:tab/>
            </w:r>
            <w:r>
              <w:fldChar w:fldCharType="begin"/>
            </w:r>
            <w:r>
              <w:instrText xml:space="preserve">PAGEREF _Toc1799870441 \h</w:instrText>
            </w:r>
            <w:r>
              <w:fldChar w:fldCharType="separate"/>
            </w:r>
            <w:r w:rsidRPr="1871EEFA" w:rsidR="1871EEFA">
              <w:rPr>
                <w:rStyle w:val="Hyperlink"/>
              </w:rPr>
              <w:t>15</w:t>
            </w:r>
            <w:r>
              <w:fldChar w:fldCharType="end"/>
            </w:r>
          </w:hyperlink>
        </w:p>
        <w:p w:rsidR="00492C9D" w:rsidP="1871EEFA" w:rsidRDefault="00492C9D" w14:paraId="646FF07E" w14:textId="1A130ACF">
          <w:pPr>
            <w:pStyle w:val="TOC1"/>
            <w:tabs>
              <w:tab w:val="left" w:leader="none" w:pos="435"/>
              <w:tab w:val="right" w:leader="dot" w:pos="9015"/>
            </w:tabs>
            <w:rPr>
              <w:rStyle w:val="Hyperlink"/>
              <w:noProof/>
              <w:kern w:val="2"/>
              <w:lang w:eastAsia="en-GB"/>
              <w14:ligatures w14:val="standardContextual"/>
            </w:rPr>
          </w:pPr>
          <w:hyperlink w:anchor="_Toc1529914280">
            <w:r w:rsidRPr="1871EEFA" w:rsidR="1871EEFA">
              <w:rPr>
                <w:rStyle w:val="Hyperlink"/>
              </w:rPr>
              <w:t>4.</w:t>
            </w:r>
            <w:r>
              <w:tab/>
            </w:r>
            <w:r w:rsidRPr="1871EEFA" w:rsidR="1871EEFA">
              <w:rPr>
                <w:rStyle w:val="Hyperlink"/>
              </w:rPr>
              <w:t>Tender Acceptance</w:t>
            </w:r>
            <w:r>
              <w:tab/>
            </w:r>
            <w:r>
              <w:fldChar w:fldCharType="begin"/>
            </w:r>
            <w:r>
              <w:instrText xml:space="preserve">PAGEREF _Toc1529914280 \h</w:instrText>
            </w:r>
            <w:r>
              <w:fldChar w:fldCharType="separate"/>
            </w:r>
            <w:r w:rsidRPr="1871EEFA" w:rsidR="1871EEFA">
              <w:rPr>
                <w:rStyle w:val="Hyperlink"/>
              </w:rPr>
              <w:t>15</w:t>
            </w:r>
            <w:r>
              <w:fldChar w:fldCharType="end"/>
            </w:r>
          </w:hyperlink>
        </w:p>
        <w:p w:rsidR="00492C9D" w:rsidP="1871EEFA" w:rsidRDefault="00492C9D" w14:paraId="356A004B" w14:textId="13235F3E">
          <w:pPr>
            <w:pStyle w:val="TOC1"/>
            <w:tabs>
              <w:tab w:val="left" w:leader="none" w:pos="435"/>
              <w:tab w:val="right" w:leader="dot" w:pos="9015"/>
            </w:tabs>
            <w:rPr>
              <w:rStyle w:val="Hyperlink"/>
              <w:noProof/>
              <w:kern w:val="2"/>
              <w:lang w:eastAsia="en-GB"/>
              <w14:ligatures w14:val="standardContextual"/>
            </w:rPr>
          </w:pPr>
          <w:hyperlink w:anchor="_Toc1134268446">
            <w:r w:rsidRPr="1871EEFA" w:rsidR="1871EEFA">
              <w:rPr>
                <w:rStyle w:val="Hyperlink"/>
              </w:rPr>
              <w:t>5.</w:t>
            </w:r>
            <w:r>
              <w:tab/>
            </w:r>
            <w:r w:rsidRPr="1871EEFA" w:rsidR="1871EEFA">
              <w:rPr>
                <w:rStyle w:val="Hyperlink"/>
              </w:rPr>
              <w:t>Tender Checklist</w:t>
            </w:r>
            <w:r>
              <w:tab/>
            </w:r>
            <w:r>
              <w:fldChar w:fldCharType="begin"/>
            </w:r>
            <w:r>
              <w:instrText xml:space="preserve">PAGEREF _Toc1134268446 \h</w:instrText>
            </w:r>
            <w:r>
              <w:fldChar w:fldCharType="separate"/>
            </w:r>
            <w:r w:rsidRPr="1871EEFA" w:rsidR="1871EEFA">
              <w:rPr>
                <w:rStyle w:val="Hyperlink"/>
              </w:rPr>
              <w:t>16</w:t>
            </w:r>
            <w:r>
              <w:fldChar w:fldCharType="end"/>
            </w:r>
          </w:hyperlink>
          <w:r>
            <w:fldChar w:fldCharType="end"/>
          </w:r>
        </w:p>
      </w:sdtContent>
    </w:sdt>
    <w:p w:rsidR="00530856" w:rsidP="001A0344" w:rsidRDefault="00F86394" w14:paraId="59497784" w14:textId="3E9A1403" w14:noSpellErr="1">
      <w:pPr>
        <w:sectPr w:rsidR="00530856" w:rsidSect="00D44EE8">
          <w:headerReference w:type="first" r:id="rId16"/>
          <w:pgSz w:w="11906" w:h="16838"/>
          <w:pgMar w:top="2268" w:right="1440" w:bottom="1440" w:left="1440" w:header="709" w:footer="709" w:gutter="0"/>
          <w:pgNumType w:start="1"/>
          <w:cols w:space="708"/>
          <w:docGrid w:linePitch="360"/>
        </w:sectPr>
      </w:pPr>
    </w:p>
    <w:p w:rsidRPr="00612CBF" w:rsidR="00530856" w:rsidP="002D143C" w:rsidRDefault="00530856" w14:paraId="0A05B5F4" w14:textId="31EA7586" w14:noSpellErr="1">
      <w:pPr>
        <w:pStyle w:val="Heading1"/>
        <w:numPr>
          <w:ilvl w:val="0"/>
          <w:numId w:val="1"/>
        </w:numPr>
        <w:spacing w:line="360" w:lineRule="auto"/>
        <w:rPr>
          <w:color w:val="1F4E79" w:themeColor="accent5" w:themeShade="80"/>
          <w:sz w:val="32"/>
          <w:szCs w:val="32"/>
        </w:rPr>
      </w:pPr>
      <w:bookmarkStart w:name="_Toc2113445748" w:id="1916725692"/>
      <w:r w:rsidRPr="1871EEFA" w:rsidR="00530856">
        <w:rPr>
          <w:color w:val="1F4E79" w:themeColor="accent5" w:themeTint="FF" w:themeShade="80"/>
          <w:sz w:val="32"/>
          <w:szCs w:val="32"/>
        </w:rPr>
        <w:t>Tender Overview</w:t>
      </w:r>
      <w:bookmarkEnd w:id="1916725692"/>
    </w:p>
    <w:p w:rsidRPr="002D143C" w:rsidR="0098428C" w:rsidP="00612CBF" w:rsidRDefault="001D5E7D" w14:paraId="3B85ABA1" w14:textId="576BEF73" w14:noSpellErr="1">
      <w:pPr>
        <w:pStyle w:val="Heading2"/>
        <w:numPr>
          <w:ilvl w:val="1"/>
          <w:numId w:val="1"/>
        </w:numPr>
        <w:spacing w:line="360" w:lineRule="auto"/>
        <w:rPr>
          <w:color w:val="1F4E79" w:themeColor="accent5" w:themeShade="80"/>
        </w:rPr>
      </w:pPr>
      <w:bookmarkStart w:name="_Toc181702411" w:id="761557931"/>
      <w:r w:rsidRPr="1871EEFA" w:rsidR="001D5E7D">
        <w:rPr>
          <w:color w:val="1F4E79" w:themeColor="accent5" w:themeTint="FF" w:themeShade="80"/>
        </w:rPr>
        <w:t>Tender Brief</w:t>
      </w:r>
      <w:bookmarkEnd w:id="761557931"/>
    </w:p>
    <w:p w:rsidR="006D26DE" w:rsidP="0098428C" w:rsidRDefault="006D26DE" w14:paraId="1C531BA1" w14:textId="5C91969C">
      <w:pPr>
        <w:rPr>
          <w:rFonts w:eastAsiaTheme="majorEastAsia"/>
        </w:rPr>
      </w:pPr>
      <w:r w:rsidRPr="006D26DE">
        <w:rPr>
          <w:rFonts w:eastAsiaTheme="majorEastAsia"/>
        </w:rPr>
        <w:t xml:space="preserve">This Invitation to Tender (ITT) has been issued by </w:t>
      </w:r>
      <w:r>
        <w:rPr>
          <w:rFonts w:eastAsiaTheme="majorEastAsia"/>
        </w:rPr>
        <w:t>Barcud Shared Services for and on the</w:t>
      </w:r>
      <w:r w:rsidR="00113090">
        <w:rPr>
          <w:rFonts w:eastAsiaTheme="majorEastAsia"/>
        </w:rPr>
        <w:t xml:space="preserve"> </w:t>
      </w:r>
      <w:r w:rsidR="00064FAC">
        <w:rPr>
          <w:rFonts w:eastAsiaTheme="majorEastAsia"/>
        </w:rPr>
        <w:t xml:space="preserve">behalf </w:t>
      </w:r>
      <w:r w:rsidR="00113090">
        <w:rPr>
          <w:rFonts w:eastAsiaTheme="majorEastAsia"/>
        </w:rPr>
        <w:t>of</w:t>
      </w:r>
      <w:r w:rsidR="00F87519">
        <w:rPr>
          <w:rFonts w:eastAsiaTheme="majorEastAsia"/>
        </w:rPr>
        <w:t xml:space="preserve"> </w:t>
      </w:r>
      <w:r w:rsidR="002E7E66">
        <w:rPr>
          <w:rFonts w:eastAsiaTheme="majorEastAsia"/>
        </w:rPr>
        <w:t>Barcud Shared Services Clients and others that wish to use</w:t>
      </w:r>
      <w:r>
        <w:rPr>
          <w:rFonts w:eastAsiaTheme="majorEastAsia"/>
        </w:rPr>
        <w:t>. This ITT is to be run as an</w:t>
      </w:r>
      <w:r w:rsidRPr="006D26DE">
        <w:rPr>
          <w:rFonts w:eastAsiaTheme="majorEastAsia"/>
        </w:rPr>
        <w:t xml:space="preserve"> ‘Open Procedure’ in accordance with </w:t>
      </w:r>
      <w:r w:rsidR="002A5A52">
        <w:rPr>
          <w:rFonts w:eastAsiaTheme="majorEastAsia"/>
        </w:rPr>
        <w:t>Procurement Act 2023</w:t>
      </w:r>
      <w:r w:rsidR="00906711">
        <w:rPr>
          <w:rFonts w:eastAsiaTheme="majorEastAsia"/>
        </w:rPr>
        <w:t xml:space="preserve"> </w:t>
      </w:r>
      <w:r w:rsidR="002A5A52">
        <w:rPr>
          <w:rFonts w:eastAsiaTheme="majorEastAsia"/>
        </w:rPr>
        <w:t>(PA</w:t>
      </w:r>
      <w:r w:rsidR="00906711">
        <w:rPr>
          <w:rFonts w:eastAsiaTheme="majorEastAsia"/>
        </w:rPr>
        <w:t>23)</w:t>
      </w:r>
      <w:r w:rsidR="000624D4">
        <w:rPr>
          <w:rFonts w:eastAsiaTheme="majorEastAsia"/>
        </w:rPr>
        <w:t xml:space="preserve"> </w:t>
      </w:r>
      <w:r>
        <w:rPr>
          <w:rFonts w:eastAsiaTheme="majorEastAsia"/>
        </w:rPr>
        <w:t xml:space="preserve">and </w:t>
      </w:r>
      <w:r w:rsidRPr="006D26DE">
        <w:rPr>
          <w:rFonts w:eastAsiaTheme="majorEastAsia"/>
        </w:rPr>
        <w:t>advertised on Sell2Wales.</w:t>
      </w:r>
    </w:p>
    <w:p w:rsidR="00137C11" w:rsidP="00137C11" w:rsidRDefault="00137C11" w14:paraId="0F9E858D" w14:textId="7743E2B7">
      <w:pPr>
        <w:rPr>
          <w:rFonts w:eastAsiaTheme="majorEastAsia"/>
        </w:rPr>
      </w:pPr>
      <w:r w:rsidRPr="00ED5576">
        <w:rPr>
          <w:rFonts w:eastAsiaTheme="majorEastAsia"/>
        </w:rPr>
        <w:t>Barcud Shared Services requirement for BSS2400</w:t>
      </w:r>
      <w:r>
        <w:rPr>
          <w:rFonts w:eastAsiaTheme="majorEastAsia"/>
        </w:rPr>
        <w:t>5</w:t>
      </w:r>
      <w:r w:rsidRPr="00ED5576">
        <w:rPr>
          <w:rFonts w:eastAsiaTheme="majorEastAsia"/>
        </w:rPr>
        <w:t xml:space="preserve"> – </w:t>
      </w:r>
      <w:r w:rsidR="005B7630">
        <w:rPr>
          <w:rFonts w:eastAsiaTheme="majorEastAsia"/>
        </w:rPr>
        <w:t>Personal</w:t>
      </w:r>
      <w:r>
        <w:rPr>
          <w:rFonts w:eastAsiaTheme="majorEastAsia"/>
        </w:rPr>
        <w:t xml:space="preserve"> Adaptation</w:t>
      </w:r>
      <w:r w:rsidR="005B7630">
        <w:rPr>
          <w:rFonts w:eastAsiaTheme="majorEastAsia"/>
        </w:rPr>
        <w:t xml:space="preserve"> Grants</w:t>
      </w:r>
      <w:r>
        <w:rPr>
          <w:rFonts w:eastAsiaTheme="majorEastAsia"/>
        </w:rPr>
        <w:t xml:space="preserve"> (</w:t>
      </w:r>
      <w:r w:rsidR="005B7630">
        <w:rPr>
          <w:rFonts w:eastAsiaTheme="majorEastAsia"/>
        </w:rPr>
        <w:t>PAG</w:t>
      </w:r>
      <w:r>
        <w:rPr>
          <w:rFonts w:eastAsiaTheme="majorEastAsia"/>
        </w:rPr>
        <w:t>)</w:t>
      </w:r>
      <w:r w:rsidRPr="00ED5576">
        <w:rPr>
          <w:rFonts w:eastAsiaTheme="majorEastAsia"/>
        </w:rPr>
        <w:t xml:space="preserve">, this framework will be assessable by all Barcud Shared Services Members and Clients </w:t>
      </w:r>
      <w:r w:rsidRPr="766DBD1E" w:rsidR="65891681">
        <w:rPr>
          <w:rFonts w:eastAsiaTheme="majorEastAsia"/>
        </w:rPr>
        <w:t>current and future.</w:t>
      </w:r>
      <w:r w:rsidRPr="766DBD1E">
        <w:rPr>
          <w:rFonts w:eastAsiaTheme="majorEastAsia"/>
        </w:rPr>
        <w:t xml:space="preserve"> </w:t>
      </w:r>
      <w:r w:rsidRPr="00ED5576">
        <w:rPr>
          <w:rFonts w:eastAsiaTheme="majorEastAsia"/>
        </w:rPr>
        <w:t>(</w:t>
      </w:r>
      <w:proofErr w:type="gramStart"/>
      <w:r w:rsidRPr="00ED5576">
        <w:rPr>
          <w:rFonts w:eastAsiaTheme="majorEastAsia"/>
        </w:rPr>
        <w:t>further</w:t>
      </w:r>
      <w:proofErr w:type="gramEnd"/>
      <w:r w:rsidRPr="00ED5576">
        <w:rPr>
          <w:rFonts w:eastAsiaTheme="majorEastAsia"/>
        </w:rPr>
        <w:t xml:space="preserve"> information in this regard can be found in </w:t>
      </w:r>
      <w:r w:rsidRPr="00ED5576">
        <w:rPr>
          <w:rFonts w:eastAsiaTheme="majorEastAsia"/>
          <w:i/>
          <w:iCs/>
        </w:rPr>
        <w:t>1.3. Introduction to Barcud Shared Services</w:t>
      </w:r>
      <w:r w:rsidRPr="00ED5576">
        <w:rPr>
          <w:rFonts w:eastAsiaTheme="majorEastAsia"/>
        </w:rPr>
        <w:t>).</w:t>
      </w:r>
    </w:p>
    <w:p w:rsidR="00F95E8F" w:rsidP="1871EEFA" w:rsidRDefault="00F95E8F" w14:paraId="5A51FCD6" w14:textId="69F8DF65">
      <w:pPr>
        <w:rPr>
          <w:rFonts w:eastAsia="游ゴシック Light" w:eastAsiaTheme="majorEastAsia"/>
        </w:rPr>
      </w:pPr>
      <w:r w:rsidRPr="1871EEFA" w:rsidR="00F95E8F">
        <w:rPr>
          <w:rFonts w:eastAsia="游ゴシック Light" w:eastAsiaTheme="majorEastAsia"/>
        </w:rPr>
        <w:t xml:space="preserve">The framework is advertised on </w:t>
      </w:r>
      <w:r w:rsidRPr="1871EEFA" w:rsidR="00F95E8F">
        <w:rPr>
          <w:rFonts w:eastAsia="游ゴシック Light" w:eastAsiaTheme="majorEastAsia"/>
        </w:rPr>
        <w:t>a</w:t>
      </w:r>
      <w:r w:rsidRPr="1871EEFA" w:rsidR="70E8BAD3">
        <w:rPr>
          <w:rFonts w:eastAsia="游ゴシック Light" w:eastAsiaTheme="majorEastAsia"/>
        </w:rPr>
        <w:t>n</w:t>
      </w:r>
      <w:r w:rsidRPr="1871EEFA" w:rsidR="00F95E8F">
        <w:rPr>
          <w:rFonts w:eastAsia="游ゴシック Light" w:eastAsiaTheme="majorEastAsia"/>
        </w:rPr>
        <w:t xml:space="preserve"> </w:t>
      </w:r>
      <w:r w:rsidRPr="1871EEFA" w:rsidR="007133B9">
        <w:rPr>
          <w:rFonts w:eastAsia="游ゴシック Light" w:eastAsiaTheme="majorEastAsia"/>
        </w:rPr>
        <w:t>8</w:t>
      </w:r>
      <w:r w:rsidRPr="1871EEFA" w:rsidR="00F95E8F">
        <w:rPr>
          <w:rFonts w:eastAsia="游ゴシック Light" w:eastAsiaTheme="majorEastAsia"/>
        </w:rPr>
        <w:t xml:space="preserve"> year</w:t>
      </w:r>
      <w:r w:rsidRPr="1871EEFA" w:rsidR="007133B9">
        <w:rPr>
          <w:rFonts w:eastAsia="游ゴシック Light" w:eastAsiaTheme="majorEastAsia"/>
        </w:rPr>
        <w:t xml:space="preserve"> </w:t>
      </w:r>
      <w:r w:rsidRPr="1871EEFA" w:rsidR="00A30643">
        <w:rPr>
          <w:rFonts w:eastAsia="游ゴシック Light" w:eastAsiaTheme="majorEastAsia"/>
        </w:rPr>
        <w:t>open</w:t>
      </w:r>
      <w:r w:rsidRPr="1871EEFA" w:rsidR="007133B9">
        <w:rPr>
          <w:rFonts w:eastAsia="游ゴシック Light" w:eastAsiaTheme="majorEastAsia"/>
        </w:rPr>
        <w:t xml:space="preserve"> framework</w:t>
      </w:r>
      <w:r w:rsidRPr="1871EEFA" w:rsidR="00F95E8F">
        <w:rPr>
          <w:rFonts w:eastAsia="游ゴシック Light" w:eastAsiaTheme="majorEastAsia"/>
        </w:rPr>
        <w:t xml:space="preserve"> basis, with a </w:t>
      </w:r>
      <w:r w:rsidRPr="1871EEFA" w:rsidR="00F95E8F">
        <w:rPr>
          <w:rFonts w:eastAsia="游ゴシック Light" w:eastAsiaTheme="majorEastAsia"/>
        </w:rPr>
        <w:t>maximum</w:t>
      </w:r>
      <w:r w:rsidRPr="1871EEFA" w:rsidR="00F95E8F">
        <w:rPr>
          <w:rFonts w:eastAsia="游ゴシック Light" w:eastAsiaTheme="majorEastAsia"/>
        </w:rPr>
        <w:t xml:space="preserve"> award value of £</w:t>
      </w:r>
      <w:r w:rsidRPr="1871EEFA" w:rsidR="001B4664">
        <w:rPr>
          <w:rFonts w:eastAsia="游ゴシック Light" w:eastAsiaTheme="majorEastAsia"/>
        </w:rPr>
        <w:t>8</w:t>
      </w:r>
      <w:r w:rsidRPr="1871EEFA" w:rsidR="00F95E8F">
        <w:rPr>
          <w:rFonts w:eastAsia="游ゴシック Light" w:eastAsiaTheme="majorEastAsia"/>
        </w:rPr>
        <w:t xml:space="preserve">,000,000.00, the framework will </w:t>
      </w:r>
      <w:r w:rsidRPr="1871EEFA" w:rsidR="00F95E8F">
        <w:rPr>
          <w:rFonts w:eastAsia="游ゴシック Light" w:eastAsiaTheme="majorEastAsia"/>
        </w:rPr>
        <w:t>establish</w:t>
      </w:r>
      <w:r w:rsidRPr="1871EEFA" w:rsidR="00F95E8F">
        <w:rPr>
          <w:rFonts w:eastAsia="游ゴシック Light" w:eastAsiaTheme="majorEastAsia"/>
        </w:rPr>
        <w:t xml:space="preserve"> 3 distinct lots, there is no </w:t>
      </w:r>
      <w:r w:rsidRPr="1871EEFA" w:rsidR="00F95E8F">
        <w:rPr>
          <w:rFonts w:eastAsia="游ゴシック Light" w:eastAsiaTheme="majorEastAsia"/>
        </w:rPr>
        <w:t>maximum</w:t>
      </w:r>
      <w:r w:rsidRPr="1871EEFA" w:rsidR="00F95E8F">
        <w:rPr>
          <w:rFonts w:eastAsia="游ゴシック Light" w:eastAsiaTheme="majorEastAsia"/>
        </w:rPr>
        <w:t xml:space="preserve"> amount of lots a contractor can bid for, this will include:</w:t>
      </w:r>
      <w:r w:rsidRPr="1871EEFA" w:rsidR="00F95E8F">
        <w:rPr>
          <w:rFonts w:eastAsia="游ゴシック Light" w:eastAsiaTheme="majorEastAsia"/>
        </w:rPr>
        <w:t xml:space="preserve"> </w:t>
      </w:r>
    </w:p>
    <w:p w:rsidRPr="00416462" w:rsidR="00137C11" w:rsidP="00416462" w:rsidRDefault="00137C11" w14:paraId="2570E5C7" w14:textId="77777777">
      <w:pPr>
        <w:pStyle w:val="ListParagraph"/>
        <w:numPr>
          <w:ilvl w:val="0"/>
          <w:numId w:val="28"/>
        </w:numPr>
        <w:rPr>
          <w:rFonts w:eastAsiaTheme="majorEastAsia"/>
          <w:b/>
          <w:bCs/>
        </w:rPr>
      </w:pPr>
      <w:r w:rsidRPr="00416462">
        <w:rPr>
          <w:rFonts w:eastAsiaTheme="majorEastAsia"/>
          <w:b/>
          <w:bCs/>
        </w:rPr>
        <w:t>Lot 1 – Internal Adaptations</w:t>
      </w:r>
    </w:p>
    <w:p w:rsidRPr="00416462" w:rsidR="00137C11" w:rsidP="00416462" w:rsidRDefault="00137C11" w14:paraId="023239F9" w14:textId="56EE202D">
      <w:pPr>
        <w:pStyle w:val="ListParagraph"/>
        <w:numPr>
          <w:ilvl w:val="0"/>
          <w:numId w:val="28"/>
        </w:numPr>
        <w:rPr>
          <w:rFonts w:eastAsiaTheme="majorEastAsia"/>
          <w:b/>
          <w:bCs/>
        </w:rPr>
      </w:pPr>
      <w:r w:rsidRPr="00416462">
        <w:rPr>
          <w:rFonts w:eastAsiaTheme="majorEastAsia"/>
          <w:b/>
          <w:bCs/>
        </w:rPr>
        <w:t xml:space="preserve">Lot 2 – </w:t>
      </w:r>
      <w:r w:rsidRPr="00416462" w:rsidR="5FF97F32">
        <w:rPr>
          <w:rFonts w:eastAsiaTheme="majorEastAsia"/>
          <w:b/>
          <w:bCs/>
        </w:rPr>
        <w:t xml:space="preserve">External </w:t>
      </w:r>
      <w:r w:rsidRPr="00416462" w:rsidR="2FEC07C5">
        <w:rPr>
          <w:rFonts w:eastAsiaTheme="majorEastAsia"/>
          <w:b/>
          <w:bCs/>
        </w:rPr>
        <w:t>Adaptations</w:t>
      </w:r>
      <w:r w:rsidRPr="00416462">
        <w:rPr>
          <w:rFonts w:eastAsiaTheme="majorEastAsia"/>
          <w:b/>
          <w:bCs/>
        </w:rPr>
        <w:t xml:space="preserve"> </w:t>
      </w:r>
    </w:p>
    <w:p w:rsidRPr="00416462" w:rsidR="00137C11" w:rsidP="00416462" w:rsidRDefault="00137C11" w14:paraId="5BE6A706" w14:textId="2BBC6A53">
      <w:pPr>
        <w:pStyle w:val="ListParagraph"/>
        <w:numPr>
          <w:ilvl w:val="0"/>
          <w:numId w:val="28"/>
        </w:numPr>
        <w:rPr>
          <w:rFonts w:eastAsiaTheme="majorEastAsia"/>
          <w:b/>
          <w:bCs/>
        </w:rPr>
      </w:pPr>
      <w:r w:rsidRPr="00416462">
        <w:rPr>
          <w:rFonts w:eastAsiaTheme="majorEastAsia"/>
          <w:b/>
          <w:bCs/>
        </w:rPr>
        <w:t>Lot 3 – Stairlifts and hoists</w:t>
      </w:r>
    </w:p>
    <w:p w:rsidRPr="00ED5576" w:rsidR="00137C11" w:rsidP="00137C11" w:rsidRDefault="00137C11" w14:paraId="3AA27968" w14:textId="77777777">
      <w:pPr>
        <w:rPr>
          <w:rFonts w:eastAsiaTheme="majorEastAsia"/>
        </w:rPr>
      </w:pPr>
      <w:r w:rsidRPr="00ED5576">
        <w:rPr>
          <w:rFonts w:eastAsiaTheme="majorEastAsia"/>
        </w:rPr>
        <w:t>Suppliers appointed to the Framework Agreement must be aware that there is no guarantee of any of work or set number of </w:t>
      </w:r>
      <w:proofErr w:type="gramStart"/>
      <w:r w:rsidRPr="00ED5576">
        <w:rPr>
          <w:rFonts w:eastAsiaTheme="majorEastAsia"/>
        </w:rPr>
        <w:t>individual</w:t>
      </w:r>
      <w:proofErr w:type="gramEnd"/>
      <w:r w:rsidRPr="00ED5576">
        <w:rPr>
          <w:rFonts w:eastAsiaTheme="majorEastAsia"/>
        </w:rPr>
        <w:t xml:space="preserve"> “Call-off” Contracts per Supplier for each Lot. It is anticipated (but there is no obligation) that Individual “Call-off” Contracts shall be awarded in accordance with Schedule 2 – Call Off Process of Appendix </w:t>
      </w:r>
      <w:r w:rsidRPr="00F10409">
        <w:rPr>
          <w:rFonts w:eastAsiaTheme="majorEastAsia"/>
        </w:rPr>
        <w:t>5</w:t>
      </w:r>
      <w:r w:rsidRPr="00ED5576">
        <w:rPr>
          <w:rFonts w:eastAsiaTheme="majorEastAsia"/>
        </w:rPr>
        <w:t xml:space="preserve"> – Framework Agreement. It is at Barcud Shared Services sole discretion when “call-off' Contracts will be awarded. </w:t>
      </w:r>
    </w:p>
    <w:p w:rsidRPr="00A67E5C" w:rsidR="00137C11" w:rsidP="00137C11" w:rsidRDefault="00137C11" w14:paraId="06186EAA" w14:textId="77777777">
      <w:pPr>
        <w:rPr>
          <w:rFonts w:eastAsiaTheme="majorEastAsia"/>
        </w:rPr>
      </w:pPr>
      <w:r w:rsidRPr="00ED5576">
        <w:rPr>
          <w:rFonts w:eastAsiaTheme="majorEastAsia"/>
        </w:rPr>
        <w:t>Further information on the framework requirements may be found within the associated tender specification &amp; framework agreement. </w:t>
      </w:r>
    </w:p>
    <w:p w:rsidR="00137C11" w:rsidP="0098428C" w:rsidRDefault="00137C11" w14:paraId="347903C1" w14:textId="278B638A">
      <w:pPr>
        <w:rPr>
          <w:rFonts w:eastAsiaTheme="majorEastAsia"/>
        </w:rPr>
      </w:pPr>
      <w:r>
        <w:rPr>
          <w:rFonts w:eastAsiaTheme="majorEastAsia"/>
        </w:rPr>
        <w:t xml:space="preserve">Further information on the tender requirements may be found within the associated tender specification. </w:t>
      </w:r>
    </w:p>
    <w:p w:rsidRPr="002D143C" w:rsidR="00760ECD" w:rsidP="00612CBF" w:rsidRDefault="00760ECD" w14:paraId="082BFCB7" w14:textId="4942E1D1" w14:noSpellErr="1">
      <w:pPr>
        <w:pStyle w:val="Heading2"/>
        <w:numPr>
          <w:ilvl w:val="1"/>
          <w:numId w:val="1"/>
        </w:numPr>
        <w:spacing w:line="360" w:lineRule="auto"/>
        <w:rPr>
          <w:color w:val="1F4E79" w:themeColor="accent5" w:themeShade="80"/>
        </w:rPr>
      </w:pPr>
      <w:bookmarkStart w:name="_Toc1295862485" w:id="849370278"/>
      <w:r w:rsidRPr="1871EEFA" w:rsidR="00760ECD">
        <w:rPr>
          <w:color w:val="1F4E79" w:themeColor="accent5" w:themeTint="FF" w:themeShade="80"/>
        </w:rPr>
        <w:t>Indicative Timetable</w:t>
      </w:r>
      <w:bookmarkEnd w:id="849370278"/>
    </w:p>
    <w:p w:rsidR="00760ECD" w:rsidP="00760ECD" w:rsidRDefault="00760ECD" w14:paraId="73120B81" w14:textId="38D7E187">
      <w:pPr>
        <w:pStyle w:val="NoSpacing"/>
      </w:pPr>
      <w:r>
        <w:t>Set out below is the proposed procurement timetable. This is intended as a guide an</w:t>
      </w:r>
      <w:r w:rsidRPr="00760ECD">
        <w:t xml:space="preserve">d, whilst Barcud Shared Services does not intend to depart from the timetable, it reserves </w:t>
      </w:r>
      <w:r>
        <w:t>the right to do so at any stage.</w:t>
      </w:r>
    </w:p>
    <w:p w:rsidR="00760ECD" w:rsidP="00760ECD" w:rsidRDefault="00760ECD" w14:paraId="16503ABE" w14:textId="77777777">
      <w:pPr>
        <w:pStyle w:val="NoSpacing"/>
      </w:pPr>
    </w:p>
    <w:tbl>
      <w:tblPr>
        <w:tblStyle w:val="TableGrid"/>
        <w:tblW w:w="9252" w:type="dxa"/>
        <w:tblLook w:val="04A0" w:firstRow="1" w:lastRow="0" w:firstColumn="1" w:lastColumn="0" w:noHBand="0" w:noVBand="1"/>
      </w:tblPr>
      <w:tblGrid>
        <w:gridCol w:w="6091"/>
        <w:gridCol w:w="3161"/>
      </w:tblGrid>
      <w:tr w:rsidR="00760ECD" w:rsidTr="1871EEFA" w14:paraId="30F3AD4A" w14:textId="77777777">
        <w:tc>
          <w:tcPr>
            <w:tcW w:w="6091" w:type="dxa"/>
            <w:shd w:val="clear" w:color="auto" w:fill="1F3864" w:themeFill="accent1" w:themeFillShade="80"/>
            <w:tcMar/>
          </w:tcPr>
          <w:p w:rsidRPr="00EE614D" w:rsidR="00760ECD" w:rsidP="00E8198B" w:rsidRDefault="00760ECD" w14:paraId="1EEA4DA3" w14:textId="77777777">
            <w:pPr>
              <w:rPr>
                <w:b/>
                <w:bCs/>
                <w:color w:val="FFFFFF" w:themeColor="background1"/>
              </w:rPr>
            </w:pPr>
            <w:r w:rsidRPr="00EE614D">
              <w:rPr>
                <w:b/>
                <w:bCs/>
                <w:color w:val="FFFFFF" w:themeColor="background1"/>
              </w:rPr>
              <w:t>Procurement Stage</w:t>
            </w:r>
          </w:p>
        </w:tc>
        <w:tc>
          <w:tcPr>
            <w:tcW w:w="3161" w:type="dxa"/>
            <w:shd w:val="clear" w:color="auto" w:fill="1F3864" w:themeFill="accent1" w:themeFillShade="80"/>
            <w:tcMar/>
          </w:tcPr>
          <w:p w:rsidRPr="00EE614D" w:rsidR="00760ECD" w:rsidP="00E8198B" w:rsidRDefault="00760ECD" w14:paraId="1DB12C0D" w14:textId="77777777">
            <w:pPr>
              <w:rPr>
                <w:b/>
                <w:bCs/>
                <w:color w:val="FFFFFF" w:themeColor="background1"/>
              </w:rPr>
            </w:pPr>
            <w:r w:rsidRPr="00EE614D">
              <w:rPr>
                <w:b/>
                <w:bCs/>
                <w:color w:val="FFFFFF" w:themeColor="background1"/>
              </w:rPr>
              <w:t>Date</w:t>
            </w:r>
          </w:p>
        </w:tc>
      </w:tr>
      <w:tr w:rsidR="00760ECD" w:rsidTr="1871EEFA" w14:paraId="1DCE9C9C" w14:textId="77777777">
        <w:tc>
          <w:tcPr>
            <w:tcW w:w="6091" w:type="dxa"/>
            <w:tcMar/>
          </w:tcPr>
          <w:p w:rsidR="00760ECD" w:rsidP="00E8198B" w:rsidRDefault="00760ECD" w14:paraId="0F4BBD10" w14:textId="6E7CAAF9">
            <w:r>
              <w:t xml:space="preserve">ITT </w:t>
            </w:r>
            <w:r w:rsidR="00B335FA">
              <w:t>R</w:t>
            </w:r>
            <w:r>
              <w:t xml:space="preserve">elease </w:t>
            </w:r>
            <w:r w:rsidR="00B335FA">
              <w:t>D</w:t>
            </w:r>
            <w:r>
              <w:t>ate:</w:t>
            </w:r>
          </w:p>
        </w:tc>
        <w:tc>
          <w:tcPr>
            <w:tcW w:w="3161" w:type="dxa"/>
            <w:shd w:val="clear" w:color="auto" w:fill="auto"/>
            <w:tcMar/>
          </w:tcPr>
          <w:p w:rsidRPr="00C55CB0" w:rsidR="00760ECD" w:rsidP="49BE86B2" w:rsidRDefault="00906A82" w14:paraId="67A0C5BC" w14:textId="0B9F7BED">
            <w:pPr>
              <w:rPr>
                <w:rFonts w:ascii="Calibri" w:hAnsi="Calibri" w:eastAsia="Calibri" w:cs="Calibri"/>
              </w:rPr>
            </w:pPr>
            <w:r w:rsidRPr="1871EEFA" w:rsidR="3C477B09">
              <w:rPr>
                <w:rFonts w:ascii="Calibri" w:hAnsi="Calibri" w:eastAsia="Calibri" w:cs="Calibri"/>
              </w:rPr>
              <w:t>20</w:t>
            </w:r>
            <w:r w:rsidRPr="1871EEFA" w:rsidR="6B24D33B">
              <w:rPr>
                <w:rFonts w:ascii="Calibri" w:hAnsi="Calibri" w:eastAsia="Calibri" w:cs="Calibri"/>
              </w:rPr>
              <w:t>/0</w:t>
            </w:r>
            <w:r w:rsidRPr="1871EEFA" w:rsidR="17EAAE37">
              <w:rPr>
                <w:rFonts w:ascii="Calibri" w:hAnsi="Calibri" w:eastAsia="Calibri" w:cs="Calibri"/>
              </w:rPr>
              <w:t>8</w:t>
            </w:r>
            <w:r w:rsidRPr="1871EEFA" w:rsidR="6B24D33B">
              <w:rPr>
                <w:rFonts w:ascii="Calibri" w:hAnsi="Calibri" w:eastAsia="Calibri" w:cs="Calibri"/>
              </w:rPr>
              <w:t>/2025</w:t>
            </w:r>
          </w:p>
        </w:tc>
      </w:tr>
      <w:tr w:rsidR="00760ECD" w:rsidTr="1871EEFA" w14:paraId="77E56615" w14:textId="77777777">
        <w:tc>
          <w:tcPr>
            <w:tcW w:w="6091" w:type="dxa"/>
            <w:tcMar/>
          </w:tcPr>
          <w:p w:rsidR="00760ECD" w:rsidP="49BE86B2" w:rsidRDefault="2E0863D1" w14:paraId="1A5AC1F3" w14:textId="1AE6F68A">
            <w:r w:rsidRPr="49BE86B2">
              <w:rPr>
                <w:rFonts w:ascii="Calibri" w:hAnsi="Calibri" w:eastAsia="Calibri" w:cs="Calibri"/>
              </w:rPr>
              <w:t>Supplier Clarification Deadline:</w:t>
            </w:r>
          </w:p>
        </w:tc>
        <w:tc>
          <w:tcPr>
            <w:tcW w:w="3161" w:type="dxa"/>
            <w:shd w:val="clear" w:color="auto" w:fill="auto"/>
            <w:tcMar/>
          </w:tcPr>
          <w:p w:rsidRPr="00C55CB0" w:rsidR="00760ECD" w:rsidP="49BE86B2" w:rsidRDefault="003F7402" w14:paraId="26CF4060" w14:textId="57367BA4">
            <w:pPr>
              <w:rPr>
                <w:rFonts w:ascii="Calibri" w:hAnsi="Calibri" w:eastAsia="Calibri" w:cs="Calibri"/>
              </w:rPr>
            </w:pPr>
            <w:r>
              <w:rPr>
                <w:rFonts w:ascii="Calibri" w:hAnsi="Calibri" w:eastAsia="Calibri" w:cs="Calibri"/>
              </w:rPr>
              <w:t>29</w:t>
            </w:r>
            <w:r w:rsidRPr="00C55CB0" w:rsidR="00E500A4">
              <w:rPr>
                <w:rFonts w:ascii="Calibri" w:hAnsi="Calibri" w:eastAsia="Calibri" w:cs="Calibri"/>
              </w:rPr>
              <w:t>/0</w:t>
            </w:r>
            <w:r w:rsidR="00BC2AC8">
              <w:rPr>
                <w:rFonts w:ascii="Calibri" w:hAnsi="Calibri" w:eastAsia="Calibri" w:cs="Calibri"/>
              </w:rPr>
              <w:t>9</w:t>
            </w:r>
            <w:r w:rsidRPr="00C55CB0" w:rsidR="00E500A4">
              <w:rPr>
                <w:rFonts w:ascii="Calibri" w:hAnsi="Calibri" w:eastAsia="Calibri" w:cs="Calibri"/>
              </w:rPr>
              <w:t>/2025</w:t>
            </w:r>
          </w:p>
        </w:tc>
      </w:tr>
      <w:tr w:rsidR="00760ECD" w:rsidTr="1871EEFA" w14:paraId="1FB8EB20" w14:textId="77777777">
        <w:tc>
          <w:tcPr>
            <w:tcW w:w="6091" w:type="dxa"/>
            <w:tcMar/>
          </w:tcPr>
          <w:p w:rsidR="00760ECD" w:rsidP="00E8198B" w:rsidRDefault="00760ECD" w14:paraId="207EAFD1" w14:textId="737B1E3F">
            <w:r>
              <w:t xml:space="preserve">ITT </w:t>
            </w:r>
            <w:r w:rsidR="00B335FA">
              <w:t>R</w:t>
            </w:r>
            <w:r>
              <w:t xml:space="preserve">esponse </w:t>
            </w:r>
            <w:r w:rsidR="00B335FA">
              <w:t>S</w:t>
            </w:r>
            <w:r>
              <w:t xml:space="preserve">ubmission </w:t>
            </w:r>
            <w:r w:rsidR="00B335FA">
              <w:t>D</w:t>
            </w:r>
            <w:r>
              <w:t>eadline:</w:t>
            </w:r>
          </w:p>
        </w:tc>
        <w:tc>
          <w:tcPr>
            <w:tcW w:w="3161" w:type="dxa"/>
            <w:shd w:val="clear" w:color="auto" w:fill="auto"/>
            <w:tcMar/>
          </w:tcPr>
          <w:p w:rsidRPr="00C55CB0" w:rsidR="00760ECD" w:rsidP="49BE86B2" w:rsidRDefault="008B48D8" w14:paraId="372BA07F" w14:textId="6422D9DF">
            <w:r>
              <w:t>06</w:t>
            </w:r>
            <w:r w:rsidRPr="00C55CB0" w:rsidR="00E500A4">
              <w:t>/</w:t>
            </w:r>
            <w:r>
              <w:t>10</w:t>
            </w:r>
            <w:r w:rsidRPr="00C55CB0" w:rsidR="00E500A4">
              <w:t>/2025</w:t>
            </w:r>
            <w:r w:rsidRPr="00C55CB0" w:rsidR="002DD368">
              <w:t xml:space="preserve"> </w:t>
            </w:r>
            <w:r w:rsidRPr="00C55CB0" w:rsidR="00760ECD">
              <w:t>12.00 (noon)</w:t>
            </w:r>
          </w:p>
        </w:tc>
      </w:tr>
      <w:tr w:rsidR="008B48D8" w:rsidTr="1871EEFA" w14:paraId="787DEDAA" w14:textId="77777777">
        <w:tc>
          <w:tcPr>
            <w:tcW w:w="6091" w:type="dxa"/>
            <w:tcMar/>
          </w:tcPr>
          <w:p w:rsidR="008B48D8" w:rsidP="00E8198B" w:rsidRDefault="008B48D8" w14:paraId="1DCB0AC4" w14:textId="37CD9E33">
            <w:r>
              <w:t xml:space="preserve">Standstill Period: </w:t>
            </w:r>
          </w:p>
        </w:tc>
        <w:tc>
          <w:tcPr>
            <w:tcW w:w="3161" w:type="dxa"/>
            <w:shd w:val="clear" w:color="auto" w:fill="auto"/>
            <w:tcMar/>
          </w:tcPr>
          <w:p w:rsidRPr="00C55CB0" w:rsidR="008B48D8" w:rsidP="00E8198B" w:rsidRDefault="00716423" w14:paraId="1168B1E9" w14:textId="16F0B21B">
            <w:r>
              <w:t>16/10/2025</w:t>
            </w:r>
          </w:p>
        </w:tc>
      </w:tr>
      <w:tr w:rsidR="00760ECD" w:rsidTr="1871EEFA" w14:paraId="697807A3" w14:textId="77777777">
        <w:tc>
          <w:tcPr>
            <w:tcW w:w="6091" w:type="dxa"/>
            <w:tcMar/>
          </w:tcPr>
          <w:p w:rsidR="00760ECD" w:rsidP="00E8198B" w:rsidRDefault="00FA7C1D" w14:paraId="1420ECF1" w14:textId="7C528C94">
            <w:r>
              <w:t xml:space="preserve">Anticipated </w:t>
            </w:r>
            <w:r w:rsidR="00B335FA">
              <w:t>C</w:t>
            </w:r>
            <w:r w:rsidR="00760ECD">
              <w:t xml:space="preserve">ompletion of </w:t>
            </w:r>
            <w:r w:rsidR="00B335FA">
              <w:t>T</w:t>
            </w:r>
            <w:r w:rsidR="00D17798">
              <w:t xml:space="preserve">ender </w:t>
            </w:r>
            <w:r w:rsidR="00B335FA">
              <w:t>E</w:t>
            </w:r>
            <w:r w:rsidR="00760ECD">
              <w:t xml:space="preserve">valuation and </w:t>
            </w:r>
            <w:r w:rsidR="00B335FA">
              <w:t>N</w:t>
            </w:r>
            <w:r w:rsidRPr="00A427D4" w:rsidR="00A427D4">
              <w:t>otification to Tenderers</w:t>
            </w:r>
          </w:p>
        </w:tc>
        <w:tc>
          <w:tcPr>
            <w:tcW w:w="3161" w:type="dxa"/>
            <w:shd w:val="clear" w:color="auto" w:fill="auto"/>
            <w:tcMar/>
          </w:tcPr>
          <w:p w:rsidRPr="00C55CB0" w:rsidR="00760ECD" w:rsidP="00E8198B" w:rsidRDefault="003F7402" w14:paraId="4E2E8383" w14:textId="3FCF8C51">
            <w:r>
              <w:t>27</w:t>
            </w:r>
            <w:r w:rsidRPr="00F840AB">
              <w:rPr>
                <w:vertAlign w:val="superscript"/>
              </w:rPr>
              <w:t>th</w:t>
            </w:r>
            <w:r w:rsidR="00F840AB">
              <w:t xml:space="preserve"> October</w:t>
            </w:r>
          </w:p>
        </w:tc>
      </w:tr>
      <w:tr w:rsidR="00760ECD" w:rsidTr="1871EEFA" w14:paraId="31A86A8D" w14:textId="77777777">
        <w:tc>
          <w:tcPr>
            <w:tcW w:w="6091" w:type="dxa"/>
            <w:tcMar/>
          </w:tcPr>
          <w:p w:rsidR="00760ECD" w:rsidP="49BE86B2" w:rsidRDefault="00EF6E9C" w14:paraId="3CC9EA42" w14:textId="1D22A4D7">
            <w:r>
              <w:t xml:space="preserve">Anticipated </w:t>
            </w:r>
            <w:r w:rsidR="00630EAE">
              <w:t>C</w:t>
            </w:r>
            <w:r w:rsidR="007601DC">
              <w:t xml:space="preserve">ontract </w:t>
            </w:r>
            <w:r w:rsidRPr="49BE86B2" w:rsidR="07C2D91F">
              <w:rPr>
                <w:rFonts w:ascii="Calibri" w:hAnsi="Calibri" w:eastAsia="Calibri" w:cs="Calibri"/>
              </w:rPr>
              <w:t>Signature</w:t>
            </w:r>
            <w:r w:rsidR="007601DC">
              <w:t xml:space="preserve"> </w:t>
            </w:r>
            <w:r w:rsidR="00B335FA">
              <w:t>D</w:t>
            </w:r>
            <w:r w:rsidR="007601DC">
              <w:t>ate</w:t>
            </w:r>
          </w:p>
        </w:tc>
        <w:tc>
          <w:tcPr>
            <w:tcW w:w="3161" w:type="dxa"/>
            <w:shd w:val="clear" w:color="auto" w:fill="auto"/>
            <w:tcMar/>
          </w:tcPr>
          <w:p w:rsidRPr="00C55CB0" w:rsidR="00760ECD" w:rsidP="49BE86B2" w:rsidRDefault="00760ECD" w14:paraId="292CAAFD" w14:textId="55965606">
            <w:r w:rsidRPr="00C55CB0">
              <w:t>Week commencing</w:t>
            </w:r>
            <w:r w:rsidR="00F840AB">
              <w:t xml:space="preserve"> 3</w:t>
            </w:r>
            <w:r w:rsidRPr="00F840AB" w:rsidR="00F840AB">
              <w:rPr>
                <w:vertAlign w:val="superscript"/>
              </w:rPr>
              <w:t>rd</w:t>
            </w:r>
            <w:r w:rsidR="00F840AB">
              <w:t xml:space="preserve"> November</w:t>
            </w:r>
          </w:p>
        </w:tc>
      </w:tr>
    </w:tbl>
    <w:p w:rsidRPr="0066157D" w:rsidR="00760ECD" w:rsidP="0066157D" w:rsidRDefault="0066157D" w14:paraId="1F251420" w14:textId="0671A021">
      <w:pPr>
        <w:jc w:val="right"/>
        <w:rPr>
          <w:sz w:val="20"/>
          <w:szCs w:val="20"/>
        </w:rPr>
      </w:pPr>
      <w:r w:rsidRPr="0066157D">
        <w:rPr>
          <w:sz w:val="20"/>
          <w:szCs w:val="20"/>
        </w:rPr>
        <w:t>Table 1</w:t>
      </w:r>
      <w:r>
        <w:rPr>
          <w:sz w:val="20"/>
          <w:szCs w:val="20"/>
        </w:rPr>
        <w:t xml:space="preserve"> – Indicative Timetable</w:t>
      </w:r>
    </w:p>
    <w:p w:rsidRPr="002D143C" w:rsidR="00760ECD" w:rsidP="00612CBF" w:rsidRDefault="00760ECD" w14:paraId="6DC8DEE7" w14:textId="084F1DCA" w14:noSpellErr="1">
      <w:pPr>
        <w:pStyle w:val="Heading2"/>
        <w:numPr>
          <w:ilvl w:val="1"/>
          <w:numId w:val="1"/>
        </w:numPr>
        <w:spacing w:line="360" w:lineRule="auto"/>
        <w:rPr>
          <w:color w:val="1F4E79" w:themeColor="accent5" w:themeShade="80"/>
        </w:rPr>
      </w:pPr>
      <w:bookmarkStart w:name="_Toc395599568" w:id="1072399158"/>
      <w:r w:rsidRPr="1871EEFA" w:rsidR="00760ECD">
        <w:rPr>
          <w:color w:val="1F4E79" w:themeColor="accent5" w:themeTint="FF" w:themeShade="80"/>
        </w:rPr>
        <w:t xml:space="preserve">Introduction </w:t>
      </w:r>
      <w:r w:rsidRPr="1871EEFA" w:rsidR="00581B46">
        <w:rPr>
          <w:color w:val="1F4E79" w:themeColor="accent5" w:themeTint="FF" w:themeShade="80"/>
        </w:rPr>
        <w:t>to</w:t>
      </w:r>
      <w:r w:rsidRPr="1871EEFA" w:rsidR="00760ECD">
        <w:rPr>
          <w:color w:val="1F4E79" w:themeColor="accent5" w:themeTint="FF" w:themeShade="80"/>
        </w:rPr>
        <w:t xml:space="preserve"> Barcud Shared Services</w:t>
      </w:r>
      <w:bookmarkEnd w:id="1072399158"/>
      <w:r w:rsidRPr="1871EEFA" w:rsidR="00760ECD">
        <w:rPr>
          <w:color w:val="1F4E79" w:themeColor="accent5" w:themeTint="FF" w:themeShade="80"/>
        </w:rPr>
        <w:t xml:space="preserve"> </w:t>
      </w:r>
    </w:p>
    <w:p w:rsidR="005204CE" w:rsidP="0098428C" w:rsidRDefault="005204CE" w14:paraId="10310BFC" w14:textId="05E5B774">
      <w:pPr>
        <w:rPr>
          <w:rFonts w:eastAsiaTheme="majorEastAsia"/>
        </w:rPr>
      </w:pPr>
      <w:r w:rsidRPr="005204CE">
        <w:rPr>
          <w:rFonts w:eastAsiaTheme="majorEastAsia"/>
        </w:rPr>
        <w:t>Barcud Shared Services was originally established in 2012 by four large scale voluntary transfer (LSVT) housing associations. Due to the organisation's success, Barcud Shared Services Limited (BSS) was incorporated in September 2019 as a not-for-profit company with five Members: Bron Afon Community Housing, Merthyr Valleys Homes, Tai Tarian</w:t>
      </w:r>
      <w:r w:rsidR="00113C56">
        <w:rPr>
          <w:rFonts w:eastAsiaTheme="majorEastAsia"/>
        </w:rPr>
        <w:t xml:space="preserve"> &amp;</w:t>
      </w:r>
      <w:r w:rsidRPr="005204CE">
        <w:rPr>
          <w:rFonts w:eastAsiaTheme="majorEastAsia"/>
        </w:rPr>
        <w:t xml:space="preserve"> Valleys to Coast Housing </w:t>
      </w:r>
      <w:r w:rsidR="00113C56">
        <w:rPr>
          <w:rFonts w:eastAsiaTheme="majorEastAsia"/>
        </w:rPr>
        <w:t>with</w:t>
      </w:r>
      <w:r w:rsidRPr="005204CE">
        <w:rPr>
          <w:rFonts w:eastAsiaTheme="majorEastAsia"/>
        </w:rPr>
        <w:t xml:space="preserve"> Cynon Taf, join</w:t>
      </w:r>
      <w:r w:rsidR="000F6B9C">
        <w:rPr>
          <w:rFonts w:eastAsiaTheme="majorEastAsia"/>
        </w:rPr>
        <w:t>ing</w:t>
      </w:r>
      <w:r w:rsidRPr="005204CE">
        <w:rPr>
          <w:rFonts w:eastAsiaTheme="majorEastAsia"/>
        </w:rPr>
        <w:t xml:space="preserve"> in 2022. </w:t>
      </w:r>
      <w:r w:rsidRPr="005204CE" w:rsidR="00113C56">
        <w:rPr>
          <w:rFonts w:eastAsiaTheme="majorEastAsia"/>
        </w:rPr>
        <w:t xml:space="preserve">Barcud Shared Services </w:t>
      </w:r>
      <w:r w:rsidRPr="005204CE">
        <w:rPr>
          <w:rFonts w:eastAsiaTheme="majorEastAsia"/>
        </w:rPr>
        <w:t xml:space="preserve">also has a subsidiary company - </w:t>
      </w:r>
      <w:proofErr w:type="spellStart"/>
      <w:r w:rsidRPr="005204CE">
        <w:rPr>
          <w:rFonts w:eastAsiaTheme="majorEastAsia"/>
        </w:rPr>
        <w:t>Astari</w:t>
      </w:r>
      <w:proofErr w:type="spellEnd"/>
      <w:r w:rsidRPr="005204CE">
        <w:rPr>
          <w:rFonts w:eastAsiaTheme="majorEastAsia"/>
        </w:rPr>
        <w:t xml:space="preserve"> Limited - which was established to provide services to non-Member organisation’s both in the sector and beyond, focusing on those with a social purpose.</w:t>
      </w:r>
      <w:r w:rsidR="00113C56">
        <w:rPr>
          <w:rFonts w:eastAsiaTheme="majorEastAsia"/>
        </w:rPr>
        <w:t xml:space="preserve"> </w:t>
      </w:r>
    </w:p>
    <w:p w:rsidR="005204CE" w:rsidP="0098428C" w:rsidRDefault="00EE6C7F" w14:paraId="48FD47AC" w14:textId="70DCD984">
      <w:pPr>
        <w:rPr>
          <w:rFonts w:eastAsiaTheme="majorEastAsia"/>
        </w:rPr>
      </w:pPr>
      <w:r w:rsidRPr="00EE6C7F">
        <w:rPr>
          <w:rFonts w:eastAsiaTheme="majorEastAsia"/>
        </w:rPr>
        <w:t>We strive to deliver a high quality, tailored, value-adding service to all our clients, drawing on the knowledge and experience of not only our own skilled staff, but also on the housing knowledge and experience within each of the organisations we work with.</w:t>
      </w:r>
    </w:p>
    <w:p w:rsidR="00AD256A" w:rsidP="0098428C" w:rsidRDefault="00AD256A" w14:paraId="0970236D" w14:textId="56354BE7">
      <w:pPr>
        <w:rPr>
          <w:rFonts w:eastAsiaTheme="majorEastAsia"/>
        </w:rPr>
      </w:pPr>
      <w:r w:rsidRPr="00AD256A">
        <w:rPr>
          <w:rFonts w:eastAsiaTheme="majorEastAsia"/>
        </w:rPr>
        <w:t>Barcud Shared Servies was established through an effective and unique service based on partnership working. Whilst working with multiple organisations within the sector we are sharing good practice to provide an efficient and robust value for money service. With our extensive experience it has provided us with specialised knowledge and understanding of the sector, the market and any current and emerging risks.</w:t>
      </w:r>
    </w:p>
    <w:p w:rsidR="00DB6CAC" w:rsidP="0098428C" w:rsidRDefault="00DB6CAC" w14:paraId="0957099A" w14:textId="606240F4">
      <w:pPr>
        <w:rPr>
          <w:rFonts w:eastAsiaTheme="majorEastAsia"/>
        </w:rPr>
      </w:pPr>
      <w:r w:rsidRPr="00DB6CAC">
        <w:rPr>
          <w:rFonts w:eastAsiaTheme="majorEastAsia"/>
        </w:rPr>
        <w:t>As a group we work with a range of social purpose organisations including:</w:t>
      </w:r>
    </w:p>
    <w:p w:rsidR="00DB6CAC" w:rsidP="00DB6CAC" w:rsidRDefault="00DB6CAC" w14:paraId="6D4F55CC" w14:textId="77777777">
      <w:pPr>
        <w:pStyle w:val="ListParagraph"/>
        <w:numPr>
          <w:ilvl w:val="0"/>
          <w:numId w:val="12"/>
        </w:numPr>
        <w:rPr>
          <w:rFonts w:eastAsiaTheme="majorEastAsia"/>
        </w:rPr>
        <w:sectPr w:rsidR="00DB6CAC" w:rsidSect="00D44EE8">
          <w:pgSz w:w="11906" w:h="16838" w:orient="portrait"/>
          <w:pgMar w:top="2268" w:right="1440" w:bottom="1440" w:left="1440" w:header="709" w:footer="709" w:gutter="0"/>
          <w:pgNumType w:start="2"/>
          <w:cols w:space="708"/>
          <w:docGrid w:linePitch="360"/>
        </w:sectPr>
      </w:pPr>
    </w:p>
    <w:p w:rsidRPr="00DB6CAC" w:rsidR="00DB6CAC" w:rsidP="00DB6CAC" w:rsidRDefault="00DB6CAC" w14:paraId="5627B411" w14:textId="77777777">
      <w:pPr>
        <w:pStyle w:val="ListParagraph"/>
        <w:numPr>
          <w:ilvl w:val="0"/>
          <w:numId w:val="12"/>
        </w:numPr>
        <w:rPr>
          <w:rFonts w:eastAsiaTheme="majorEastAsia"/>
        </w:rPr>
      </w:pPr>
      <w:r w:rsidRPr="00DB6CAC">
        <w:rPr>
          <w:rFonts w:eastAsiaTheme="majorEastAsia"/>
        </w:rPr>
        <w:t>Aelwyd Housing</w:t>
      </w:r>
    </w:p>
    <w:p w:rsidRPr="00DB6CAC" w:rsidR="00DB6CAC" w:rsidP="00DB6CAC" w:rsidRDefault="00DB6CAC" w14:paraId="4C33CA04" w14:textId="77777777">
      <w:pPr>
        <w:pStyle w:val="ListParagraph"/>
        <w:numPr>
          <w:ilvl w:val="0"/>
          <w:numId w:val="12"/>
        </w:numPr>
        <w:rPr>
          <w:rFonts w:eastAsiaTheme="majorEastAsia"/>
        </w:rPr>
      </w:pPr>
      <w:r w:rsidRPr="00DB6CAC">
        <w:rPr>
          <w:rFonts w:eastAsiaTheme="majorEastAsia"/>
        </w:rPr>
        <w:t>Barcud Housing Group</w:t>
      </w:r>
    </w:p>
    <w:p w:rsidRPr="00DB6CAC" w:rsidR="00DB6CAC" w:rsidP="00DB6CAC" w:rsidRDefault="00DB6CAC" w14:paraId="79D9CD1F" w14:textId="77777777">
      <w:pPr>
        <w:pStyle w:val="ListParagraph"/>
        <w:numPr>
          <w:ilvl w:val="0"/>
          <w:numId w:val="12"/>
        </w:numPr>
        <w:rPr>
          <w:rFonts w:eastAsiaTheme="majorEastAsia"/>
        </w:rPr>
      </w:pPr>
      <w:r w:rsidRPr="00DB6CAC">
        <w:rPr>
          <w:rFonts w:eastAsiaTheme="majorEastAsia"/>
        </w:rPr>
        <w:t>Bron Afon Community Housing</w:t>
      </w:r>
    </w:p>
    <w:p w:rsidRPr="00DB6CAC" w:rsidR="00DB6CAC" w:rsidP="00DB6CAC" w:rsidRDefault="00DB6CAC" w14:paraId="339F1E04" w14:textId="77777777">
      <w:pPr>
        <w:pStyle w:val="ListParagraph"/>
        <w:numPr>
          <w:ilvl w:val="0"/>
          <w:numId w:val="12"/>
        </w:numPr>
        <w:rPr>
          <w:rFonts w:eastAsiaTheme="majorEastAsia"/>
        </w:rPr>
      </w:pPr>
      <w:r w:rsidRPr="00DB6CAC">
        <w:rPr>
          <w:rFonts w:eastAsiaTheme="majorEastAsia"/>
        </w:rPr>
        <w:t>Cadwyn Housing Association</w:t>
      </w:r>
    </w:p>
    <w:p w:rsidRPr="00DB6CAC" w:rsidR="00DB6CAC" w:rsidP="00DB6CAC" w:rsidRDefault="00DB6CAC" w14:paraId="7A4F4DC0" w14:textId="77777777">
      <w:pPr>
        <w:pStyle w:val="ListParagraph"/>
        <w:numPr>
          <w:ilvl w:val="0"/>
          <w:numId w:val="12"/>
        </w:numPr>
        <w:rPr>
          <w:rFonts w:eastAsiaTheme="majorEastAsia"/>
        </w:rPr>
      </w:pPr>
      <w:r w:rsidRPr="00DB6CAC">
        <w:rPr>
          <w:rFonts w:eastAsiaTheme="majorEastAsia"/>
        </w:rPr>
        <w:t>Caredig</w:t>
      </w:r>
    </w:p>
    <w:p w:rsidRPr="00DB6CAC" w:rsidR="00DB6CAC" w:rsidP="00DB6CAC" w:rsidRDefault="00DB6CAC" w14:paraId="4F66B7D5" w14:textId="77777777">
      <w:pPr>
        <w:pStyle w:val="ListParagraph"/>
        <w:numPr>
          <w:ilvl w:val="0"/>
          <w:numId w:val="12"/>
        </w:numPr>
        <w:rPr>
          <w:rFonts w:eastAsiaTheme="majorEastAsia"/>
        </w:rPr>
      </w:pPr>
      <w:r w:rsidRPr="00DB6CAC">
        <w:rPr>
          <w:rFonts w:eastAsiaTheme="majorEastAsia"/>
        </w:rPr>
        <w:t>Care &amp; Repair Powys</w:t>
      </w:r>
    </w:p>
    <w:p w:rsidRPr="00DB6CAC" w:rsidR="00DB6CAC" w:rsidP="00DB6CAC" w:rsidRDefault="00DB6CAC" w14:paraId="32A75499" w14:textId="77777777">
      <w:pPr>
        <w:pStyle w:val="ListParagraph"/>
        <w:numPr>
          <w:ilvl w:val="0"/>
          <w:numId w:val="12"/>
        </w:numPr>
        <w:rPr>
          <w:rFonts w:eastAsiaTheme="majorEastAsia"/>
        </w:rPr>
      </w:pPr>
      <w:r w:rsidRPr="00DB6CAC">
        <w:rPr>
          <w:rFonts w:eastAsiaTheme="majorEastAsia"/>
        </w:rPr>
        <w:t>Cwm Taf Care &amp; Repair</w:t>
      </w:r>
    </w:p>
    <w:p w:rsidRPr="00DB6CAC" w:rsidR="00DB6CAC" w:rsidP="00DB6CAC" w:rsidRDefault="00DB6CAC" w14:paraId="586552D6" w14:textId="77777777">
      <w:pPr>
        <w:pStyle w:val="ListParagraph"/>
        <w:numPr>
          <w:ilvl w:val="0"/>
          <w:numId w:val="12"/>
        </w:numPr>
        <w:rPr>
          <w:rFonts w:eastAsiaTheme="majorEastAsia"/>
        </w:rPr>
      </w:pPr>
      <w:r w:rsidRPr="00DB6CAC">
        <w:rPr>
          <w:rFonts w:eastAsiaTheme="majorEastAsia"/>
        </w:rPr>
        <w:t>Cynon Taf</w:t>
      </w:r>
    </w:p>
    <w:p w:rsidRPr="00DB6CAC" w:rsidR="00DB6CAC" w:rsidP="00DB6CAC" w:rsidRDefault="00DB6CAC" w14:paraId="4227D31A" w14:textId="77777777">
      <w:pPr>
        <w:pStyle w:val="ListParagraph"/>
        <w:numPr>
          <w:ilvl w:val="0"/>
          <w:numId w:val="12"/>
        </w:numPr>
        <w:rPr>
          <w:rFonts w:eastAsiaTheme="majorEastAsia"/>
        </w:rPr>
      </w:pPr>
      <w:r w:rsidRPr="00DB6CAC">
        <w:rPr>
          <w:rFonts w:eastAsiaTheme="majorEastAsia"/>
        </w:rPr>
        <w:t>First Choice Housing Association</w:t>
      </w:r>
    </w:p>
    <w:p w:rsidRPr="00DB6CAC" w:rsidR="00DB6CAC" w:rsidP="00DB6CAC" w:rsidRDefault="00DB6CAC" w14:paraId="122059C0" w14:textId="0CDA73DA">
      <w:pPr>
        <w:pStyle w:val="ListParagraph"/>
        <w:numPr>
          <w:ilvl w:val="0"/>
          <w:numId w:val="12"/>
        </w:numPr>
        <w:rPr>
          <w:rFonts w:eastAsiaTheme="majorEastAsia"/>
        </w:rPr>
      </w:pPr>
      <w:r w:rsidRPr="00DB6CAC">
        <w:rPr>
          <w:rFonts w:eastAsiaTheme="majorEastAsia"/>
        </w:rPr>
        <w:t>Local Partnerships</w:t>
      </w:r>
    </w:p>
    <w:p w:rsidRPr="00DB6CAC" w:rsidR="00DB6CAC" w:rsidP="00DB6CAC" w:rsidRDefault="00DB6CAC" w14:paraId="2B5E91FF" w14:textId="77777777">
      <w:pPr>
        <w:pStyle w:val="ListParagraph"/>
        <w:numPr>
          <w:ilvl w:val="0"/>
          <w:numId w:val="12"/>
        </w:numPr>
        <w:rPr>
          <w:rFonts w:eastAsiaTheme="majorEastAsia"/>
        </w:rPr>
      </w:pPr>
      <w:r w:rsidRPr="00DB6CAC">
        <w:rPr>
          <w:rFonts w:eastAsiaTheme="majorEastAsia"/>
        </w:rPr>
        <w:t>Merthyr Valleys Homes</w:t>
      </w:r>
    </w:p>
    <w:p w:rsidRPr="00DB6CAC" w:rsidR="00DB6CAC" w:rsidP="00DB6CAC" w:rsidRDefault="00DB6CAC" w14:paraId="6613BA07" w14:textId="77777777">
      <w:pPr>
        <w:pStyle w:val="ListParagraph"/>
        <w:numPr>
          <w:ilvl w:val="0"/>
          <w:numId w:val="12"/>
        </w:numPr>
        <w:rPr>
          <w:rFonts w:eastAsiaTheme="majorEastAsia"/>
        </w:rPr>
      </w:pPr>
      <w:r w:rsidRPr="00DB6CAC">
        <w:rPr>
          <w:rFonts w:eastAsiaTheme="majorEastAsia"/>
        </w:rPr>
        <w:t>Newydd Group</w:t>
      </w:r>
    </w:p>
    <w:p w:rsidRPr="00DB6CAC" w:rsidR="00DB6CAC" w:rsidP="00DB6CAC" w:rsidRDefault="00DB6CAC" w14:paraId="1DD488F2" w14:textId="77777777">
      <w:pPr>
        <w:pStyle w:val="ListParagraph"/>
        <w:numPr>
          <w:ilvl w:val="0"/>
          <w:numId w:val="12"/>
        </w:numPr>
        <w:rPr>
          <w:rFonts w:eastAsiaTheme="majorEastAsia"/>
        </w:rPr>
      </w:pPr>
      <w:r w:rsidRPr="00DB6CAC">
        <w:rPr>
          <w:rFonts w:eastAsiaTheme="majorEastAsia"/>
        </w:rPr>
        <w:t>Pembrokeshire Coast National Park Authority</w:t>
      </w:r>
    </w:p>
    <w:p w:rsidRPr="00DB6CAC" w:rsidR="00DB6CAC" w:rsidP="00DB6CAC" w:rsidRDefault="00DB6CAC" w14:paraId="7D965CB0" w14:textId="77777777">
      <w:pPr>
        <w:pStyle w:val="ListParagraph"/>
        <w:numPr>
          <w:ilvl w:val="0"/>
          <w:numId w:val="12"/>
        </w:numPr>
        <w:rPr>
          <w:rFonts w:eastAsiaTheme="majorEastAsia"/>
        </w:rPr>
      </w:pPr>
      <w:r w:rsidRPr="00DB6CAC">
        <w:rPr>
          <w:rFonts w:eastAsiaTheme="majorEastAsia"/>
        </w:rPr>
        <w:t>SHAL</w:t>
      </w:r>
    </w:p>
    <w:p w:rsidRPr="00DB6CAC" w:rsidR="00DB6CAC" w:rsidP="00DB6CAC" w:rsidRDefault="00DB6CAC" w14:paraId="0C6ED5A9" w14:textId="77777777">
      <w:pPr>
        <w:pStyle w:val="ListParagraph"/>
        <w:numPr>
          <w:ilvl w:val="0"/>
          <w:numId w:val="12"/>
        </w:numPr>
        <w:rPr>
          <w:rFonts w:eastAsiaTheme="majorEastAsia"/>
        </w:rPr>
      </w:pPr>
      <w:r w:rsidRPr="00DB6CAC">
        <w:rPr>
          <w:rFonts w:eastAsiaTheme="majorEastAsia"/>
        </w:rPr>
        <w:t>Smart Money Cymru</w:t>
      </w:r>
    </w:p>
    <w:p w:rsidRPr="00DB6CAC" w:rsidR="00DB6CAC" w:rsidP="00DB6CAC" w:rsidRDefault="00DB6CAC" w14:paraId="1307627A" w14:textId="77777777">
      <w:pPr>
        <w:pStyle w:val="ListParagraph"/>
        <w:numPr>
          <w:ilvl w:val="0"/>
          <w:numId w:val="12"/>
        </w:numPr>
        <w:rPr>
          <w:rFonts w:eastAsiaTheme="majorEastAsia"/>
        </w:rPr>
      </w:pPr>
      <w:r w:rsidRPr="00DB6CAC">
        <w:rPr>
          <w:rFonts w:eastAsiaTheme="majorEastAsia"/>
        </w:rPr>
        <w:t>Tai Tarian</w:t>
      </w:r>
    </w:p>
    <w:p w:rsidRPr="00DB6CAC" w:rsidR="00DB6CAC" w:rsidP="00DB6CAC" w:rsidRDefault="00DB6CAC" w14:paraId="1D59B0FF" w14:textId="77777777">
      <w:pPr>
        <w:pStyle w:val="ListParagraph"/>
        <w:numPr>
          <w:ilvl w:val="0"/>
          <w:numId w:val="12"/>
        </w:numPr>
        <w:rPr>
          <w:rFonts w:eastAsiaTheme="majorEastAsia"/>
        </w:rPr>
      </w:pPr>
      <w:r w:rsidRPr="00DB6CAC">
        <w:rPr>
          <w:rFonts w:eastAsiaTheme="majorEastAsia"/>
        </w:rPr>
        <w:t>The Care Society</w:t>
      </w:r>
    </w:p>
    <w:p w:rsidRPr="00DB6CAC" w:rsidR="00DB6CAC" w:rsidP="00DB6CAC" w:rsidRDefault="00DB6CAC" w14:paraId="14E7F5D7" w14:textId="77777777">
      <w:pPr>
        <w:pStyle w:val="ListParagraph"/>
        <w:numPr>
          <w:ilvl w:val="0"/>
          <w:numId w:val="12"/>
        </w:numPr>
        <w:rPr>
          <w:rFonts w:eastAsiaTheme="majorEastAsia"/>
        </w:rPr>
      </w:pPr>
      <w:r w:rsidRPr="00DB6CAC">
        <w:rPr>
          <w:rFonts w:eastAsiaTheme="majorEastAsia"/>
        </w:rPr>
        <w:t>United Welsh</w:t>
      </w:r>
    </w:p>
    <w:p w:rsidRPr="00DB6CAC" w:rsidR="00DB6CAC" w:rsidP="00DB6CAC" w:rsidRDefault="00DB6CAC" w14:paraId="70F52643" w14:textId="21CEEC5C">
      <w:pPr>
        <w:pStyle w:val="ListParagraph"/>
        <w:numPr>
          <w:ilvl w:val="0"/>
          <w:numId w:val="12"/>
        </w:numPr>
        <w:rPr>
          <w:rFonts w:eastAsiaTheme="majorEastAsia"/>
        </w:rPr>
      </w:pPr>
      <w:r w:rsidRPr="00DB6CAC">
        <w:rPr>
          <w:rFonts w:eastAsiaTheme="majorEastAsia"/>
        </w:rPr>
        <w:t>Valleys to Coast</w:t>
      </w:r>
    </w:p>
    <w:p w:rsidR="00DB6CAC" w:rsidP="0098428C" w:rsidRDefault="00DB6CAC" w14:paraId="179B6CF2" w14:textId="77777777">
      <w:pPr>
        <w:rPr>
          <w:rFonts w:eastAsiaTheme="majorEastAsia"/>
        </w:rPr>
        <w:sectPr w:rsidR="00DB6CAC" w:rsidSect="00DB6CAC">
          <w:type w:val="continuous"/>
          <w:pgSz w:w="11906" w:h="16838" w:orient="portrait"/>
          <w:pgMar w:top="2268" w:right="1440" w:bottom="1440" w:left="1440" w:header="709" w:footer="709" w:gutter="0"/>
          <w:pgNumType w:start="2"/>
          <w:cols w:space="708" w:num="2"/>
          <w:docGrid w:linePitch="360"/>
        </w:sectPr>
      </w:pPr>
    </w:p>
    <w:p w:rsidRPr="00902030" w:rsidR="00902030" w:rsidP="00902030" w:rsidRDefault="00902030" w14:paraId="3B95958B" w14:textId="7A31FE56">
      <w:pPr>
        <w:rPr>
          <w:rFonts w:eastAsiaTheme="majorEastAsia"/>
        </w:rPr>
      </w:pPr>
      <w:r w:rsidRPr="005204CE">
        <w:rPr>
          <w:rFonts w:eastAsiaTheme="majorEastAsia"/>
        </w:rPr>
        <w:t xml:space="preserve">Barcud Shared Services </w:t>
      </w:r>
      <w:r w:rsidRPr="00902030">
        <w:rPr>
          <w:rFonts w:eastAsiaTheme="majorEastAsia"/>
        </w:rPr>
        <w:t>has two simple objectives:</w:t>
      </w:r>
    </w:p>
    <w:p w:rsidRPr="00902030" w:rsidR="00902030" w:rsidP="00902030" w:rsidRDefault="00902030" w14:paraId="7496C8AA" w14:textId="77777777">
      <w:pPr>
        <w:pStyle w:val="ListParagraph"/>
        <w:numPr>
          <w:ilvl w:val="0"/>
          <w:numId w:val="13"/>
        </w:numPr>
        <w:rPr>
          <w:rFonts w:eastAsiaTheme="majorEastAsia"/>
        </w:rPr>
      </w:pPr>
      <w:r w:rsidRPr="00902030">
        <w:rPr>
          <w:rFonts w:eastAsiaTheme="majorEastAsia"/>
        </w:rPr>
        <w:t>To ensure our clients get best value for money through the creation and delivery of a range of high-quality shared services that decrease cost and increase value; and</w:t>
      </w:r>
    </w:p>
    <w:p w:rsidRPr="00560806" w:rsidR="00A3408D" w:rsidP="00560806" w:rsidRDefault="00902030" w14:paraId="1DE94505" w14:textId="2E7EE81F">
      <w:pPr>
        <w:pStyle w:val="ListParagraph"/>
        <w:numPr>
          <w:ilvl w:val="0"/>
          <w:numId w:val="13"/>
        </w:numPr>
        <w:rPr>
          <w:rFonts w:eastAsiaTheme="majorEastAsia"/>
        </w:rPr>
        <w:sectPr w:rsidRPr="00560806" w:rsidR="00A3408D" w:rsidSect="00DB6CAC">
          <w:type w:val="continuous"/>
          <w:pgSz w:w="11906" w:h="16838" w:orient="portrait"/>
          <w:pgMar w:top="2268" w:right="1440" w:bottom="1440" w:left="1440" w:header="709" w:footer="709" w:gutter="0"/>
          <w:pgNumType w:start="2"/>
          <w:cols w:space="708"/>
          <w:docGrid w:linePitch="360"/>
        </w:sectPr>
      </w:pPr>
      <w:r w:rsidRPr="00902030">
        <w:rPr>
          <w:rFonts w:eastAsiaTheme="majorEastAsia"/>
        </w:rPr>
        <w:t>Investment in our colleagues, structures and systems to ensure that delivery of those services is of the highest quality.</w:t>
      </w:r>
    </w:p>
    <w:p w:rsidRPr="00612CBF" w:rsidR="001D5E7D" w:rsidP="00612CBF" w:rsidRDefault="001D5E7D" w14:paraId="4F707DE0" w14:textId="5E10884D" w14:noSpellErr="1">
      <w:pPr>
        <w:pStyle w:val="Heading1"/>
        <w:numPr>
          <w:ilvl w:val="0"/>
          <w:numId w:val="1"/>
        </w:numPr>
        <w:spacing w:line="360" w:lineRule="auto"/>
        <w:rPr>
          <w:color w:val="1F4E79" w:themeColor="accent5" w:themeShade="80"/>
          <w:sz w:val="32"/>
          <w:szCs w:val="32"/>
        </w:rPr>
      </w:pPr>
      <w:bookmarkStart w:name="_Toc423577699" w:id="1787768216"/>
      <w:r w:rsidRPr="1871EEFA" w:rsidR="001D5E7D">
        <w:rPr>
          <w:color w:val="1F4E79" w:themeColor="accent5" w:themeTint="FF" w:themeShade="80"/>
          <w:sz w:val="32"/>
          <w:szCs w:val="32"/>
        </w:rPr>
        <w:t>Tender Guidance</w:t>
      </w:r>
      <w:bookmarkEnd w:id="1787768216"/>
      <w:r w:rsidRPr="1871EEFA" w:rsidR="001D5E7D">
        <w:rPr>
          <w:color w:val="1F4E79" w:themeColor="accent5" w:themeTint="FF" w:themeShade="80"/>
          <w:sz w:val="32"/>
          <w:szCs w:val="32"/>
        </w:rPr>
        <w:t xml:space="preserve"> </w:t>
      </w:r>
    </w:p>
    <w:p w:rsidRPr="00612CBF" w:rsidR="001D5E7D" w:rsidP="00612CBF" w:rsidRDefault="00D44EE8" w14:paraId="015D1C52" w14:textId="4D5914C9" w14:noSpellErr="1">
      <w:pPr>
        <w:pStyle w:val="Heading2"/>
        <w:numPr>
          <w:ilvl w:val="1"/>
          <w:numId w:val="1"/>
        </w:numPr>
        <w:spacing w:line="360" w:lineRule="auto"/>
        <w:rPr>
          <w:color w:val="1F4E79" w:themeColor="accent5" w:themeShade="80"/>
        </w:rPr>
      </w:pPr>
      <w:bookmarkStart w:name="_Toc726475698" w:id="1607159868"/>
      <w:r w:rsidRPr="1871EEFA" w:rsidR="00D44EE8">
        <w:rPr>
          <w:color w:val="1F4E79" w:themeColor="accent5" w:themeTint="FF" w:themeShade="80"/>
        </w:rPr>
        <w:t>Instructions to Tenderers</w:t>
      </w:r>
      <w:bookmarkEnd w:id="1607159868"/>
    </w:p>
    <w:p w:rsidRPr="00A3408D" w:rsidR="00A3408D" w:rsidP="00A3408D" w:rsidRDefault="00A3408D" w14:paraId="6A889A3F" w14:textId="6758842D">
      <w:pPr>
        <w:rPr>
          <w:rFonts w:eastAsiaTheme="majorEastAsia"/>
        </w:rPr>
      </w:pPr>
      <w:r w:rsidRPr="00A3408D">
        <w:rPr>
          <w:rFonts w:eastAsiaTheme="majorEastAsia"/>
        </w:rPr>
        <w:t xml:space="preserve">These instructions are designed to ensure that all </w:t>
      </w:r>
      <w:r w:rsidRPr="00A3408D" w:rsidR="00EA3753">
        <w:rPr>
          <w:rFonts w:eastAsiaTheme="majorEastAsia"/>
        </w:rPr>
        <w:t>Tenderer</w:t>
      </w:r>
      <w:r w:rsidR="00265483">
        <w:rPr>
          <w:rFonts w:eastAsiaTheme="majorEastAsia"/>
        </w:rPr>
        <w:t>s</w:t>
      </w:r>
      <w:r w:rsidRPr="00A3408D" w:rsidR="00EA3753">
        <w:rPr>
          <w:rFonts w:eastAsiaTheme="majorEastAsia"/>
        </w:rPr>
        <w:t xml:space="preserve"> </w:t>
      </w:r>
      <w:r w:rsidRPr="00A3408D">
        <w:rPr>
          <w:rFonts w:eastAsiaTheme="majorEastAsia"/>
        </w:rPr>
        <w:t>are given</w:t>
      </w:r>
      <w:r>
        <w:rPr>
          <w:rFonts w:eastAsiaTheme="majorEastAsia"/>
        </w:rPr>
        <w:t xml:space="preserve"> </w:t>
      </w:r>
      <w:r w:rsidRPr="00A3408D">
        <w:rPr>
          <w:rFonts w:eastAsiaTheme="majorEastAsia"/>
        </w:rPr>
        <w:t>equal and fair consideration. It is therefore important that you provide all the information asked for in the format specified.</w:t>
      </w:r>
    </w:p>
    <w:p w:rsidRPr="00A3408D" w:rsidR="00A3408D" w:rsidP="00A3408D" w:rsidRDefault="00A3408D" w14:paraId="159260B2" w14:textId="77777777">
      <w:pPr>
        <w:rPr>
          <w:rFonts w:eastAsiaTheme="majorEastAsia"/>
        </w:rPr>
      </w:pPr>
      <w:r w:rsidRPr="00A3408D">
        <w:rPr>
          <w:rFonts w:eastAsiaTheme="majorEastAsia"/>
        </w:rPr>
        <w:t xml:space="preserve">Tenderers should read these instructions carefully before completing the Tender documentation.  Failure to comply with these requirements for completion and submission of the Tender response may result in the rejection of the Tender.  </w:t>
      </w:r>
    </w:p>
    <w:p w:rsidR="00A3408D" w:rsidP="00A3408D" w:rsidRDefault="00EA3753" w14:paraId="1772D231" w14:textId="638CFB11">
      <w:r w:rsidRPr="00A3408D">
        <w:rPr>
          <w:rFonts w:eastAsiaTheme="majorEastAsia"/>
        </w:rPr>
        <w:t>Tenderer</w:t>
      </w:r>
      <w:r w:rsidR="000517EC">
        <w:rPr>
          <w:rFonts w:eastAsiaTheme="majorEastAsia"/>
        </w:rPr>
        <w:t>s</w:t>
      </w:r>
      <w:r w:rsidRPr="00A3408D">
        <w:rPr>
          <w:rFonts w:eastAsiaTheme="majorEastAsia"/>
        </w:rPr>
        <w:t xml:space="preserve"> </w:t>
      </w:r>
      <w:r w:rsidRPr="00A3408D" w:rsidR="00A3408D">
        <w:rPr>
          <w:rFonts w:eastAsiaTheme="majorEastAsia"/>
        </w:rPr>
        <w:t>are required to acquaint themselves fully with the extent and nature of the goods and services and contractual obligations. These instructions constitute the Conditions of Tender.</w:t>
      </w:r>
      <w:r w:rsidRPr="00A3408D" w:rsidR="00A3408D">
        <w:t xml:space="preserve"> </w:t>
      </w:r>
    </w:p>
    <w:p w:rsidR="00A3408D" w:rsidP="00A3408D" w:rsidRDefault="00A3408D" w14:paraId="64FA89AA" w14:textId="38E6959C">
      <w:pPr>
        <w:rPr>
          <w:rFonts w:eastAsiaTheme="majorEastAsia"/>
        </w:rPr>
      </w:pPr>
      <w:r w:rsidRPr="00A3408D">
        <w:rPr>
          <w:rFonts w:eastAsiaTheme="majorEastAsia"/>
        </w:rPr>
        <w:t>Participation in the tender process automatically signals that the Tenderer accepts these conditions of Tender.</w:t>
      </w:r>
    </w:p>
    <w:p w:rsidR="00A3408D" w:rsidP="00A3408D" w:rsidRDefault="00A3408D" w14:paraId="3AE99687" w14:textId="77777777">
      <w:pPr>
        <w:rPr>
          <w:rFonts w:eastAsiaTheme="majorEastAsia"/>
        </w:rPr>
      </w:pPr>
      <w:r>
        <w:rPr>
          <w:rFonts w:eastAsiaTheme="majorEastAsia"/>
        </w:rPr>
        <w:t xml:space="preserve">Barcud Shared Services </w:t>
      </w:r>
      <w:r w:rsidRPr="00A3408D">
        <w:rPr>
          <w:rFonts w:eastAsiaTheme="majorEastAsia"/>
        </w:rPr>
        <w:t xml:space="preserve">does not guarantee any volume of demand/spend </w:t>
      </w:r>
      <w:proofErr w:type="gramStart"/>
      <w:r w:rsidRPr="00A3408D">
        <w:rPr>
          <w:rFonts w:eastAsiaTheme="majorEastAsia"/>
        </w:rPr>
        <w:t>as a result of</w:t>
      </w:r>
      <w:proofErr w:type="gramEnd"/>
      <w:r w:rsidRPr="00A3408D">
        <w:rPr>
          <w:rFonts w:eastAsiaTheme="majorEastAsia"/>
        </w:rPr>
        <w:t xml:space="preserve"> any contract awarded; any volume detailed in the ITT document is for indication only.</w:t>
      </w:r>
    </w:p>
    <w:p w:rsidRPr="00AA6D98" w:rsidR="00A3408D" w:rsidP="00A3408D" w:rsidRDefault="00A3408D" w14:paraId="1E4C562B" w14:textId="45B7A0BA">
      <w:pPr>
        <w:rPr>
          <w:rFonts w:eastAsiaTheme="majorEastAsia"/>
        </w:rPr>
      </w:pPr>
      <w:r w:rsidRPr="00AA6D98">
        <w:rPr>
          <w:rFonts w:eastAsiaTheme="majorEastAsia"/>
        </w:rPr>
        <w:t xml:space="preserve">Tenderers must complete </w:t>
      </w:r>
      <w:r w:rsidRPr="00AA6D98" w:rsidR="00AA6D98">
        <w:rPr>
          <w:rFonts w:eastAsiaTheme="majorEastAsia"/>
        </w:rPr>
        <w:t xml:space="preserve">the associated Price Schedule </w:t>
      </w:r>
      <w:r w:rsidRPr="00AA6D98">
        <w:rPr>
          <w:rFonts w:eastAsiaTheme="majorEastAsia"/>
        </w:rPr>
        <w:t xml:space="preserve">in relation to the Price evaluation. The ‘total tender sum’ stated in the </w:t>
      </w:r>
      <w:r w:rsidRPr="00974800" w:rsidR="00974800">
        <w:rPr>
          <w:rFonts w:eastAsiaTheme="majorEastAsia"/>
        </w:rPr>
        <w:t>Tender Declaration</w:t>
      </w:r>
      <w:r w:rsidR="00974800">
        <w:rPr>
          <w:rFonts w:eastAsiaTheme="majorEastAsia"/>
        </w:rPr>
        <w:t xml:space="preserve"> </w:t>
      </w:r>
      <w:r w:rsidRPr="00AA6D98">
        <w:rPr>
          <w:rFonts w:eastAsiaTheme="majorEastAsia"/>
        </w:rPr>
        <w:t xml:space="preserve">will be used to evaluate the ‘Price’ element. Further information can be found </w:t>
      </w:r>
      <w:r w:rsidR="00AA6D98">
        <w:rPr>
          <w:rFonts w:eastAsiaTheme="majorEastAsia"/>
        </w:rPr>
        <w:t xml:space="preserve">in </w:t>
      </w:r>
      <w:r w:rsidR="007A35A7">
        <w:rPr>
          <w:rFonts w:eastAsiaTheme="majorEastAsia"/>
        </w:rPr>
        <w:fldChar w:fldCharType="begin"/>
      </w:r>
      <w:r w:rsidR="007A35A7">
        <w:rPr>
          <w:rFonts w:eastAsiaTheme="majorEastAsia"/>
        </w:rPr>
        <w:instrText xml:space="preserve"> REF _Ref147841126 \r \h  \* MERGEFORMAT </w:instrText>
      </w:r>
      <w:r w:rsidR="007A35A7">
        <w:rPr>
          <w:rFonts w:eastAsiaTheme="majorEastAsia"/>
        </w:rPr>
      </w:r>
      <w:r w:rsidR="007A35A7">
        <w:rPr>
          <w:rFonts w:eastAsiaTheme="majorEastAsia"/>
        </w:rPr>
        <w:fldChar w:fldCharType="separate"/>
      </w:r>
      <w:r w:rsidR="007A35A7">
        <w:rPr>
          <w:rFonts w:eastAsiaTheme="majorEastAsia"/>
        </w:rPr>
        <w:t>3</w:t>
      </w:r>
      <w:r w:rsidR="007A35A7">
        <w:rPr>
          <w:rFonts w:eastAsiaTheme="majorEastAsia"/>
        </w:rPr>
        <w:fldChar w:fldCharType="end"/>
      </w:r>
      <w:r w:rsidR="007A35A7">
        <w:rPr>
          <w:rFonts w:eastAsiaTheme="majorEastAsia"/>
        </w:rPr>
        <w:t xml:space="preserve">. </w:t>
      </w:r>
      <w:r w:rsidR="007A35A7">
        <w:rPr>
          <w:rFonts w:eastAsiaTheme="majorEastAsia"/>
        </w:rPr>
        <w:fldChar w:fldCharType="begin"/>
      </w:r>
      <w:r w:rsidR="007A35A7">
        <w:rPr>
          <w:rFonts w:eastAsiaTheme="majorEastAsia"/>
        </w:rPr>
        <w:instrText xml:space="preserve"> REF  _Ref147841130 \f \h  \* MERGEFORMAT </w:instrText>
      </w:r>
      <w:r w:rsidR="007A35A7">
        <w:rPr>
          <w:rFonts w:eastAsiaTheme="majorEastAsia"/>
        </w:rPr>
      </w:r>
      <w:r w:rsidR="007A35A7">
        <w:rPr>
          <w:rFonts w:eastAsiaTheme="majorEastAsia"/>
        </w:rPr>
        <w:fldChar w:fldCharType="separate"/>
      </w:r>
      <w:r w:rsidRPr="007A35A7" w:rsidR="007A35A7">
        <w:rPr>
          <w:rFonts w:eastAsiaTheme="majorEastAsia"/>
        </w:rPr>
        <w:t>Evaluation and Selection</w:t>
      </w:r>
      <w:r w:rsidR="007A35A7">
        <w:rPr>
          <w:rFonts w:eastAsiaTheme="majorEastAsia"/>
        </w:rPr>
        <w:fldChar w:fldCharType="end"/>
      </w:r>
      <w:r w:rsidR="00AA6D98">
        <w:rPr>
          <w:rFonts w:eastAsiaTheme="majorEastAsia"/>
        </w:rPr>
        <w:t>.</w:t>
      </w:r>
    </w:p>
    <w:p w:rsidRPr="00A3408D" w:rsidR="00A3408D" w:rsidP="00A3408D" w:rsidRDefault="00A3408D" w14:paraId="19C232CE" w14:textId="34BF9E38">
      <w:pPr>
        <w:rPr>
          <w:rFonts w:eastAsiaTheme="majorEastAsia"/>
        </w:rPr>
      </w:pPr>
      <w:r w:rsidRPr="002141CF">
        <w:rPr>
          <w:rFonts w:eastAsiaTheme="majorEastAsia"/>
        </w:rPr>
        <w:t xml:space="preserve">Tenderers must also ensure that </w:t>
      </w:r>
      <w:r w:rsidR="00AD7745">
        <w:rPr>
          <w:rFonts w:eastAsiaTheme="majorEastAsia"/>
        </w:rPr>
        <w:t xml:space="preserve">the </w:t>
      </w:r>
      <w:r w:rsidRPr="002141CF">
        <w:rPr>
          <w:rFonts w:eastAsiaTheme="majorEastAsia"/>
        </w:rPr>
        <w:t>Form of Tender</w:t>
      </w:r>
      <w:r w:rsidRPr="002141CF" w:rsidR="002141CF">
        <w:rPr>
          <w:rFonts w:eastAsiaTheme="majorEastAsia"/>
        </w:rPr>
        <w:t>,</w:t>
      </w:r>
      <w:r w:rsidRPr="002141CF">
        <w:rPr>
          <w:rFonts w:eastAsiaTheme="majorEastAsia"/>
        </w:rPr>
        <w:t xml:space="preserve"> Non-Collusion Documen</w:t>
      </w:r>
      <w:r w:rsidRPr="002141CF" w:rsidR="002141CF">
        <w:rPr>
          <w:rFonts w:eastAsiaTheme="majorEastAsia"/>
        </w:rPr>
        <w:t>t</w:t>
      </w:r>
      <w:r w:rsidRPr="002141CF">
        <w:rPr>
          <w:rFonts w:eastAsiaTheme="majorEastAsia"/>
        </w:rPr>
        <w:t xml:space="preserve"> and Tender Declaration are completed, signed and returned with the tender submission.</w:t>
      </w:r>
    </w:p>
    <w:p w:rsidRPr="00A3408D" w:rsidR="00A3408D" w:rsidP="00A3408D" w:rsidRDefault="00A3408D" w14:paraId="5B5A73EF" w14:textId="77777777">
      <w:pPr>
        <w:rPr>
          <w:rFonts w:eastAsiaTheme="majorEastAsia"/>
        </w:rPr>
      </w:pPr>
      <w:r w:rsidRPr="00A3408D">
        <w:rPr>
          <w:rFonts w:eastAsiaTheme="majorEastAsia"/>
        </w:rPr>
        <w:t xml:space="preserve">Tenderers must </w:t>
      </w:r>
      <w:proofErr w:type="gramStart"/>
      <w:r w:rsidRPr="00A3408D">
        <w:rPr>
          <w:rFonts w:eastAsiaTheme="majorEastAsia"/>
        </w:rPr>
        <w:t>take into account</w:t>
      </w:r>
      <w:proofErr w:type="gramEnd"/>
      <w:r w:rsidRPr="00A3408D">
        <w:rPr>
          <w:rFonts w:eastAsiaTheme="majorEastAsia"/>
        </w:rPr>
        <w:t xml:space="preserve"> the requirements of the Agreement and the Appendices attached together with the instructions set out in this ITT in preparing their submissions.</w:t>
      </w:r>
    </w:p>
    <w:p w:rsidR="00A3408D" w:rsidP="00A3408D" w:rsidRDefault="00A3408D" w14:paraId="075C65FF" w14:textId="77777777">
      <w:pPr>
        <w:rPr>
          <w:rFonts w:eastAsiaTheme="majorEastAsia"/>
        </w:rPr>
      </w:pPr>
      <w:r w:rsidRPr="00A3408D">
        <w:rPr>
          <w:rFonts w:eastAsiaTheme="majorEastAsia"/>
        </w:rPr>
        <w:t xml:space="preserve">The Tenderer shall ensure that </w:t>
      </w:r>
      <w:proofErr w:type="gramStart"/>
      <w:r w:rsidRPr="00A3408D">
        <w:rPr>
          <w:rFonts w:eastAsiaTheme="majorEastAsia"/>
        </w:rPr>
        <w:t>each and every</w:t>
      </w:r>
      <w:proofErr w:type="gramEnd"/>
      <w:r w:rsidRPr="00A3408D">
        <w:rPr>
          <w:rFonts w:eastAsiaTheme="majorEastAsia"/>
        </w:rPr>
        <w:t xml:space="preserve"> sub-contractor, supplier, consortium member and adviser </w:t>
      </w:r>
      <w:proofErr w:type="gramStart"/>
      <w:r w:rsidRPr="00A3408D">
        <w:rPr>
          <w:rFonts w:eastAsiaTheme="majorEastAsia"/>
        </w:rPr>
        <w:t>abides</w:t>
      </w:r>
      <w:proofErr w:type="gramEnd"/>
      <w:r w:rsidRPr="00A3408D">
        <w:rPr>
          <w:rFonts w:eastAsiaTheme="majorEastAsia"/>
        </w:rPr>
        <w:t xml:space="preserve"> by the terms of these instructions and the Conditions of Tender.</w:t>
      </w:r>
    </w:p>
    <w:p w:rsidRPr="00A3408D" w:rsidR="00A3408D" w:rsidP="00A3408D" w:rsidRDefault="00A3408D" w14:paraId="64F272FF" w14:textId="3B69BD75">
      <w:pPr>
        <w:rPr>
          <w:rFonts w:eastAsiaTheme="majorEastAsia"/>
        </w:rPr>
      </w:pPr>
      <w:r w:rsidRPr="00A3408D">
        <w:rPr>
          <w:rFonts w:eastAsiaTheme="majorEastAsia"/>
        </w:rPr>
        <w:t xml:space="preserve">The Tenderer shall not </w:t>
      </w:r>
      <w:proofErr w:type="gramStart"/>
      <w:r w:rsidRPr="00A3408D">
        <w:rPr>
          <w:rFonts w:eastAsiaTheme="majorEastAsia"/>
        </w:rPr>
        <w:t>make contact with</w:t>
      </w:r>
      <w:proofErr w:type="gramEnd"/>
      <w:r w:rsidRPr="00A3408D">
        <w:rPr>
          <w:rFonts w:eastAsiaTheme="majorEastAsia"/>
        </w:rPr>
        <w:t xml:space="preserve"> any other employee, agent or consultant of </w:t>
      </w:r>
      <w:r w:rsidR="00EA3753">
        <w:rPr>
          <w:rFonts w:eastAsiaTheme="majorEastAsia"/>
        </w:rPr>
        <w:t xml:space="preserve">Barcud Shared Services </w:t>
      </w:r>
      <w:r w:rsidRPr="00A3408D">
        <w:rPr>
          <w:rFonts w:eastAsiaTheme="majorEastAsia"/>
        </w:rPr>
        <w:t xml:space="preserve">or any other organisation referenced in the contract notice that are in any way connected with this procurement exercise during the period of this procurement exercise, unless instructed otherwise by </w:t>
      </w:r>
      <w:r w:rsidR="00EA3753">
        <w:rPr>
          <w:rFonts w:eastAsiaTheme="majorEastAsia"/>
        </w:rPr>
        <w:t>Barcud Shared Services</w:t>
      </w:r>
      <w:r w:rsidRPr="00A3408D">
        <w:rPr>
          <w:rFonts w:eastAsiaTheme="majorEastAsia"/>
        </w:rPr>
        <w:t>.</w:t>
      </w:r>
    </w:p>
    <w:p w:rsidRPr="00A3408D" w:rsidR="00A3408D" w:rsidP="00A3408D" w:rsidRDefault="00EA3753" w14:paraId="645FB4A4" w14:textId="3E88C16D">
      <w:pPr>
        <w:rPr>
          <w:rFonts w:eastAsiaTheme="majorEastAsia"/>
        </w:rPr>
      </w:pPr>
      <w:r>
        <w:rPr>
          <w:rFonts w:eastAsiaTheme="majorEastAsia"/>
        </w:rPr>
        <w:t xml:space="preserve">Barcud Shared Services </w:t>
      </w:r>
      <w:r w:rsidRPr="00A3408D" w:rsidR="00A3408D">
        <w:rPr>
          <w:rFonts w:eastAsiaTheme="majorEastAsia"/>
        </w:rPr>
        <w:t xml:space="preserve">reserves the right to amend, add to or withdraw all or any part of this ITT at any time during the procurement exercise. Under no circumstances will </w:t>
      </w:r>
      <w:r>
        <w:rPr>
          <w:rFonts w:eastAsiaTheme="majorEastAsia"/>
        </w:rPr>
        <w:t>Barcud Shared Services</w:t>
      </w:r>
      <w:r w:rsidRPr="00A3408D" w:rsidR="00A3408D">
        <w:rPr>
          <w:rFonts w:eastAsiaTheme="majorEastAsia"/>
        </w:rPr>
        <w:t>, or any of their advisers, be liable for any costs or expenses borne by Tenderers, sub-contractors, suppliers or advisers in this process.</w:t>
      </w:r>
    </w:p>
    <w:p w:rsidR="00D44EE8" w:rsidP="308EF1E5" w:rsidRDefault="00A3408D" w14:paraId="63D814BB" w14:textId="0E74D3CA">
      <w:pPr>
        <w:rPr>
          <w:rFonts w:asciiTheme="majorHAnsi" w:hAnsiTheme="majorHAnsi" w:eastAsiaTheme="majorEastAsia" w:cstheme="majorBidi"/>
          <w:color w:val="2F5496" w:themeColor="accent1" w:themeShade="BF"/>
          <w:sz w:val="28"/>
          <w:szCs w:val="28"/>
        </w:rPr>
      </w:pPr>
      <w:r w:rsidRPr="308EF1E5">
        <w:rPr>
          <w:rFonts w:eastAsiaTheme="majorEastAsia"/>
        </w:rPr>
        <w:t xml:space="preserve">In the event that a preferred bidder withdraws its tender submission after notification of appointment but prior to contract signature, or an appointed Contractor is disqualified from the process due to failing any of the Grounds for Mandatory Rejection or Discretionary Rejection during the life of the Agreement, or an appointed Contractor has its contract terminated, or the scope of the original Agreement changes and </w:t>
      </w:r>
      <w:r w:rsidRPr="308EF1E5" w:rsidR="00EA3753">
        <w:rPr>
          <w:rFonts w:eastAsiaTheme="majorEastAsia"/>
        </w:rPr>
        <w:t>Bar</w:t>
      </w:r>
      <w:r w:rsidRPr="308EF1E5" w:rsidR="007B6113">
        <w:rPr>
          <w:rFonts w:eastAsiaTheme="majorEastAsia"/>
        </w:rPr>
        <w:t>c</w:t>
      </w:r>
      <w:r w:rsidRPr="308EF1E5" w:rsidR="00EA3753">
        <w:rPr>
          <w:rFonts w:eastAsiaTheme="majorEastAsia"/>
        </w:rPr>
        <w:t>ud Shared Services</w:t>
      </w:r>
      <w:r w:rsidRPr="308EF1E5">
        <w:rPr>
          <w:rFonts w:eastAsiaTheme="majorEastAsia"/>
        </w:rPr>
        <w:t xml:space="preserve"> requires additional resource, then </w:t>
      </w:r>
      <w:r w:rsidRPr="308EF1E5" w:rsidR="00EA3753">
        <w:rPr>
          <w:rFonts w:eastAsiaTheme="majorEastAsia"/>
        </w:rPr>
        <w:t>Barcud Shared Services</w:t>
      </w:r>
      <w:r w:rsidRPr="308EF1E5">
        <w:rPr>
          <w:rFonts w:eastAsiaTheme="majorEastAsia"/>
        </w:rPr>
        <w:t xml:space="preserve"> reserves the right (at its discretion and subject to the Regulations) to award a </w:t>
      </w:r>
      <w:r w:rsidRPr="308EF1E5">
        <w:rPr>
          <w:rFonts w:eastAsiaTheme="majorEastAsia"/>
        </w:rPr>
        <w:lastRenderedPageBreak/>
        <w:t>contract to the bidder that, on the basis of the evaluation, submitted the next Most Advantageous Tender.</w:t>
      </w:r>
    </w:p>
    <w:p w:rsidRPr="00612CBF" w:rsidR="00612CBF" w:rsidP="00612CBF" w:rsidRDefault="00A3408D" w14:paraId="7E1505BD" w14:textId="1DB68DFF" w14:noSpellErr="1">
      <w:pPr>
        <w:pStyle w:val="Heading2"/>
        <w:numPr>
          <w:ilvl w:val="1"/>
          <w:numId w:val="1"/>
        </w:numPr>
        <w:spacing w:line="360" w:lineRule="auto"/>
        <w:rPr>
          <w:color w:val="1F4E79" w:themeColor="accent5" w:themeShade="80"/>
        </w:rPr>
      </w:pPr>
      <w:bookmarkStart w:name="_Toc133313767" w:id="1635589234"/>
      <w:r w:rsidRPr="1871EEFA" w:rsidR="00A3408D">
        <w:rPr>
          <w:color w:val="1F4E79" w:themeColor="accent5" w:themeTint="FF" w:themeShade="80"/>
        </w:rPr>
        <w:t>Preparation of Tender</w:t>
      </w:r>
      <w:bookmarkEnd w:id="1635589234"/>
      <w:r w:rsidRPr="1871EEFA" w:rsidR="00A3408D">
        <w:rPr>
          <w:color w:val="1F4E79" w:themeColor="accent5" w:themeTint="FF" w:themeShade="80"/>
        </w:rPr>
        <w:t xml:space="preserve"> </w:t>
      </w:r>
    </w:p>
    <w:p w:rsidRPr="00EA3753" w:rsidR="00EA3753" w:rsidP="00EA3753" w:rsidRDefault="00EA3753" w14:paraId="71BF846A" w14:textId="08998CD1">
      <w:pPr>
        <w:rPr>
          <w:rFonts w:eastAsiaTheme="majorEastAsia"/>
        </w:rPr>
      </w:pPr>
      <w:r w:rsidRPr="00EA3753">
        <w:rPr>
          <w:rFonts w:eastAsiaTheme="majorEastAsia"/>
        </w:rPr>
        <w:t xml:space="preserve">It is the Tenderer’s responsibility to obtain, at their own expense, all information necessary for the preparation and submission of Tenders. Under no circumstances will </w:t>
      </w:r>
      <w:r w:rsidR="00F64E42">
        <w:rPr>
          <w:rFonts w:eastAsiaTheme="majorEastAsia"/>
        </w:rPr>
        <w:t>Barcud Shared Services</w:t>
      </w:r>
      <w:r w:rsidRPr="00EA3753">
        <w:rPr>
          <w:rFonts w:eastAsiaTheme="majorEastAsia"/>
        </w:rPr>
        <w:t>, or any of their advisers, be liable for any costs or expenses borne by Tenderers, sub-contractors, suppliers or advisers in this process.</w:t>
      </w:r>
    </w:p>
    <w:p w:rsidRPr="00EA3753" w:rsidR="00EA3753" w:rsidP="00EA3753" w:rsidRDefault="00EA3753" w14:paraId="6B951200" w14:textId="57EB51C3">
      <w:pPr>
        <w:rPr>
          <w:rFonts w:eastAsiaTheme="majorEastAsia"/>
        </w:rPr>
      </w:pPr>
      <w:r w:rsidRPr="00EA3753">
        <w:rPr>
          <w:rFonts w:eastAsiaTheme="majorEastAsia"/>
        </w:rPr>
        <w:t xml:space="preserve">Tenderers are required to complete and provide all information required by </w:t>
      </w:r>
      <w:r w:rsidR="00F64E42">
        <w:rPr>
          <w:rFonts w:eastAsiaTheme="majorEastAsia"/>
        </w:rPr>
        <w:t>Barcud Shared Services</w:t>
      </w:r>
      <w:r w:rsidRPr="00EA3753">
        <w:rPr>
          <w:rFonts w:eastAsiaTheme="majorEastAsia"/>
        </w:rPr>
        <w:t xml:space="preserve"> in accordance with the conditions of the Tender and the Invitation to Tender.  Failure to comply with the conditions and the Invitation to Tender may lead </w:t>
      </w:r>
      <w:r w:rsidR="00F64E42">
        <w:rPr>
          <w:rFonts w:eastAsiaTheme="majorEastAsia"/>
        </w:rPr>
        <w:t>Barcud Shared Services</w:t>
      </w:r>
      <w:r w:rsidRPr="00EA3753">
        <w:rPr>
          <w:rFonts w:eastAsiaTheme="majorEastAsia"/>
        </w:rPr>
        <w:t xml:space="preserve"> to reject a tender response.</w:t>
      </w:r>
    </w:p>
    <w:p w:rsidRPr="00EA3753" w:rsidR="00EA3753" w:rsidP="00EA3753" w:rsidRDefault="00F64E42" w14:paraId="4F317516" w14:textId="4015EEC1">
      <w:pPr>
        <w:rPr>
          <w:rFonts w:eastAsiaTheme="majorEastAsia"/>
        </w:rPr>
      </w:pPr>
      <w:r>
        <w:rPr>
          <w:rFonts w:eastAsiaTheme="majorEastAsia"/>
        </w:rPr>
        <w:t>Barcud Shared Services</w:t>
      </w:r>
      <w:r w:rsidRPr="00EA3753" w:rsidR="00EA3753">
        <w:rPr>
          <w:rFonts w:eastAsiaTheme="majorEastAsia"/>
        </w:rPr>
        <w:t xml:space="preserve"> relies on Tenderers’ own analysis and review of information provided.  Consequently, Tenderers are solely responsible for obtaining the information which they consider is necessary </w:t>
      </w:r>
      <w:proofErr w:type="gramStart"/>
      <w:r w:rsidRPr="00EA3753" w:rsidR="00EA3753">
        <w:rPr>
          <w:rFonts w:eastAsiaTheme="majorEastAsia"/>
        </w:rPr>
        <w:t>in order to</w:t>
      </w:r>
      <w:proofErr w:type="gramEnd"/>
      <w:r w:rsidRPr="00EA3753" w:rsidR="00EA3753">
        <w:rPr>
          <w:rFonts w:eastAsiaTheme="majorEastAsia"/>
        </w:rPr>
        <w:t xml:space="preserve"> make decisions regarding the content of their Tenders and to undertake any investigations they consider necessary </w:t>
      </w:r>
      <w:proofErr w:type="gramStart"/>
      <w:r w:rsidRPr="00EA3753" w:rsidR="00EA3753">
        <w:rPr>
          <w:rFonts w:eastAsiaTheme="majorEastAsia"/>
        </w:rPr>
        <w:t>in order to</w:t>
      </w:r>
      <w:proofErr w:type="gramEnd"/>
      <w:r w:rsidRPr="00EA3753" w:rsidR="00EA3753">
        <w:rPr>
          <w:rFonts w:eastAsiaTheme="majorEastAsia"/>
        </w:rPr>
        <w:t xml:space="preserve"> verify any information provided to them during the procurement process. Under no circumstances will </w:t>
      </w:r>
      <w:r>
        <w:rPr>
          <w:rFonts w:eastAsiaTheme="majorEastAsia"/>
        </w:rPr>
        <w:t>Barcud Shared Services</w:t>
      </w:r>
      <w:r w:rsidRPr="00EA3753" w:rsidR="00EA3753">
        <w:rPr>
          <w:rFonts w:eastAsiaTheme="majorEastAsia"/>
        </w:rPr>
        <w:t>, or any of their advisers, be liable for any costs or expenses borne by Tenderers, sub-contractors, suppliers or advisers in this process.</w:t>
      </w:r>
    </w:p>
    <w:p w:rsidR="00D060B7" w:rsidP="00EA3753" w:rsidRDefault="00EA3753" w14:paraId="417E0D6D" w14:textId="0878AF79">
      <w:pPr>
        <w:rPr>
          <w:rFonts w:eastAsiaTheme="majorEastAsia"/>
        </w:rPr>
      </w:pPr>
      <w:r w:rsidRPr="00EA3753">
        <w:rPr>
          <w:rFonts w:eastAsiaTheme="majorEastAsia"/>
        </w:rPr>
        <w:t xml:space="preserve">No alteration or addition must be made to the </w:t>
      </w:r>
      <w:r w:rsidRPr="00974800" w:rsidR="00974800">
        <w:rPr>
          <w:rFonts w:eastAsiaTheme="majorEastAsia"/>
        </w:rPr>
        <w:t>Tender Declaration</w:t>
      </w:r>
      <w:r w:rsidRPr="002664F9">
        <w:rPr>
          <w:rFonts w:eastAsiaTheme="majorEastAsia"/>
        </w:rPr>
        <w:t>, to the Priced Schedule</w:t>
      </w:r>
      <w:r w:rsidRPr="00EA3753">
        <w:rPr>
          <w:rFonts w:eastAsiaTheme="majorEastAsia"/>
        </w:rPr>
        <w:t xml:space="preserve"> or to any other component of the Tender documentation,</w:t>
      </w:r>
      <w:r w:rsidR="00C546FE">
        <w:rPr>
          <w:rFonts w:eastAsiaTheme="majorEastAsia"/>
        </w:rPr>
        <w:t xml:space="preserve"> </w:t>
      </w:r>
      <w:r w:rsidRPr="00EA3753">
        <w:rPr>
          <w:rFonts w:eastAsiaTheme="majorEastAsia"/>
        </w:rPr>
        <w:t xml:space="preserve">without </w:t>
      </w:r>
      <w:r w:rsidR="00F64E42">
        <w:rPr>
          <w:rFonts w:eastAsiaTheme="majorEastAsia"/>
        </w:rPr>
        <w:t xml:space="preserve">Barcud Shared </w:t>
      </w:r>
      <w:r w:rsidR="00C3019E">
        <w:rPr>
          <w:rFonts w:eastAsiaTheme="majorEastAsia"/>
        </w:rPr>
        <w:t>Services</w:t>
      </w:r>
      <w:r w:rsidRPr="00EA3753" w:rsidR="00C3019E">
        <w:rPr>
          <w:rFonts w:eastAsiaTheme="majorEastAsia"/>
        </w:rPr>
        <w:t>’</w:t>
      </w:r>
      <w:r w:rsidRPr="00EA3753">
        <w:rPr>
          <w:rFonts w:eastAsiaTheme="majorEastAsia"/>
        </w:rPr>
        <w:t xml:space="preserve"> explicit agreement.</w:t>
      </w:r>
    </w:p>
    <w:p w:rsidRPr="00EA3753" w:rsidR="00EA3753" w:rsidP="00EA3753" w:rsidRDefault="00EA3753" w14:paraId="3765A45C" w14:textId="1BD5DD80">
      <w:pPr>
        <w:rPr>
          <w:rFonts w:eastAsiaTheme="majorEastAsia"/>
        </w:rPr>
      </w:pPr>
      <w:r w:rsidRPr="00EA3753">
        <w:rPr>
          <w:rFonts w:eastAsiaTheme="majorEastAsia"/>
        </w:rPr>
        <w:t xml:space="preserve">Tenders must not be accompanied by any covering letter or any statements that could be construed as rendering the Tender equivocal and/or placing it on different footing from other Tenders. </w:t>
      </w:r>
    </w:p>
    <w:p w:rsidRPr="00EA3753" w:rsidR="00EA3753" w:rsidP="00EA3753" w:rsidRDefault="00EA3753" w14:paraId="71933448" w14:textId="202BD9D7">
      <w:pPr>
        <w:rPr>
          <w:rFonts w:eastAsiaTheme="majorEastAsia"/>
        </w:rPr>
      </w:pPr>
      <w:r w:rsidRPr="00EA3753">
        <w:rPr>
          <w:rFonts w:eastAsiaTheme="majorEastAsia"/>
        </w:rPr>
        <w:t xml:space="preserve">The </w:t>
      </w:r>
      <w:r w:rsidRPr="00974800" w:rsidR="00974800">
        <w:rPr>
          <w:rFonts w:eastAsiaTheme="majorEastAsia"/>
        </w:rPr>
        <w:t xml:space="preserve">Tender Declaration </w:t>
      </w:r>
      <w:r w:rsidRPr="00EA3753">
        <w:rPr>
          <w:rFonts w:eastAsiaTheme="majorEastAsia"/>
        </w:rPr>
        <w:t xml:space="preserve">must be completed and returned with the tender submission. Should any tenders be returned without these forms then </w:t>
      </w:r>
      <w:r w:rsidR="00F64E42">
        <w:rPr>
          <w:rFonts w:eastAsiaTheme="majorEastAsia"/>
        </w:rPr>
        <w:t>Barcud Shared Services</w:t>
      </w:r>
      <w:r w:rsidRPr="00EA3753">
        <w:rPr>
          <w:rFonts w:eastAsiaTheme="majorEastAsia"/>
        </w:rPr>
        <w:t xml:space="preserve"> reserves the right not to consider the tender submission.</w:t>
      </w:r>
    </w:p>
    <w:p w:rsidRPr="00EA3753" w:rsidR="00EA3753" w:rsidP="00EA3753" w:rsidRDefault="00EA3753" w14:paraId="3CAB6261" w14:textId="554D6D92">
      <w:pPr>
        <w:rPr>
          <w:rFonts w:asciiTheme="majorHAnsi" w:hAnsiTheme="majorHAnsi" w:eastAsiaTheme="majorEastAsia" w:cstheme="majorBidi"/>
          <w:color w:val="2F5496" w:themeColor="accent1" w:themeShade="BF"/>
          <w:sz w:val="28"/>
          <w:szCs w:val="28"/>
        </w:rPr>
      </w:pPr>
      <w:r w:rsidRPr="00EA3753">
        <w:rPr>
          <w:rFonts w:eastAsiaTheme="majorEastAsia"/>
        </w:rPr>
        <w:t xml:space="preserve">Tenderers must form their own opinions, </w:t>
      </w:r>
      <w:proofErr w:type="gramStart"/>
      <w:r w:rsidRPr="00EA3753">
        <w:rPr>
          <w:rFonts w:eastAsiaTheme="majorEastAsia"/>
        </w:rPr>
        <w:t>making</w:t>
      </w:r>
      <w:proofErr w:type="gramEnd"/>
      <w:r w:rsidRPr="00EA3753">
        <w:rPr>
          <w:rFonts w:eastAsiaTheme="majorEastAsia"/>
        </w:rPr>
        <w:t xml:space="preserve"> such investigations and taking such advice (including professional advice) as appropriate, regarding the requirements of their Tender, without the reliance upon any opinion provided by </w:t>
      </w:r>
      <w:r w:rsidR="00F64E42">
        <w:rPr>
          <w:rFonts w:eastAsiaTheme="majorEastAsia"/>
        </w:rPr>
        <w:t>Barcud Shared Services</w:t>
      </w:r>
      <w:r w:rsidRPr="00EA3753">
        <w:rPr>
          <w:rFonts w:eastAsiaTheme="majorEastAsia"/>
        </w:rPr>
        <w:t xml:space="preserve"> or their advisers and representatives. Tenderers should notify </w:t>
      </w:r>
      <w:r w:rsidR="00F64E42">
        <w:rPr>
          <w:rFonts w:eastAsiaTheme="majorEastAsia"/>
        </w:rPr>
        <w:t>Barcud Shared Services</w:t>
      </w:r>
      <w:r w:rsidRPr="00EA3753">
        <w:rPr>
          <w:rFonts w:eastAsiaTheme="majorEastAsia"/>
        </w:rPr>
        <w:t xml:space="preserve"> promptly of any perceived ambiguity, inconsistency or omission in this ITT, any of its associated documents and/or any other information issued to them during the procurement process. Under no circumstances will </w:t>
      </w:r>
      <w:r w:rsidR="00F64E42">
        <w:rPr>
          <w:rFonts w:eastAsiaTheme="majorEastAsia"/>
        </w:rPr>
        <w:t>Barcud Shared Services</w:t>
      </w:r>
      <w:r w:rsidRPr="00EA3753">
        <w:rPr>
          <w:rFonts w:eastAsiaTheme="majorEastAsia"/>
        </w:rPr>
        <w:t>, or any of their advisers, be liable for any costs or expenses borne by Tenderers, sub-Contractors, suppliers or advisers in this process.</w:t>
      </w:r>
      <w:r w:rsidRPr="00EA3753" w:rsidR="00A3408D">
        <w:rPr>
          <w:rFonts w:asciiTheme="majorHAnsi" w:hAnsiTheme="majorHAnsi" w:eastAsiaTheme="majorEastAsia" w:cstheme="majorBidi"/>
          <w:color w:val="2F5496" w:themeColor="accent1" w:themeShade="BF"/>
          <w:sz w:val="28"/>
          <w:szCs w:val="28"/>
        </w:rPr>
        <w:t xml:space="preserve"> </w:t>
      </w:r>
    </w:p>
    <w:p w:rsidRPr="00612CBF" w:rsidR="00EA3753" w:rsidP="00612CBF" w:rsidRDefault="00EA3753" w14:paraId="4B3CEB48" w14:textId="6AE19625" w14:noSpellErr="1">
      <w:pPr>
        <w:pStyle w:val="Heading2"/>
        <w:numPr>
          <w:ilvl w:val="1"/>
          <w:numId w:val="1"/>
        </w:numPr>
        <w:spacing w:line="360" w:lineRule="auto"/>
        <w:rPr>
          <w:color w:val="1F4E79" w:themeColor="accent5" w:themeShade="80"/>
        </w:rPr>
      </w:pPr>
      <w:bookmarkStart w:name="_Toc2002682659" w:id="48086826"/>
      <w:r w:rsidRPr="1871EEFA" w:rsidR="00EA3753">
        <w:rPr>
          <w:color w:val="1F4E79" w:themeColor="accent5" w:themeTint="FF" w:themeShade="80"/>
        </w:rPr>
        <w:t>Submission of Tenders</w:t>
      </w:r>
      <w:bookmarkEnd w:id="48086826"/>
    </w:p>
    <w:p w:rsidRPr="00706CCA" w:rsidR="00706CCA" w:rsidP="00706CCA" w:rsidRDefault="00CC2A99" w14:paraId="14B1C830" w14:textId="7A383D60">
      <w:pPr>
        <w:rPr>
          <w:rFonts w:eastAsiaTheme="majorEastAsia"/>
        </w:rPr>
      </w:pPr>
      <w:r>
        <w:rPr>
          <w:rFonts w:eastAsiaTheme="majorEastAsia"/>
        </w:rPr>
        <w:t xml:space="preserve">To </w:t>
      </w:r>
      <w:r w:rsidRPr="00706CCA" w:rsidR="00706CCA">
        <w:rPr>
          <w:rFonts w:eastAsiaTheme="majorEastAsia"/>
        </w:rPr>
        <w:t xml:space="preserve">enable </w:t>
      </w:r>
      <w:r w:rsidR="00F64E42">
        <w:rPr>
          <w:rFonts w:eastAsiaTheme="majorEastAsia"/>
        </w:rPr>
        <w:t>Barcud Shared Services</w:t>
      </w:r>
      <w:r w:rsidRPr="00706CCA" w:rsidR="00706CCA">
        <w:rPr>
          <w:rFonts w:eastAsiaTheme="majorEastAsia"/>
        </w:rPr>
        <w:t xml:space="preserve"> to assess ITTs quickly and accurately please do not submit any material other than the completed ITT and any requested supporting information. Please return one electronic copy via Sell2Wales ‘</w:t>
      </w:r>
      <w:r w:rsidRPr="00706CCA" w:rsidR="00C3019E">
        <w:rPr>
          <w:rFonts w:eastAsiaTheme="majorEastAsia"/>
        </w:rPr>
        <w:t>Post-box</w:t>
      </w:r>
      <w:r w:rsidRPr="00706CCA" w:rsidR="00706CCA">
        <w:rPr>
          <w:rFonts w:eastAsiaTheme="majorEastAsia"/>
        </w:rPr>
        <w:t>’ facility</w:t>
      </w:r>
      <w:r w:rsidR="005706C0">
        <w:rPr>
          <w:rFonts w:eastAsiaTheme="majorEastAsia"/>
        </w:rPr>
        <w:t xml:space="preserve"> no later than the specified </w:t>
      </w:r>
      <w:r w:rsidR="009F3A28">
        <w:rPr>
          <w:rFonts w:eastAsiaTheme="majorEastAsia"/>
        </w:rPr>
        <w:t>Tender Deadline.</w:t>
      </w:r>
    </w:p>
    <w:p w:rsidRPr="00706CCA" w:rsidR="00706CCA" w:rsidP="00706CCA" w:rsidRDefault="00D443B3" w14:paraId="353F6FD2" w14:textId="12DF507A">
      <w:pPr>
        <w:rPr>
          <w:rFonts w:eastAsiaTheme="majorEastAsia"/>
        </w:rPr>
      </w:pPr>
      <w:r>
        <w:rPr>
          <w:rFonts w:eastAsiaTheme="majorEastAsia"/>
        </w:rPr>
        <w:lastRenderedPageBreak/>
        <w:t xml:space="preserve">Tender submissions must </w:t>
      </w:r>
      <w:r w:rsidR="00F41422">
        <w:rPr>
          <w:rFonts w:eastAsiaTheme="majorEastAsia"/>
        </w:rPr>
        <w:t xml:space="preserve">be </w:t>
      </w:r>
      <w:r w:rsidRPr="00706CCA" w:rsidR="00706CCA">
        <w:rPr>
          <w:rFonts w:eastAsiaTheme="majorEastAsia"/>
        </w:rPr>
        <w:t xml:space="preserve">in the English language. </w:t>
      </w:r>
      <w:r w:rsidRPr="007C0CDA" w:rsidR="00706CCA">
        <w:rPr>
          <w:rFonts w:eastAsiaTheme="majorEastAsia"/>
        </w:rPr>
        <w:t xml:space="preserve">Each response must be submitted within </w:t>
      </w:r>
      <w:r w:rsidRPr="007C0CDA" w:rsidR="008D7F34">
        <w:rPr>
          <w:rFonts w:eastAsiaTheme="majorEastAsia"/>
        </w:rPr>
        <w:t xml:space="preserve">the allocated space provided within the tender documents </w:t>
      </w:r>
      <w:r w:rsidRPr="00706CCA" w:rsidR="00706CCA">
        <w:rPr>
          <w:rFonts w:eastAsiaTheme="majorEastAsia"/>
        </w:rPr>
        <w:t xml:space="preserve">and all supporting information not included in the box should be referenced to </w:t>
      </w:r>
      <w:r w:rsidR="007C0CDA">
        <w:rPr>
          <w:rFonts w:eastAsiaTheme="majorEastAsia"/>
        </w:rPr>
        <w:t>and submitted alongside</w:t>
      </w:r>
      <w:r w:rsidRPr="00706CCA" w:rsidR="00706CCA">
        <w:rPr>
          <w:rFonts w:eastAsiaTheme="majorEastAsia"/>
        </w:rPr>
        <w:t>. Any supporting documents that are not in English must be accompanied by an English translation and a certificate of authenticity from an independent and appropriately accredited translator.</w:t>
      </w:r>
    </w:p>
    <w:p w:rsidRPr="00706CCA" w:rsidR="00706CCA" w:rsidP="66FB1DB0" w:rsidRDefault="00706CCA" w14:paraId="1925D3A5" w14:textId="762721CA">
      <w:pPr>
        <w:rPr>
          <w:rFonts w:eastAsiaTheme="majorEastAsia"/>
        </w:rPr>
      </w:pPr>
      <w:r w:rsidRPr="66FB1DB0">
        <w:rPr>
          <w:rFonts w:eastAsiaTheme="majorEastAsia"/>
        </w:rPr>
        <w:t xml:space="preserve">One of the major issues when evaluating tenders is being able to accurately </w:t>
      </w:r>
      <w:r w:rsidRPr="66FB1DB0" w:rsidR="006430C6">
        <w:rPr>
          <w:rFonts w:eastAsiaTheme="majorEastAsia"/>
        </w:rPr>
        <w:t xml:space="preserve">evaluate </w:t>
      </w:r>
      <w:r w:rsidRPr="66FB1DB0">
        <w:rPr>
          <w:rFonts w:eastAsiaTheme="majorEastAsia"/>
        </w:rPr>
        <w:t xml:space="preserve">each company’s proposal. To ensure this process is as straightforward as possible, </w:t>
      </w:r>
      <w:proofErr w:type="gramStart"/>
      <w:r w:rsidRPr="66FB1DB0">
        <w:rPr>
          <w:rFonts w:eastAsiaTheme="majorEastAsia"/>
        </w:rPr>
        <w:t>all of</w:t>
      </w:r>
      <w:proofErr w:type="gramEnd"/>
      <w:r w:rsidRPr="66FB1DB0">
        <w:rPr>
          <w:rFonts w:eastAsiaTheme="majorEastAsia"/>
        </w:rPr>
        <w:t xml:space="preserve"> your responses will need to be submitted in the prescribed format.</w:t>
      </w:r>
    </w:p>
    <w:p w:rsidRPr="00706CCA" w:rsidR="00706CCA" w:rsidP="09C61C08" w:rsidRDefault="00F104D0" w14:paraId="6AE874F3" w14:textId="5085BD77">
      <w:pPr>
        <w:rPr>
          <w:rFonts w:eastAsiaTheme="majorEastAsia"/>
        </w:rPr>
      </w:pPr>
      <w:r w:rsidRPr="09C61C08">
        <w:rPr>
          <w:rFonts w:eastAsiaTheme="majorEastAsia"/>
        </w:rPr>
        <w:t xml:space="preserve">Where </w:t>
      </w:r>
      <w:r w:rsidRPr="09C61C08" w:rsidR="7C01C2FB">
        <w:rPr>
          <w:rFonts w:eastAsiaTheme="majorEastAsia"/>
        </w:rPr>
        <w:t xml:space="preserve">a </w:t>
      </w:r>
      <w:r w:rsidRPr="09C61C08" w:rsidR="287B4945">
        <w:rPr>
          <w:rFonts w:eastAsiaTheme="majorEastAsia"/>
        </w:rPr>
        <w:t>written</w:t>
      </w:r>
      <w:r w:rsidRPr="09C61C08" w:rsidR="03AE6ACB">
        <w:rPr>
          <w:rFonts w:eastAsiaTheme="majorEastAsia"/>
        </w:rPr>
        <w:t xml:space="preserve"> </w:t>
      </w:r>
      <w:r w:rsidRPr="09C61C08" w:rsidR="2594D0C0">
        <w:rPr>
          <w:rFonts w:eastAsiaTheme="majorEastAsia"/>
        </w:rPr>
        <w:t>answer</w:t>
      </w:r>
      <w:r w:rsidRPr="09C61C08" w:rsidR="2379F2AF">
        <w:rPr>
          <w:rFonts w:eastAsiaTheme="majorEastAsia"/>
        </w:rPr>
        <w:t xml:space="preserve"> </w:t>
      </w:r>
      <w:r w:rsidRPr="09C61C08" w:rsidR="20BE6142">
        <w:rPr>
          <w:rFonts w:eastAsiaTheme="majorEastAsia"/>
        </w:rPr>
        <w:t xml:space="preserve">is requested </w:t>
      </w:r>
      <w:r w:rsidRPr="09C61C08" w:rsidR="50D57E7B">
        <w:rPr>
          <w:rFonts w:eastAsiaTheme="majorEastAsia"/>
        </w:rPr>
        <w:t xml:space="preserve">as part of the tender </w:t>
      </w:r>
      <w:r w:rsidRPr="09C61C08">
        <w:rPr>
          <w:rFonts w:eastAsiaTheme="majorEastAsia"/>
        </w:rPr>
        <w:t xml:space="preserve">only the information provided within the </w:t>
      </w:r>
      <w:r w:rsidRPr="09C61C08" w:rsidR="2D6A8B19">
        <w:rPr>
          <w:rFonts w:eastAsiaTheme="majorEastAsia"/>
        </w:rPr>
        <w:t>ind</w:t>
      </w:r>
      <w:r w:rsidRPr="09C61C08" w:rsidR="668C1DF8">
        <w:rPr>
          <w:rFonts w:eastAsiaTheme="majorEastAsia"/>
        </w:rPr>
        <w:t>i</w:t>
      </w:r>
      <w:r w:rsidRPr="09C61C08" w:rsidR="2D6A8B19">
        <w:rPr>
          <w:rFonts w:eastAsiaTheme="majorEastAsia"/>
        </w:rPr>
        <w:t>vi</w:t>
      </w:r>
      <w:r w:rsidRPr="09C61C08" w:rsidR="1BCB5C91">
        <w:rPr>
          <w:rFonts w:eastAsiaTheme="majorEastAsia"/>
        </w:rPr>
        <w:t>du</w:t>
      </w:r>
      <w:r w:rsidRPr="09C61C08" w:rsidR="2D6A8B19">
        <w:rPr>
          <w:rFonts w:eastAsiaTheme="majorEastAsia"/>
        </w:rPr>
        <w:t>al</w:t>
      </w:r>
      <w:r w:rsidRPr="09C61C08">
        <w:rPr>
          <w:rFonts w:eastAsiaTheme="majorEastAsia"/>
        </w:rPr>
        <w:t xml:space="preserve"> questions response </w:t>
      </w:r>
      <w:r w:rsidRPr="09C61C08" w:rsidR="5B543594">
        <w:rPr>
          <w:rFonts w:eastAsiaTheme="majorEastAsia"/>
        </w:rPr>
        <w:t xml:space="preserve">area </w:t>
      </w:r>
      <w:r w:rsidRPr="09C61C08">
        <w:rPr>
          <w:rFonts w:eastAsiaTheme="majorEastAsia"/>
        </w:rPr>
        <w:t>will be considered</w:t>
      </w:r>
      <w:r w:rsidRPr="09C61C08" w:rsidR="6C08678E">
        <w:rPr>
          <w:rFonts w:eastAsiaTheme="majorEastAsia"/>
        </w:rPr>
        <w:t>.</w:t>
      </w:r>
      <w:r w:rsidRPr="09C61C08" w:rsidR="5FC675A4">
        <w:rPr>
          <w:rFonts w:eastAsiaTheme="majorEastAsia"/>
        </w:rPr>
        <w:t xml:space="preserve"> </w:t>
      </w:r>
      <w:r w:rsidRPr="09C61C08" w:rsidR="0CB5F4F6">
        <w:rPr>
          <w:rFonts w:eastAsiaTheme="majorEastAsia"/>
        </w:rPr>
        <w:t>Tenderers may</w:t>
      </w:r>
      <w:r w:rsidRPr="09C61C08" w:rsidR="162168B1">
        <w:rPr>
          <w:rFonts w:eastAsiaTheme="majorEastAsia"/>
        </w:rPr>
        <w:t xml:space="preserve"> </w:t>
      </w:r>
      <w:r w:rsidRPr="09C61C08" w:rsidR="0CB5F4F6">
        <w:rPr>
          <w:rFonts w:eastAsiaTheme="majorEastAsia"/>
        </w:rPr>
        <w:t>be permitted to attach supporting documentation in response to a question</w:t>
      </w:r>
      <w:r w:rsidRPr="09C61C08" w:rsidR="536C19F2">
        <w:rPr>
          <w:rFonts w:eastAsiaTheme="majorEastAsia"/>
        </w:rPr>
        <w:t xml:space="preserve"> (only </w:t>
      </w:r>
      <w:r w:rsidRPr="09C61C08" w:rsidR="03667FCE">
        <w:rPr>
          <w:rFonts w:eastAsiaTheme="majorEastAsia"/>
        </w:rPr>
        <w:t xml:space="preserve">when </w:t>
      </w:r>
      <w:r w:rsidRPr="09C61C08" w:rsidR="536C19F2">
        <w:rPr>
          <w:rFonts w:eastAsiaTheme="majorEastAsia"/>
        </w:rPr>
        <w:t>clearly stated)</w:t>
      </w:r>
      <w:r w:rsidRPr="09C61C08" w:rsidR="45EE6EED">
        <w:rPr>
          <w:rFonts w:eastAsiaTheme="majorEastAsia"/>
        </w:rPr>
        <w:t>;</w:t>
      </w:r>
      <w:r w:rsidRPr="09C61C08" w:rsidR="63ECCF73">
        <w:rPr>
          <w:rFonts w:eastAsiaTheme="majorEastAsia"/>
        </w:rPr>
        <w:t xml:space="preserve"> supporting documentation must </w:t>
      </w:r>
      <w:r w:rsidRPr="09C61C08" w:rsidR="56033B74">
        <w:rPr>
          <w:rFonts w:eastAsiaTheme="majorEastAsia"/>
        </w:rPr>
        <w:t xml:space="preserve">be </w:t>
      </w:r>
      <w:r w:rsidRPr="09C61C08" w:rsidR="63ECCF73">
        <w:rPr>
          <w:rFonts w:eastAsiaTheme="majorEastAsia"/>
        </w:rPr>
        <w:t xml:space="preserve">referenced within the </w:t>
      </w:r>
      <w:r w:rsidRPr="09C61C08" w:rsidR="074989BC">
        <w:rPr>
          <w:rFonts w:eastAsiaTheme="majorEastAsia"/>
        </w:rPr>
        <w:t xml:space="preserve">questions </w:t>
      </w:r>
      <w:r w:rsidRPr="09C61C08" w:rsidR="2540E186">
        <w:rPr>
          <w:rFonts w:eastAsiaTheme="majorEastAsia"/>
        </w:rPr>
        <w:t>answer</w:t>
      </w:r>
      <w:r w:rsidRPr="09C61C08" w:rsidR="63ECCF73">
        <w:rPr>
          <w:rFonts w:eastAsiaTheme="majorEastAsia"/>
        </w:rPr>
        <w:t xml:space="preserve">, relevant to the question in hand and properly </w:t>
      </w:r>
      <w:r w:rsidRPr="09C61C08" w:rsidR="2AAD4CC0">
        <w:rPr>
          <w:rFonts w:eastAsiaTheme="majorEastAsia"/>
        </w:rPr>
        <w:t>labelled, documents that are not properly labelled may be disregarded. Attached documentation, tables or diagrams included</w:t>
      </w:r>
      <w:r w:rsidRPr="09C61C08" w:rsidR="77DB692C">
        <w:rPr>
          <w:rFonts w:eastAsiaTheme="majorEastAsia"/>
        </w:rPr>
        <w:t xml:space="preserve"> within a response will</w:t>
      </w:r>
      <w:r w:rsidRPr="09C61C08" w:rsidR="01E4273E">
        <w:rPr>
          <w:rFonts w:eastAsiaTheme="majorEastAsia"/>
        </w:rPr>
        <w:t xml:space="preserve"> not </w:t>
      </w:r>
      <w:r w:rsidRPr="09C61C08" w:rsidR="72EBFFB6">
        <w:rPr>
          <w:rFonts w:eastAsiaTheme="majorEastAsia"/>
        </w:rPr>
        <w:t>be considered</w:t>
      </w:r>
      <w:r w:rsidRPr="09C61C08" w:rsidR="77DB692C">
        <w:rPr>
          <w:rFonts w:eastAsiaTheme="majorEastAsia"/>
        </w:rPr>
        <w:t xml:space="preserve"> as part of the maximum word counts.</w:t>
      </w:r>
      <w:r w:rsidRPr="09C61C08" w:rsidR="45027CDD">
        <w:rPr>
          <w:rFonts w:eastAsiaTheme="majorEastAsia"/>
        </w:rPr>
        <w:t xml:space="preserve"> </w:t>
      </w:r>
    </w:p>
    <w:p w:rsidRPr="00706CCA" w:rsidR="00706CCA" w:rsidP="66FB1DB0" w:rsidRDefault="00706CCA" w14:paraId="78DF1B37" w14:textId="17D4EC1F">
      <w:pPr>
        <w:rPr>
          <w:rFonts w:eastAsiaTheme="majorEastAsia"/>
        </w:rPr>
      </w:pPr>
      <w:r w:rsidRPr="66FB1DB0">
        <w:rPr>
          <w:rFonts w:eastAsiaTheme="majorEastAsia"/>
        </w:rPr>
        <w:t>Price and any financial data provided must be submitted in or converted into sterling.  Where official documents include financial data in a foreign currency, a sterling equivalent must be provided. The sterling figure will be used in the evaluation.</w:t>
      </w:r>
    </w:p>
    <w:p w:rsidRPr="00706CCA" w:rsidR="00706CCA" w:rsidP="66FB1DB0" w:rsidRDefault="00706CCA" w14:paraId="5AC85FDB" w14:textId="3E6AB5F6">
      <w:pPr>
        <w:rPr>
          <w:rFonts w:asciiTheme="majorHAnsi" w:hAnsiTheme="majorHAnsi" w:eastAsiaTheme="majorEastAsia" w:cstheme="majorBidi"/>
          <w:color w:val="2F5496" w:themeColor="accent1" w:themeShade="BF"/>
          <w:sz w:val="28"/>
          <w:szCs w:val="28"/>
        </w:rPr>
      </w:pPr>
      <w:r w:rsidRPr="66FB1DB0">
        <w:rPr>
          <w:rFonts w:eastAsiaTheme="majorEastAsia"/>
        </w:rPr>
        <w:t xml:space="preserve">Before analysing, it may be necessary for </w:t>
      </w:r>
      <w:r w:rsidRPr="66FB1DB0" w:rsidR="00F64E42">
        <w:rPr>
          <w:rFonts w:eastAsiaTheme="majorEastAsia"/>
        </w:rPr>
        <w:t>Barcud Shared Services</w:t>
      </w:r>
      <w:r w:rsidRPr="66FB1DB0">
        <w:rPr>
          <w:rFonts w:eastAsiaTheme="majorEastAsia"/>
        </w:rPr>
        <w:t xml:space="preserve"> to seek clarification of </w:t>
      </w:r>
      <w:proofErr w:type="gramStart"/>
      <w:r w:rsidRPr="66FB1DB0">
        <w:rPr>
          <w:rFonts w:eastAsiaTheme="majorEastAsia"/>
        </w:rPr>
        <w:t>particular details</w:t>
      </w:r>
      <w:proofErr w:type="gramEnd"/>
      <w:r w:rsidRPr="66FB1DB0">
        <w:rPr>
          <w:rFonts w:eastAsiaTheme="majorEastAsia"/>
        </w:rPr>
        <w:t xml:space="preserve"> in Tenderers’ ITT submissions and such clarifications will be made via email and should be responded to promptly.</w:t>
      </w:r>
    </w:p>
    <w:p w:rsidR="6C856952" w:rsidP="66FB1DB0" w:rsidRDefault="6C856952" w14:paraId="1E011F60" w14:textId="46F9A365">
      <w:pPr>
        <w:rPr>
          <w:rFonts w:eastAsiaTheme="majorEastAsia"/>
        </w:rPr>
      </w:pPr>
      <w:r w:rsidRPr="66FB1DB0">
        <w:rPr>
          <w:rFonts w:eastAsiaTheme="majorEastAsia"/>
        </w:rPr>
        <w:t>Barcud Shared Services may, at its own absolute discretion, extend the Return Date and the time for receipt of Tenders. Any extension granted will apply to all Tenderers.</w:t>
      </w:r>
    </w:p>
    <w:p w:rsidRPr="00612CBF" w:rsidR="00706CCA" w:rsidP="00612CBF" w:rsidRDefault="00706CCA" w14:paraId="76AB3F22" w14:textId="0D649543" w14:noSpellErr="1">
      <w:pPr>
        <w:pStyle w:val="Heading2"/>
        <w:numPr>
          <w:ilvl w:val="1"/>
          <w:numId w:val="1"/>
        </w:numPr>
        <w:spacing w:line="360" w:lineRule="auto"/>
        <w:rPr>
          <w:color w:val="1F4E79" w:themeColor="accent5" w:themeShade="80"/>
        </w:rPr>
      </w:pPr>
      <w:bookmarkStart w:name="_Toc1101598824" w:id="727755728"/>
      <w:r w:rsidRPr="1871EEFA" w:rsidR="00706CCA">
        <w:rPr>
          <w:color w:val="1F4E79" w:themeColor="accent5" w:themeTint="FF" w:themeShade="80"/>
        </w:rPr>
        <w:t>Queries Relating to Tender</w:t>
      </w:r>
      <w:bookmarkEnd w:id="727755728"/>
    </w:p>
    <w:p w:rsidRPr="00760ECD" w:rsidR="00760ECD" w:rsidP="00760ECD" w:rsidRDefault="00760ECD" w14:paraId="11C821F7" w14:textId="6A3D4598">
      <w:pPr>
        <w:rPr>
          <w:rFonts w:eastAsiaTheme="majorEastAsia"/>
        </w:rPr>
      </w:pPr>
      <w:r w:rsidRPr="00760ECD">
        <w:rPr>
          <w:rFonts w:eastAsiaTheme="majorEastAsia"/>
        </w:rPr>
        <w:t xml:space="preserve">All queries regarding this ITT must be made in writing via the Questions and Answer facility </w:t>
      </w:r>
      <w:r w:rsidR="00886F5E">
        <w:rPr>
          <w:rFonts w:eastAsiaTheme="majorEastAsia"/>
        </w:rPr>
        <w:t xml:space="preserve">within </w:t>
      </w:r>
      <w:r w:rsidRPr="00760ECD">
        <w:rPr>
          <w:rFonts w:eastAsiaTheme="majorEastAsia"/>
        </w:rPr>
        <w:t>Sell2Wales.</w:t>
      </w:r>
      <w:r w:rsidR="00886F5E">
        <w:rPr>
          <w:rFonts w:eastAsiaTheme="majorEastAsia"/>
        </w:rPr>
        <w:t xml:space="preserve"> </w:t>
      </w:r>
      <w:r w:rsidRPr="00760ECD">
        <w:rPr>
          <w:rFonts w:eastAsiaTheme="majorEastAsia"/>
        </w:rPr>
        <w:t xml:space="preserve">Questions will only be received and responded to via Sell2Wales. </w:t>
      </w:r>
    </w:p>
    <w:p w:rsidRPr="00760ECD" w:rsidR="00760ECD" w:rsidP="00760ECD" w:rsidRDefault="00760ECD" w14:paraId="45CBBB19" w14:textId="2BB9159E">
      <w:pPr>
        <w:rPr>
          <w:rFonts w:eastAsiaTheme="majorEastAsia"/>
        </w:rPr>
      </w:pPr>
      <w:r w:rsidRPr="00760ECD">
        <w:rPr>
          <w:rFonts w:eastAsiaTheme="majorEastAsia"/>
        </w:rPr>
        <w:t xml:space="preserve">Questions should be submitted in line with the Q&amp;A deadline detailed in the indicative timeline. </w:t>
      </w:r>
    </w:p>
    <w:p w:rsidRPr="00760ECD" w:rsidR="00760ECD" w:rsidP="00760ECD" w:rsidRDefault="00760ECD" w14:paraId="33D59B07" w14:textId="1CB23FE1">
      <w:pPr>
        <w:rPr>
          <w:rFonts w:eastAsiaTheme="majorEastAsia"/>
        </w:rPr>
      </w:pPr>
      <w:proofErr w:type="gramStart"/>
      <w:r w:rsidRPr="00760ECD">
        <w:rPr>
          <w:rFonts w:eastAsiaTheme="majorEastAsia"/>
        </w:rPr>
        <w:t>In order to</w:t>
      </w:r>
      <w:proofErr w:type="gramEnd"/>
      <w:r w:rsidRPr="00760ECD">
        <w:rPr>
          <w:rFonts w:eastAsiaTheme="majorEastAsia"/>
        </w:rPr>
        <w:t xml:space="preserve"> ensure equality of treatment of Tenderers, </w:t>
      </w:r>
      <w:r w:rsidR="003A030A">
        <w:rPr>
          <w:rFonts w:eastAsiaTheme="majorEastAsia"/>
        </w:rPr>
        <w:t>Bar</w:t>
      </w:r>
      <w:r w:rsidR="009613A1">
        <w:rPr>
          <w:rFonts w:eastAsiaTheme="majorEastAsia"/>
        </w:rPr>
        <w:t>c</w:t>
      </w:r>
      <w:r w:rsidR="003A030A">
        <w:rPr>
          <w:rFonts w:eastAsiaTheme="majorEastAsia"/>
        </w:rPr>
        <w:t>ud Shared Services</w:t>
      </w:r>
      <w:r w:rsidRPr="00760ECD">
        <w:rPr>
          <w:rFonts w:eastAsiaTheme="majorEastAsia"/>
        </w:rPr>
        <w:t xml:space="preserve"> intends to publish all questions raised by Tenderers, together with </w:t>
      </w:r>
      <w:r w:rsidR="008A566F">
        <w:rPr>
          <w:rFonts w:eastAsiaTheme="majorEastAsia"/>
        </w:rPr>
        <w:t>Bar</w:t>
      </w:r>
      <w:r w:rsidR="009613A1">
        <w:rPr>
          <w:rFonts w:eastAsiaTheme="majorEastAsia"/>
        </w:rPr>
        <w:t>c</w:t>
      </w:r>
      <w:r w:rsidR="008A566F">
        <w:rPr>
          <w:rFonts w:eastAsiaTheme="majorEastAsia"/>
        </w:rPr>
        <w:t>ud Shared Services</w:t>
      </w:r>
      <w:r w:rsidRPr="00760ECD" w:rsidR="008A566F">
        <w:rPr>
          <w:rFonts w:eastAsiaTheme="majorEastAsia"/>
        </w:rPr>
        <w:t xml:space="preserve"> </w:t>
      </w:r>
      <w:r w:rsidRPr="00760ECD">
        <w:rPr>
          <w:rFonts w:eastAsiaTheme="majorEastAsia"/>
        </w:rPr>
        <w:t>responses (but not the source of the question), to all interested parties via sell2wales website.</w:t>
      </w:r>
    </w:p>
    <w:p w:rsidRPr="00760ECD" w:rsidR="00760ECD" w:rsidP="00760ECD" w:rsidRDefault="00760ECD" w14:paraId="24A9396E" w14:textId="3B448202">
      <w:pPr>
        <w:rPr>
          <w:rFonts w:eastAsiaTheme="majorEastAsia"/>
        </w:rPr>
      </w:pPr>
      <w:r w:rsidRPr="00760ECD">
        <w:rPr>
          <w:rFonts w:eastAsiaTheme="majorEastAsia"/>
        </w:rPr>
        <w:t xml:space="preserve">Tenderers should indicate if a query is of a commercially sensitive nature where disclosure of such query and the answer would, or would be likely to, prejudice its commercial interest.  However, if </w:t>
      </w:r>
      <w:r w:rsidRPr="008A566F" w:rsidR="008A566F">
        <w:rPr>
          <w:rFonts w:eastAsiaTheme="majorEastAsia"/>
        </w:rPr>
        <w:t>Bar</w:t>
      </w:r>
      <w:r w:rsidR="009613A1">
        <w:rPr>
          <w:rFonts w:eastAsiaTheme="majorEastAsia"/>
        </w:rPr>
        <w:t>c</w:t>
      </w:r>
      <w:r w:rsidRPr="008A566F" w:rsidR="008A566F">
        <w:rPr>
          <w:rFonts w:eastAsiaTheme="majorEastAsia"/>
        </w:rPr>
        <w:t>ud Shared Services</w:t>
      </w:r>
      <w:r w:rsidRPr="00760ECD">
        <w:rPr>
          <w:rFonts w:eastAsiaTheme="majorEastAsia"/>
        </w:rPr>
        <w:t xml:space="preserve">, at its sole discretion, does not either; consider the query to be of a commercially confidential nature, or one which all Tenderers would potentially benefit from seeing, </w:t>
      </w:r>
      <w:r w:rsidRPr="00411A86" w:rsidR="00411A86">
        <w:rPr>
          <w:rFonts w:eastAsiaTheme="majorEastAsia"/>
        </w:rPr>
        <w:t>Bar</w:t>
      </w:r>
      <w:r w:rsidR="009613A1">
        <w:rPr>
          <w:rFonts w:eastAsiaTheme="majorEastAsia"/>
        </w:rPr>
        <w:t>c</w:t>
      </w:r>
      <w:r w:rsidRPr="00411A86" w:rsidR="00411A86">
        <w:rPr>
          <w:rFonts w:eastAsiaTheme="majorEastAsia"/>
        </w:rPr>
        <w:t xml:space="preserve">ud Shared Services </w:t>
      </w:r>
      <w:proofErr w:type="gramStart"/>
      <w:r w:rsidRPr="00760ECD">
        <w:rPr>
          <w:rFonts w:eastAsiaTheme="majorEastAsia"/>
        </w:rPr>
        <w:t>will;</w:t>
      </w:r>
      <w:proofErr w:type="gramEnd"/>
    </w:p>
    <w:p w:rsidRPr="00BA480A" w:rsidR="00760ECD" w:rsidP="00BA480A" w:rsidRDefault="00760ECD" w14:paraId="0B0CFB4B" w14:textId="4E3C551A">
      <w:pPr>
        <w:pStyle w:val="ListParagraph"/>
        <w:numPr>
          <w:ilvl w:val="0"/>
          <w:numId w:val="23"/>
        </w:numPr>
        <w:rPr>
          <w:rFonts w:eastAsiaTheme="majorEastAsia"/>
        </w:rPr>
      </w:pPr>
      <w:r w:rsidRPr="00BA480A">
        <w:rPr>
          <w:rFonts w:eastAsiaTheme="majorEastAsia"/>
        </w:rPr>
        <w:t xml:space="preserve">invite the Tenderer submitting the query to either declassify the query and allow the query, along with </w:t>
      </w:r>
      <w:r w:rsidRPr="00BA480A" w:rsidR="00F97AA5">
        <w:rPr>
          <w:rFonts w:eastAsiaTheme="majorEastAsia"/>
        </w:rPr>
        <w:t>Bar</w:t>
      </w:r>
      <w:r w:rsidR="009613A1">
        <w:rPr>
          <w:rFonts w:eastAsiaTheme="majorEastAsia"/>
        </w:rPr>
        <w:t>c</w:t>
      </w:r>
      <w:r w:rsidRPr="00BA480A" w:rsidR="00F97AA5">
        <w:rPr>
          <w:rFonts w:eastAsiaTheme="majorEastAsia"/>
        </w:rPr>
        <w:t xml:space="preserve">ud Shared Services </w:t>
      </w:r>
      <w:r w:rsidRPr="00BA480A">
        <w:rPr>
          <w:rFonts w:eastAsiaTheme="majorEastAsia"/>
        </w:rPr>
        <w:t>response, to be circulated to all Tenderers; or</w:t>
      </w:r>
    </w:p>
    <w:p w:rsidRPr="00BA480A" w:rsidR="00760ECD" w:rsidP="00BA480A" w:rsidRDefault="00760ECD" w14:paraId="0C1126EB" w14:textId="7D9AF6D1">
      <w:pPr>
        <w:pStyle w:val="ListParagraph"/>
        <w:numPr>
          <w:ilvl w:val="0"/>
          <w:numId w:val="23"/>
        </w:numPr>
        <w:rPr>
          <w:rFonts w:eastAsiaTheme="majorEastAsia"/>
        </w:rPr>
      </w:pPr>
      <w:r w:rsidRPr="00BA480A">
        <w:rPr>
          <w:rFonts w:eastAsiaTheme="majorEastAsia"/>
        </w:rPr>
        <w:t>request the Tenderer, if it still considers the query to be of a commercially confidential nature, to withdraw the query.</w:t>
      </w:r>
    </w:p>
    <w:p w:rsidRPr="00760ECD" w:rsidR="00760ECD" w:rsidP="00760ECD" w:rsidRDefault="00552363" w14:paraId="1472EB18" w14:textId="030AA5F9">
      <w:pPr>
        <w:rPr>
          <w:rFonts w:eastAsiaTheme="majorEastAsia"/>
        </w:rPr>
      </w:pPr>
      <w:r w:rsidRPr="00552363">
        <w:rPr>
          <w:rFonts w:eastAsiaTheme="majorEastAsia"/>
        </w:rPr>
        <w:lastRenderedPageBreak/>
        <w:t>Bar</w:t>
      </w:r>
      <w:r w:rsidR="009613A1">
        <w:rPr>
          <w:rFonts w:eastAsiaTheme="majorEastAsia"/>
        </w:rPr>
        <w:t>c</w:t>
      </w:r>
      <w:r w:rsidRPr="00552363">
        <w:rPr>
          <w:rFonts w:eastAsiaTheme="majorEastAsia"/>
        </w:rPr>
        <w:t>ud Shared Services</w:t>
      </w:r>
      <w:r w:rsidR="00F96514">
        <w:rPr>
          <w:rFonts w:eastAsiaTheme="majorEastAsia"/>
        </w:rPr>
        <w:t xml:space="preserve"> will aim to respond to all clarification requests within 48hrs </w:t>
      </w:r>
      <w:r w:rsidR="00FC5792">
        <w:rPr>
          <w:rFonts w:eastAsiaTheme="majorEastAsia"/>
        </w:rPr>
        <w:t>however</w:t>
      </w:r>
      <w:r w:rsidRPr="00552363">
        <w:rPr>
          <w:rFonts w:eastAsiaTheme="majorEastAsia"/>
        </w:rPr>
        <w:t xml:space="preserve"> </w:t>
      </w:r>
      <w:r w:rsidRPr="00760ECD" w:rsidR="00760ECD">
        <w:rPr>
          <w:rFonts w:eastAsiaTheme="majorEastAsia"/>
        </w:rPr>
        <w:t>reserves the right not to respond to a request for clarification or to circulate such a request where it considers that the answer to that request would be likely to prejudice its commercial interest.</w:t>
      </w:r>
    </w:p>
    <w:p w:rsidRPr="00612CBF" w:rsidR="00706CCA" w:rsidP="00612CBF" w:rsidRDefault="00706CCA" w14:paraId="2AE9232E" w14:textId="28F1FFFA" w14:noSpellErr="1">
      <w:pPr>
        <w:pStyle w:val="Heading2"/>
        <w:numPr>
          <w:ilvl w:val="1"/>
          <w:numId w:val="1"/>
        </w:numPr>
        <w:spacing w:line="360" w:lineRule="auto"/>
        <w:rPr>
          <w:color w:val="1F4E79" w:themeColor="accent5" w:themeShade="80"/>
        </w:rPr>
      </w:pPr>
      <w:bookmarkStart w:name="_Toc1020755372" w:id="540954223"/>
      <w:r w:rsidRPr="1871EEFA" w:rsidR="00706CCA">
        <w:rPr>
          <w:color w:val="1F4E79" w:themeColor="accent5" w:themeTint="FF" w:themeShade="80"/>
        </w:rPr>
        <w:t>Amendments to Tender Documents</w:t>
      </w:r>
      <w:bookmarkEnd w:id="540954223"/>
    </w:p>
    <w:p w:rsidRPr="00760ECD" w:rsidR="00760ECD" w:rsidP="00760ECD" w:rsidRDefault="00760ECD" w14:paraId="5CFD420B" w14:textId="41175C3A">
      <w:pPr>
        <w:rPr>
          <w:rFonts w:eastAsiaTheme="majorEastAsia"/>
        </w:rPr>
      </w:pPr>
      <w:r w:rsidRPr="00760ECD">
        <w:rPr>
          <w:rFonts w:eastAsiaTheme="majorEastAsia"/>
        </w:rPr>
        <w:t xml:space="preserve">At any time prior to the deadline for the receipt of Tenders, </w:t>
      </w:r>
      <w:r w:rsidRPr="00552363" w:rsidR="00552363">
        <w:rPr>
          <w:rFonts w:eastAsiaTheme="majorEastAsia"/>
        </w:rPr>
        <w:t>Bar</w:t>
      </w:r>
      <w:r w:rsidR="009613A1">
        <w:rPr>
          <w:rFonts w:eastAsiaTheme="majorEastAsia"/>
        </w:rPr>
        <w:t>c</w:t>
      </w:r>
      <w:r w:rsidRPr="00552363" w:rsidR="00552363">
        <w:rPr>
          <w:rFonts w:eastAsiaTheme="majorEastAsia"/>
        </w:rPr>
        <w:t xml:space="preserve">ud Shared Services </w:t>
      </w:r>
      <w:r w:rsidRPr="00760ECD">
        <w:rPr>
          <w:rFonts w:eastAsiaTheme="majorEastAsia"/>
        </w:rPr>
        <w:t xml:space="preserve">can modify the ITT.  Any such amendment will be numbered and dated and issued by </w:t>
      </w:r>
      <w:r w:rsidRPr="00552363" w:rsidR="00552363">
        <w:rPr>
          <w:rFonts w:eastAsiaTheme="majorEastAsia"/>
        </w:rPr>
        <w:t>Bar</w:t>
      </w:r>
      <w:r w:rsidR="009613A1">
        <w:rPr>
          <w:rFonts w:eastAsiaTheme="majorEastAsia"/>
        </w:rPr>
        <w:t>c</w:t>
      </w:r>
      <w:r w:rsidRPr="00552363" w:rsidR="00552363">
        <w:rPr>
          <w:rFonts w:eastAsiaTheme="majorEastAsia"/>
        </w:rPr>
        <w:t xml:space="preserve">ud Shared Services </w:t>
      </w:r>
      <w:r w:rsidRPr="00760ECD">
        <w:rPr>
          <w:rFonts w:eastAsiaTheme="majorEastAsia"/>
        </w:rPr>
        <w:t xml:space="preserve">to all prospective Tenderers via Sell2Wales website.  </w:t>
      </w:r>
      <w:r w:rsidR="00552363">
        <w:rPr>
          <w:rFonts w:eastAsiaTheme="majorEastAsia"/>
        </w:rPr>
        <w:t xml:space="preserve"> </w:t>
      </w:r>
    </w:p>
    <w:p w:rsidRPr="00760ECD" w:rsidR="00760ECD" w:rsidP="00760ECD" w:rsidRDefault="00760ECD" w14:paraId="179B925E" w14:textId="3839E8E6">
      <w:pPr>
        <w:rPr>
          <w:rFonts w:eastAsiaTheme="majorEastAsia"/>
        </w:rPr>
      </w:pPr>
      <w:proofErr w:type="gramStart"/>
      <w:r w:rsidRPr="00760ECD">
        <w:rPr>
          <w:rFonts w:eastAsiaTheme="majorEastAsia"/>
        </w:rPr>
        <w:t>In order to</w:t>
      </w:r>
      <w:proofErr w:type="gramEnd"/>
      <w:r w:rsidRPr="00760ECD">
        <w:rPr>
          <w:rFonts w:eastAsiaTheme="majorEastAsia"/>
        </w:rPr>
        <w:t xml:space="preserve"> give prospective Tenderers reasonable time in which to take the amendment into account in preparing their Tenders, </w:t>
      </w:r>
      <w:r w:rsidRPr="00552363" w:rsidR="00552363">
        <w:rPr>
          <w:rFonts w:eastAsiaTheme="majorEastAsia"/>
        </w:rPr>
        <w:t>Bar</w:t>
      </w:r>
      <w:r w:rsidR="009613A1">
        <w:rPr>
          <w:rFonts w:eastAsiaTheme="majorEastAsia"/>
        </w:rPr>
        <w:t>c</w:t>
      </w:r>
      <w:r w:rsidRPr="00552363" w:rsidR="00552363">
        <w:rPr>
          <w:rFonts w:eastAsiaTheme="majorEastAsia"/>
        </w:rPr>
        <w:t xml:space="preserve">ud Shared Services </w:t>
      </w:r>
      <w:r w:rsidRPr="00760ECD">
        <w:rPr>
          <w:rFonts w:eastAsiaTheme="majorEastAsia"/>
        </w:rPr>
        <w:t>may, at its discretion, extend the Return Date and time for receipt of Tenders.</w:t>
      </w:r>
      <w:r w:rsidR="00552363">
        <w:rPr>
          <w:rFonts w:eastAsiaTheme="majorEastAsia"/>
        </w:rPr>
        <w:t xml:space="preserve"> </w:t>
      </w:r>
    </w:p>
    <w:p w:rsidRPr="00612CBF" w:rsidR="00706CCA" w:rsidP="00612CBF" w:rsidRDefault="00706CCA" w14:paraId="1B6F2F86" w14:textId="552AE4A5" w14:noSpellErr="1">
      <w:pPr>
        <w:pStyle w:val="Heading2"/>
        <w:numPr>
          <w:ilvl w:val="1"/>
          <w:numId w:val="1"/>
        </w:numPr>
        <w:spacing w:line="360" w:lineRule="auto"/>
        <w:rPr>
          <w:color w:val="1F4E79" w:themeColor="accent5" w:themeShade="80"/>
        </w:rPr>
      </w:pPr>
      <w:bookmarkStart w:name="_Toc217570081" w:id="1021175584"/>
      <w:r w:rsidRPr="1871EEFA" w:rsidR="00706CCA">
        <w:rPr>
          <w:color w:val="1F4E79" w:themeColor="accent5" w:themeTint="FF" w:themeShade="80"/>
        </w:rPr>
        <w:t>Right to Reject/Disqualify</w:t>
      </w:r>
      <w:bookmarkEnd w:id="1021175584"/>
      <w:r w:rsidRPr="1871EEFA" w:rsidR="00706CCA">
        <w:rPr>
          <w:color w:val="1F4E79" w:themeColor="accent5" w:themeTint="FF" w:themeShade="80"/>
        </w:rPr>
        <w:t xml:space="preserve"> </w:t>
      </w:r>
      <w:r w:rsidRPr="1871EEFA" w:rsidR="00552363">
        <w:rPr>
          <w:color w:val="1F4E79" w:themeColor="accent5" w:themeTint="FF" w:themeShade="80"/>
        </w:rPr>
        <w:t xml:space="preserve"> </w:t>
      </w:r>
    </w:p>
    <w:p w:rsidRPr="00760ECD" w:rsidR="00760ECD" w:rsidP="00760ECD" w:rsidRDefault="00552363" w14:paraId="1DBFE03F" w14:textId="20A89281">
      <w:pPr>
        <w:rPr>
          <w:rFonts w:eastAsiaTheme="majorEastAsia"/>
        </w:rPr>
      </w:pPr>
      <w:r w:rsidRPr="00552363">
        <w:rPr>
          <w:rFonts w:eastAsiaTheme="majorEastAsia"/>
        </w:rPr>
        <w:t>Bar</w:t>
      </w:r>
      <w:r w:rsidR="009613A1">
        <w:rPr>
          <w:rFonts w:eastAsiaTheme="majorEastAsia"/>
        </w:rPr>
        <w:t>c</w:t>
      </w:r>
      <w:r w:rsidRPr="00552363">
        <w:rPr>
          <w:rFonts w:eastAsiaTheme="majorEastAsia"/>
        </w:rPr>
        <w:t xml:space="preserve">ud Shared Services </w:t>
      </w:r>
      <w:r w:rsidRPr="00760ECD" w:rsidR="00760ECD">
        <w:rPr>
          <w:rFonts w:eastAsiaTheme="majorEastAsia"/>
        </w:rPr>
        <w:t xml:space="preserve">reserves the right to reject or disqualify a Tenderer </w:t>
      </w:r>
      <w:proofErr w:type="gramStart"/>
      <w:r w:rsidRPr="00760ECD" w:rsidR="00760ECD">
        <w:rPr>
          <w:rFonts w:eastAsiaTheme="majorEastAsia"/>
        </w:rPr>
        <w:t>where;</w:t>
      </w:r>
      <w:proofErr w:type="gramEnd"/>
    </w:p>
    <w:p w:rsidRPr="00BA480A" w:rsidR="00760ECD" w:rsidP="00BA480A" w:rsidRDefault="00760ECD" w14:paraId="61AC9CA0" w14:textId="15B03006">
      <w:pPr>
        <w:pStyle w:val="ListParagraph"/>
        <w:numPr>
          <w:ilvl w:val="0"/>
          <w:numId w:val="3"/>
        </w:numPr>
        <w:rPr>
          <w:rFonts w:eastAsiaTheme="majorEastAsia"/>
        </w:rPr>
      </w:pPr>
      <w:r w:rsidRPr="00BA480A">
        <w:rPr>
          <w:rFonts w:eastAsiaTheme="majorEastAsia"/>
        </w:rPr>
        <w:t>the Tenderer fails to comply fully with the requirements of this Invitation to Tender or is guilty of a serious misrepresentation in supplying any information required in this document; or expression of interest; and or</w:t>
      </w:r>
    </w:p>
    <w:p w:rsidR="00760ECD" w:rsidP="00760ECD" w:rsidRDefault="00760ECD" w14:paraId="7DC328F2" w14:textId="2AF6936E">
      <w:pPr>
        <w:pStyle w:val="ListParagraph"/>
        <w:numPr>
          <w:ilvl w:val="0"/>
          <w:numId w:val="3"/>
        </w:numPr>
        <w:rPr>
          <w:rFonts w:eastAsiaTheme="majorEastAsia"/>
        </w:rPr>
      </w:pPr>
      <w:r w:rsidRPr="00760ECD">
        <w:rPr>
          <w:rFonts w:eastAsiaTheme="majorEastAsia"/>
        </w:rPr>
        <w:t>the Tenderer is guilty of serious misrepresentation in relation to its Tender; expression of interest; the Tender process; and/or</w:t>
      </w:r>
    </w:p>
    <w:p w:rsidR="00760ECD" w:rsidP="00760ECD" w:rsidRDefault="00760ECD" w14:paraId="2D0481D4" w14:textId="7BB90DA2">
      <w:pPr>
        <w:pStyle w:val="ListParagraph"/>
        <w:numPr>
          <w:ilvl w:val="0"/>
          <w:numId w:val="3"/>
        </w:numPr>
        <w:rPr>
          <w:rFonts w:eastAsiaTheme="majorEastAsia"/>
        </w:rPr>
      </w:pPr>
      <w:r w:rsidRPr="00760ECD">
        <w:rPr>
          <w:rFonts w:eastAsiaTheme="majorEastAsia"/>
        </w:rPr>
        <w:t>there is a change in identity, control, financial standing or other factor impacting on the selection and/or evaluation process affecting the Tenderer.</w:t>
      </w:r>
    </w:p>
    <w:p w:rsidRPr="00760ECD" w:rsidR="00760ECD" w:rsidP="00760ECD" w:rsidRDefault="00760ECD" w14:paraId="76866524" w14:textId="77777777">
      <w:pPr>
        <w:pStyle w:val="ListParagraph"/>
        <w:ind w:left="1080"/>
        <w:rPr>
          <w:rFonts w:eastAsiaTheme="majorEastAsia"/>
        </w:rPr>
      </w:pPr>
    </w:p>
    <w:p w:rsidRPr="00612CBF" w:rsidR="00706CCA" w:rsidP="00612CBF" w:rsidRDefault="00706CCA" w14:paraId="37DE20EB" w14:textId="110ABA16" w14:noSpellErr="1">
      <w:pPr>
        <w:pStyle w:val="Heading2"/>
        <w:numPr>
          <w:ilvl w:val="1"/>
          <w:numId w:val="1"/>
        </w:numPr>
        <w:spacing w:line="360" w:lineRule="auto"/>
        <w:rPr>
          <w:color w:val="1F4E79" w:themeColor="accent5" w:themeShade="80"/>
        </w:rPr>
      </w:pPr>
      <w:bookmarkStart w:name="_Toc1115864293" w:id="2073497867"/>
      <w:r w:rsidRPr="1871EEFA" w:rsidR="00706CCA">
        <w:rPr>
          <w:color w:val="1F4E79" w:themeColor="accent5" w:themeTint="FF" w:themeShade="80"/>
        </w:rPr>
        <w:t>Right to Cancel, Clarify or Vary the Process</w:t>
      </w:r>
      <w:bookmarkEnd w:id="2073497867"/>
    </w:p>
    <w:p w:rsidRPr="00760ECD" w:rsidR="00760ECD" w:rsidP="00760ECD" w:rsidRDefault="002B4109" w14:paraId="578E4743" w14:textId="7E091542">
      <w:pPr>
        <w:rPr>
          <w:rFonts w:eastAsiaTheme="majorEastAsia"/>
        </w:rPr>
      </w:pPr>
      <w:r w:rsidRPr="002B4109">
        <w:rPr>
          <w:rFonts w:eastAsiaTheme="majorEastAsia"/>
        </w:rPr>
        <w:t>Bar</w:t>
      </w:r>
      <w:r w:rsidR="009613A1">
        <w:rPr>
          <w:rFonts w:eastAsiaTheme="majorEastAsia"/>
        </w:rPr>
        <w:t>c</w:t>
      </w:r>
      <w:r w:rsidRPr="002B4109">
        <w:rPr>
          <w:rFonts w:eastAsiaTheme="majorEastAsia"/>
        </w:rPr>
        <w:t xml:space="preserve">ud Shared Services </w:t>
      </w:r>
      <w:r w:rsidRPr="00760ECD" w:rsidR="00760ECD">
        <w:rPr>
          <w:rFonts w:eastAsiaTheme="majorEastAsia"/>
        </w:rPr>
        <w:t xml:space="preserve">reserves the right </w:t>
      </w:r>
      <w:proofErr w:type="gramStart"/>
      <w:r w:rsidRPr="00760ECD" w:rsidR="00760ECD">
        <w:rPr>
          <w:rFonts w:eastAsiaTheme="majorEastAsia"/>
        </w:rPr>
        <w:t>to;</w:t>
      </w:r>
      <w:proofErr w:type="gramEnd"/>
    </w:p>
    <w:p w:rsidRPr="00760ECD" w:rsidR="00760ECD" w:rsidP="00760ECD" w:rsidRDefault="00760ECD" w14:paraId="0850B10E" w14:textId="4C66DD83">
      <w:pPr>
        <w:pStyle w:val="ListParagraph"/>
        <w:numPr>
          <w:ilvl w:val="0"/>
          <w:numId w:val="4"/>
        </w:numPr>
        <w:rPr>
          <w:rFonts w:eastAsiaTheme="majorEastAsia"/>
        </w:rPr>
      </w:pPr>
      <w:r w:rsidRPr="00760ECD">
        <w:rPr>
          <w:rFonts w:eastAsiaTheme="majorEastAsia"/>
        </w:rPr>
        <w:t xml:space="preserve">amend the terms and conditions of the Invitation to Tender </w:t>
      </w:r>
      <w:proofErr w:type="gramStart"/>
      <w:r w:rsidRPr="00760ECD">
        <w:rPr>
          <w:rFonts w:eastAsiaTheme="majorEastAsia"/>
        </w:rPr>
        <w:t>process;</w:t>
      </w:r>
      <w:proofErr w:type="gramEnd"/>
    </w:p>
    <w:p w:rsidR="00760ECD" w:rsidP="00760ECD" w:rsidRDefault="00760ECD" w14:paraId="7687A236" w14:textId="51D53647">
      <w:pPr>
        <w:pStyle w:val="ListParagraph"/>
        <w:numPr>
          <w:ilvl w:val="0"/>
          <w:numId w:val="4"/>
        </w:numPr>
        <w:rPr>
          <w:rFonts w:eastAsiaTheme="majorEastAsia"/>
        </w:rPr>
      </w:pPr>
      <w:r w:rsidRPr="00760ECD">
        <w:rPr>
          <w:rFonts w:eastAsiaTheme="majorEastAsia"/>
        </w:rPr>
        <w:t>cancel the Invitation to Tender process at any stage; and or</w:t>
      </w:r>
    </w:p>
    <w:p w:rsidR="00760ECD" w:rsidP="00760ECD" w:rsidRDefault="00760ECD" w14:paraId="76BD6EA8" w14:textId="07408DF9">
      <w:pPr>
        <w:pStyle w:val="ListParagraph"/>
        <w:numPr>
          <w:ilvl w:val="0"/>
          <w:numId w:val="4"/>
        </w:numPr>
        <w:rPr>
          <w:rFonts w:eastAsiaTheme="majorEastAsia"/>
        </w:rPr>
      </w:pPr>
      <w:r w:rsidRPr="00760ECD">
        <w:rPr>
          <w:rFonts w:eastAsiaTheme="majorEastAsia"/>
        </w:rPr>
        <w:t>require the tenderer to clarify its tender in writing and/or in person and/or provide additional information. Failure to respond adequately may result in the tenderer not being selected.</w:t>
      </w:r>
      <w:r w:rsidR="002B4109">
        <w:rPr>
          <w:rFonts w:eastAsiaTheme="majorEastAsia"/>
        </w:rPr>
        <w:t xml:space="preserve"> </w:t>
      </w:r>
    </w:p>
    <w:p w:rsidRPr="00760ECD" w:rsidR="00760ECD" w:rsidP="00760ECD" w:rsidRDefault="00760ECD" w14:paraId="13C3D35C" w14:textId="77777777">
      <w:pPr>
        <w:pStyle w:val="ListParagraph"/>
        <w:ind w:left="1080"/>
        <w:rPr>
          <w:rFonts w:eastAsiaTheme="majorEastAsia"/>
        </w:rPr>
      </w:pPr>
    </w:p>
    <w:p w:rsidRPr="00302C96" w:rsidR="005D17C4" w:rsidP="005D17C4" w:rsidRDefault="008146D0" w14:paraId="4635B6CC" w14:textId="5579CC8C" w14:noSpellErr="1">
      <w:pPr>
        <w:pStyle w:val="Heading2"/>
        <w:numPr>
          <w:ilvl w:val="1"/>
          <w:numId w:val="1"/>
        </w:numPr>
        <w:spacing w:line="360" w:lineRule="auto"/>
        <w:rPr>
          <w:color w:val="1F4E79" w:themeColor="accent5" w:themeShade="80"/>
        </w:rPr>
      </w:pPr>
      <w:r w:rsidRPr="1871EEFA" w:rsidR="008146D0">
        <w:rPr>
          <w:color w:val="1F4E79" w:themeColor="accent5" w:themeTint="FF" w:themeShade="80"/>
        </w:rPr>
        <w:t xml:space="preserve"> </w:t>
      </w:r>
      <w:bookmarkStart w:name="_Toc1275838698" w:id="247200115"/>
      <w:r w:rsidRPr="1871EEFA" w:rsidR="00706CCA">
        <w:rPr>
          <w:color w:val="1F4E79" w:themeColor="accent5" w:themeTint="FF" w:themeShade="80"/>
        </w:rPr>
        <w:t>Site Visit</w:t>
      </w:r>
      <w:r w:rsidRPr="1871EEFA" w:rsidR="005D17C4">
        <w:rPr>
          <w:color w:val="1F4E79" w:themeColor="accent5" w:themeTint="FF" w:themeShade="80"/>
        </w:rPr>
        <w:t>s</w:t>
      </w:r>
      <w:bookmarkEnd w:id="247200115"/>
    </w:p>
    <w:p w:rsidRPr="00643B2F" w:rsidR="00643B2F" w:rsidP="63D56887" w:rsidRDefault="00643B2F" w14:paraId="14512ABA" w14:textId="403BE846">
      <w:pPr>
        <w:rPr>
          <w:rFonts w:eastAsiaTheme="majorEastAsia"/>
        </w:rPr>
      </w:pPr>
      <w:r w:rsidRPr="00302C96">
        <w:rPr>
          <w:rFonts w:eastAsiaTheme="majorEastAsia"/>
        </w:rPr>
        <w:t>Site visits maybe offered as part of this process to help Tenderers ensure that they are completely comfortable with the scope of the requirements ahead of submitting their proposal. Tenderers are strongly encouraged to participate in the site visits if offered. To arrange a site visit Tenderers must contact Barcud Shared Services in advance through Sell2Wales, prior to the supplier questions deadline. Tenderers are only allowed access to the site by pre-arranged appointments with Barcud Shared Services. A representatives may accompany Tenderers when visiting and inspecting the site.</w:t>
      </w:r>
    </w:p>
    <w:p w:rsidRPr="00302C96" w:rsidR="005D17C4" w:rsidP="005D17C4" w:rsidRDefault="00643B2F" w14:paraId="24A2430C" w14:textId="6EEA3DA7" w14:noSpellErr="1">
      <w:pPr>
        <w:pStyle w:val="Heading2"/>
        <w:numPr>
          <w:ilvl w:val="1"/>
          <w:numId w:val="1"/>
        </w:numPr>
        <w:spacing w:line="360" w:lineRule="auto"/>
        <w:rPr>
          <w:color w:val="1F4E79" w:themeColor="accent5" w:themeShade="80"/>
        </w:rPr>
      </w:pPr>
      <w:bookmarkStart w:name="_Toc559764936" w:id="575822876"/>
      <w:r w:rsidRPr="1871EEFA" w:rsidR="00643B2F">
        <w:rPr>
          <w:color w:val="1F4E79" w:themeColor="accent5" w:themeTint="FF" w:themeShade="80"/>
        </w:rPr>
        <w:t>Leaseholder Consultation</w:t>
      </w:r>
      <w:bookmarkEnd w:id="575822876"/>
    </w:p>
    <w:p w:rsidR="00797A49" w:rsidP="00643B2F" w:rsidRDefault="008146D0" w14:paraId="1860CC84" w14:textId="2B9EFEAD">
      <w:r w:rsidRPr="00302C96">
        <w:t>This tender</w:t>
      </w:r>
      <w:r w:rsidRPr="00302C96" w:rsidR="001D77F5">
        <w:t xml:space="preserve"> </w:t>
      </w:r>
      <w:r w:rsidRPr="00302C96" w:rsidR="00954053">
        <w:t xml:space="preserve">includes the involvement of </w:t>
      </w:r>
      <w:r w:rsidRPr="00302C96" w:rsidR="00312AF3">
        <w:t>Leasehold properties</w:t>
      </w:r>
      <w:r w:rsidRPr="00302C96" w:rsidR="00344EE9">
        <w:t xml:space="preserve"> and as such consultation </w:t>
      </w:r>
      <w:r w:rsidRPr="00302C96" w:rsidR="00AC0C49">
        <w:t xml:space="preserve">with these leaseholders </w:t>
      </w:r>
      <w:r w:rsidRPr="00302C96" w:rsidR="00797A49">
        <w:t xml:space="preserve">under section 20 of the Landlord &amp; Tenant Act 1985 is being undertaken. </w:t>
      </w:r>
      <w:r w:rsidRPr="00302C96" w:rsidR="002361F5">
        <w:t xml:space="preserve">Consultation with leaseholders </w:t>
      </w:r>
      <w:r w:rsidRPr="00302C96" w:rsidR="00E3575E">
        <w:t xml:space="preserve">may increase the period between Tender Evaluation and </w:t>
      </w:r>
      <w:r w:rsidRPr="00302C96" w:rsidR="002F0BA9">
        <w:t>Award Notification.</w:t>
      </w:r>
    </w:p>
    <w:p w:rsidRPr="00612CBF" w:rsidR="00760ECD" w:rsidP="00612CBF" w:rsidRDefault="00760ECD" w14:paraId="69F56C88" w14:textId="370A9130" w14:noSpellErr="1">
      <w:pPr>
        <w:pStyle w:val="Heading2"/>
        <w:numPr>
          <w:ilvl w:val="1"/>
          <w:numId w:val="1"/>
        </w:numPr>
        <w:spacing w:line="360" w:lineRule="auto"/>
        <w:rPr>
          <w:color w:val="1F4E79" w:themeColor="accent5" w:themeShade="80"/>
        </w:rPr>
      </w:pPr>
      <w:bookmarkStart w:name="_Toc938188138" w:id="1389257359"/>
      <w:r w:rsidRPr="1871EEFA" w:rsidR="00760ECD">
        <w:rPr>
          <w:color w:val="1F4E79" w:themeColor="accent5" w:themeTint="FF" w:themeShade="80"/>
        </w:rPr>
        <w:t>Corporate Policies</w:t>
      </w:r>
      <w:bookmarkEnd w:id="1389257359"/>
    </w:p>
    <w:p w:rsidRPr="00733607" w:rsidR="00760ECD" w:rsidP="00733607" w:rsidRDefault="00DF0136" w14:paraId="43FF3AC8" w14:textId="572791BE">
      <w:pPr>
        <w:rPr>
          <w:rFonts w:eastAsiaTheme="majorEastAsia"/>
        </w:rPr>
      </w:pPr>
      <w:r w:rsidRPr="00DF0136">
        <w:rPr>
          <w:rFonts w:eastAsiaTheme="majorEastAsia"/>
        </w:rPr>
        <w:t xml:space="preserve">In addition to the requirements outlined in the Specification the appointed contractor will be required to comply with the relevant Barcud Shared Services Clients policies and codes of </w:t>
      </w:r>
      <w:proofErr w:type="gramStart"/>
      <w:r w:rsidRPr="00DF0136">
        <w:rPr>
          <w:rFonts w:eastAsiaTheme="majorEastAsia"/>
        </w:rPr>
        <w:t>practice,</w:t>
      </w:r>
      <w:proofErr w:type="gramEnd"/>
      <w:r w:rsidRPr="00DF0136">
        <w:rPr>
          <w:rFonts w:eastAsiaTheme="majorEastAsia"/>
        </w:rPr>
        <w:t xml:space="preserve"> these policies can be provided upon request.</w:t>
      </w:r>
    </w:p>
    <w:p w:rsidRPr="00612CBF" w:rsidR="00760ECD" w:rsidP="00612CBF" w:rsidRDefault="00760ECD" w14:paraId="78F1BD0E" w14:textId="77777777" w14:noSpellErr="1">
      <w:pPr>
        <w:pStyle w:val="Heading2"/>
        <w:numPr>
          <w:ilvl w:val="1"/>
          <w:numId w:val="1"/>
        </w:numPr>
        <w:spacing w:line="360" w:lineRule="auto"/>
        <w:rPr>
          <w:color w:val="1F4E79" w:themeColor="accent5" w:themeShade="80"/>
        </w:rPr>
      </w:pPr>
      <w:bookmarkStart w:name="_Toc1485153659" w:id="1753777861"/>
      <w:r w:rsidRPr="1871EEFA" w:rsidR="00760ECD">
        <w:rPr>
          <w:color w:val="1F4E79" w:themeColor="accent5" w:themeTint="FF" w:themeShade="80"/>
        </w:rPr>
        <w:t>Sub-Contracting Arrangements</w:t>
      </w:r>
      <w:bookmarkEnd w:id="1753777861"/>
      <w:r w:rsidRPr="1871EEFA" w:rsidR="00760ECD">
        <w:rPr>
          <w:color w:val="1F4E79" w:themeColor="accent5" w:themeTint="FF" w:themeShade="80"/>
        </w:rPr>
        <w:t xml:space="preserve"> </w:t>
      </w:r>
    </w:p>
    <w:p w:rsidRPr="00057FA2" w:rsidR="00760ECD" w:rsidP="00760ECD" w:rsidRDefault="00760ECD" w14:paraId="6069856C" w14:textId="77777777">
      <w:pPr>
        <w:rPr>
          <w:rFonts w:eastAsiaTheme="majorEastAsia"/>
        </w:rPr>
      </w:pPr>
      <w:r w:rsidRPr="00760ECD">
        <w:rPr>
          <w:rFonts w:eastAsiaTheme="majorEastAsia"/>
        </w:rPr>
        <w:t xml:space="preserve">Where a sub-contracting approach is proposed, all information requested should be given in respect </w:t>
      </w:r>
      <w:r w:rsidRPr="00057FA2">
        <w:rPr>
          <w:rFonts w:eastAsiaTheme="majorEastAsia"/>
        </w:rPr>
        <w:t xml:space="preserve">of the primary Supplier/Contractor. </w:t>
      </w:r>
    </w:p>
    <w:p w:rsidRPr="00057FA2" w:rsidR="00760ECD" w:rsidP="00760ECD" w:rsidRDefault="00760ECD" w14:paraId="1AAE690C" w14:textId="1506A715">
      <w:pPr>
        <w:rPr>
          <w:rFonts w:eastAsiaTheme="majorEastAsia"/>
        </w:rPr>
      </w:pPr>
      <w:r w:rsidRPr="00057FA2">
        <w:rPr>
          <w:rFonts w:eastAsiaTheme="majorEastAsia"/>
        </w:rPr>
        <w:t xml:space="preserve">Where sub-contractors will play a significant role in the delivery of the services or products under the Contract please indicate, in a separate appendix (by inserting the relevant company/organisation name), the composition of the supply chain, indicating which member of the supply chain will be responsible for the main elements of the Contract by producing a structure that proves to </w:t>
      </w:r>
      <w:r w:rsidRPr="00057FA2" w:rsidR="00E841DE">
        <w:rPr>
          <w:rFonts w:eastAsiaTheme="majorEastAsia"/>
        </w:rPr>
        <w:t>Bar</w:t>
      </w:r>
      <w:r w:rsidR="009613A1">
        <w:rPr>
          <w:rFonts w:eastAsiaTheme="majorEastAsia"/>
        </w:rPr>
        <w:t>c</w:t>
      </w:r>
      <w:r w:rsidRPr="00057FA2" w:rsidR="00E841DE">
        <w:rPr>
          <w:rFonts w:eastAsiaTheme="majorEastAsia"/>
        </w:rPr>
        <w:t xml:space="preserve">ud Shared Services </w:t>
      </w:r>
      <w:r w:rsidRPr="00057FA2">
        <w:rPr>
          <w:rFonts w:eastAsiaTheme="majorEastAsia"/>
        </w:rPr>
        <w:t>that the Tenderer will have at its disposal the resources necessary, with regard to criteria relating to economic and financial standing as set out under Regulation 58 (7) and the technical and professional ability as set out in Regulation 58 (15). It must be noted that ultimate responsibility will always rest with the primary Supplier/Contractor. Tenderers must demonstrate how they will secure and manage their supply chain to deliver contracts.</w:t>
      </w:r>
    </w:p>
    <w:p w:rsidRPr="00057FA2" w:rsidR="00760ECD" w:rsidP="00760ECD" w:rsidRDefault="00760ECD" w14:paraId="168C13E8" w14:textId="3EA88918">
      <w:pPr>
        <w:rPr>
          <w:rFonts w:eastAsiaTheme="majorEastAsia"/>
        </w:rPr>
      </w:pPr>
      <w:r w:rsidRPr="00057FA2">
        <w:rPr>
          <w:rFonts w:eastAsiaTheme="majorEastAsia"/>
        </w:rPr>
        <w:t xml:space="preserve">It is recognised that arrangements in relation to sub-contracting may be subject to future change. However, Tenderers should be aware that where sub-contractors are to play a significant role, any changes to those sub-contracting arrangements may constitute a material change and, therefore, may affect the ability of the Tenderer to proceed with the procurement process or to provide the goods.    </w:t>
      </w:r>
    </w:p>
    <w:p w:rsidRPr="00612CBF" w:rsidR="00760ECD" w:rsidP="00612CBF" w:rsidRDefault="00760ECD" w14:paraId="29620CA4" w14:textId="77777777" w14:noSpellErr="1">
      <w:pPr>
        <w:pStyle w:val="Heading2"/>
        <w:numPr>
          <w:ilvl w:val="1"/>
          <w:numId w:val="1"/>
        </w:numPr>
        <w:spacing w:line="360" w:lineRule="auto"/>
        <w:rPr>
          <w:color w:val="1F4E79" w:themeColor="accent5" w:themeShade="80"/>
        </w:rPr>
      </w:pPr>
      <w:bookmarkStart w:name="_Toc1320275965" w:id="329547372"/>
      <w:r w:rsidRPr="1871EEFA" w:rsidR="00760ECD">
        <w:rPr>
          <w:color w:val="1F4E79" w:themeColor="accent5" w:themeTint="FF" w:themeShade="80"/>
        </w:rPr>
        <w:t>Consortia Arrangements</w:t>
      </w:r>
      <w:bookmarkEnd w:id="329547372"/>
    </w:p>
    <w:p w:rsidRPr="00760ECD" w:rsidR="00760ECD" w:rsidP="00760ECD" w:rsidRDefault="00760ECD" w14:paraId="2720A1BE" w14:textId="77777777">
      <w:pPr>
        <w:rPr>
          <w:rFonts w:eastAsiaTheme="majorEastAsia"/>
        </w:rPr>
      </w:pPr>
      <w:r w:rsidRPr="00760ECD">
        <w:rPr>
          <w:rFonts w:eastAsiaTheme="majorEastAsia"/>
        </w:rPr>
        <w:t xml:space="preserve">If the Tenderer bidding for the Contract is a consortium, the following information must be </w:t>
      </w:r>
      <w:proofErr w:type="gramStart"/>
      <w:r w:rsidRPr="00760ECD">
        <w:rPr>
          <w:rFonts w:eastAsiaTheme="majorEastAsia"/>
        </w:rPr>
        <w:t>provided;</w:t>
      </w:r>
      <w:proofErr w:type="gramEnd"/>
    </w:p>
    <w:p w:rsidRPr="00760ECD" w:rsidR="00760ECD" w:rsidP="00760ECD" w:rsidRDefault="00760ECD" w14:paraId="29E9BCC2" w14:textId="17B56B77">
      <w:pPr>
        <w:pStyle w:val="ListParagraph"/>
        <w:numPr>
          <w:ilvl w:val="0"/>
          <w:numId w:val="7"/>
        </w:numPr>
        <w:rPr>
          <w:rFonts w:eastAsiaTheme="majorEastAsia"/>
        </w:rPr>
      </w:pPr>
      <w:r w:rsidRPr="00760ECD">
        <w:rPr>
          <w:rFonts w:eastAsiaTheme="majorEastAsia"/>
        </w:rPr>
        <w:t xml:space="preserve">full details of the </w:t>
      </w:r>
      <w:proofErr w:type="gramStart"/>
      <w:r w:rsidRPr="00760ECD">
        <w:rPr>
          <w:rFonts w:eastAsiaTheme="majorEastAsia"/>
        </w:rPr>
        <w:t>consortium;</w:t>
      </w:r>
      <w:proofErr w:type="gramEnd"/>
    </w:p>
    <w:p w:rsidRPr="00760ECD" w:rsidR="00760ECD" w:rsidP="00760ECD" w:rsidRDefault="00760ECD" w14:paraId="06FB23F0" w14:textId="4FA4DB3F">
      <w:pPr>
        <w:pStyle w:val="ListParagraph"/>
        <w:numPr>
          <w:ilvl w:val="0"/>
          <w:numId w:val="7"/>
        </w:numPr>
        <w:rPr>
          <w:rFonts w:eastAsiaTheme="majorEastAsia"/>
        </w:rPr>
      </w:pPr>
      <w:r w:rsidRPr="00760ECD">
        <w:rPr>
          <w:rFonts w:eastAsiaTheme="majorEastAsia"/>
        </w:rPr>
        <w:t xml:space="preserve">the proposed proportionate responsibility of each of the </w:t>
      </w:r>
      <w:proofErr w:type="gramStart"/>
      <w:r w:rsidRPr="00760ECD">
        <w:rPr>
          <w:rFonts w:eastAsiaTheme="majorEastAsia"/>
        </w:rPr>
        <w:t>members;</w:t>
      </w:r>
      <w:proofErr w:type="gramEnd"/>
    </w:p>
    <w:p w:rsidRPr="00760ECD" w:rsidR="00760ECD" w:rsidP="00760ECD" w:rsidRDefault="00760ECD" w14:paraId="6B9E7046" w14:textId="22AD3FCB">
      <w:pPr>
        <w:pStyle w:val="ListParagraph"/>
        <w:numPr>
          <w:ilvl w:val="0"/>
          <w:numId w:val="7"/>
        </w:numPr>
        <w:rPr>
          <w:rFonts w:eastAsiaTheme="majorEastAsia"/>
        </w:rPr>
      </w:pPr>
      <w:r w:rsidRPr="00760ECD">
        <w:rPr>
          <w:rFonts w:eastAsiaTheme="majorEastAsia"/>
        </w:rPr>
        <w:t xml:space="preserve">full details of the actual or proposed percentage shareholding of the constituent members within the </w:t>
      </w:r>
      <w:proofErr w:type="gramStart"/>
      <w:r w:rsidRPr="00760ECD">
        <w:rPr>
          <w:rFonts w:eastAsiaTheme="majorEastAsia"/>
        </w:rPr>
        <w:t>consortium;</w:t>
      </w:r>
      <w:proofErr w:type="gramEnd"/>
    </w:p>
    <w:p w:rsidRPr="00760ECD" w:rsidR="00760ECD" w:rsidP="00760ECD" w:rsidRDefault="00760ECD" w14:paraId="38460F36" w14:textId="5DD3418B">
      <w:pPr>
        <w:pStyle w:val="ListParagraph"/>
        <w:numPr>
          <w:ilvl w:val="0"/>
          <w:numId w:val="7"/>
        </w:numPr>
        <w:rPr>
          <w:rFonts w:eastAsiaTheme="majorEastAsia"/>
        </w:rPr>
      </w:pPr>
      <w:r w:rsidRPr="00760ECD">
        <w:rPr>
          <w:rFonts w:eastAsiaTheme="majorEastAsia"/>
        </w:rPr>
        <w:t>the lead member of the consortium who will be contractually responsible for delivery of the Contract (if a separate legal entity is not being created); and</w:t>
      </w:r>
    </w:p>
    <w:p w:rsidRPr="00760ECD" w:rsidR="00760ECD" w:rsidP="00760ECD" w:rsidRDefault="00760ECD" w14:paraId="72C2661A" w14:textId="2436E704">
      <w:pPr>
        <w:pStyle w:val="ListParagraph"/>
        <w:numPr>
          <w:ilvl w:val="0"/>
          <w:numId w:val="7"/>
        </w:numPr>
        <w:rPr>
          <w:rFonts w:eastAsiaTheme="majorEastAsia"/>
        </w:rPr>
      </w:pPr>
      <w:r w:rsidRPr="00760ECD">
        <w:rPr>
          <w:rFonts w:eastAsiaTheme="majorEastAsia"/>
        </w:rPr>
        <w:t>if the consortium is not proposing to form a legal entity, full details of proposed arrangements within a separate appendix.</w:t>
      </w:r>
    </w:p>
    <w:p w:rsidRPr="00760ECD" w:rsidR="00760ECD" w:rsidP="00760ECD" w:rsidRDefault="00760ECD" w14:paraId="2AF7E755" w14:textId="20440A2D">
      <w:pPr>
        <w:rPr>
          <w:rFonts w:eastAsiaTheme="majorEastAsia"/>
        </w:rPr>
      </w:pPr>
      <w:r w:rsidRPr="00760ECD">
        <w:rPr>
          <w:rFonts w:eastAsiaTheme="majorEastAsia"/>
        </w:rPr>
        <w:t xml:space="preserve">Please note </w:t>
      </w:r>
      <w:r w:rsidRPr="00CD0C1B" w:rsidR="00CD0C1B">
        <w:rPr>
          <w:rFonts w:eastAsiaTheme="majorEastAsia"/>
        </w:rPr>
        <w:t xml:space="preserve">Barcud Shared Services </w:t>
      </w:r>
      <w:r w:rsidRPr="00760ECD">
        <w:rPr>
          <w:rFonts w:eastAsiaTheme="majorEastAsia"/>
        </w:rPr>
        <w:t xml:space="preserve">reserves the right to require a successful consortium to form a single legal entity if awarded the Contract, to the extent that a specific legal form is deemed by </w:t>
      </w:r>
      <w:r w:rsidRPr="00CD0C1B" w:rsidR="00CD0C1B">
        <w:rPr>
          <w:rFonts w:eastAsiaTheme="majorEastAsia"/>
        </w:rPr>
        <w:t xml:space="preserve">Barcud Shared Services </w:t>
      </w:r>
      <w:r w:rsidRPr="00760ECD">
        <w:rPr>
          <w:rFonts w:eastAsiaTheme="majorEastAsia"/>
        </w:rPr>
        <w:t xml:space="preserve">as being necessary for the satisfactory performance of the Contract. </w:t>
      </w:r>
      <w:r w:rsidRPr="00E70590">
        <w:rPr>
          <w:rFonts w:eastAsiaTheme="majorEastAsia"/>
          <w:b/>
          <w:bCs/>
        </w:rPr>
        <w:t xml:space="preserve">All </w:t>
      </w:r>
      <w:r w:rsidRPr="00E70590">
        <w:rPr>
          <w:rFonts w:eastAsiaTheme="majorEastAsia"/>
          <w:b/>
          <w:bCs/>
        </w:rPr>
        <w:lastRenderedPageBreak/>
        <w:t xml:space="preserve">members of the consortium will be required to provide the information required in all sections of the Tender Award Stage as part of a single composite response to </w:t>
      </w:r>
      <w:r w:rsidRPr="00E70590" w:rsidR="00CD0C1B">
        <w:rPr>
          <w:rFonts w:eastAsiaTheme="majorEastAsia"/>
          <w:b/>
          <w:bCs/>
        </w:rPr>
        <w:t>Barcud Shared Services</w:t>
      </w:r>
      <w:r w:rsidRPr="00760ECD">
        <w:rPr>
          <w:rFonts w:eastAsiaTheme="majorEastAsia"/>
        </w:rPr>
        <w:t xml:space="preserve">, i.e. each member of the consortium is required to complete all sections of the Tender Award Stage. </w:t>
      </w:r>
    </w:p>
    <w:p w:rsidRPr="00760ECD" w:rsidR="00760ECD" w:rsidP="00760ECD" w:rsidRDefault="00760ECD" w14:paraId="5A65E755" w14:textId="6E73D5FA">
      <w:pPr>
        <w:rPr>
          <w:rFonts w:eastAsiaTheme="majorEastAsia"/>
        </w:rPr>
      </w:pPr>
      <w:r w:rsidRPr="00760ECD">
        <w:rPr>
          <w:rFonts w:eastAsiaTheme="majorEastAsia"/>
        </w:rPr>
        <w:t xml:space="preserve">The submissions of each consortium member will be scored in accordance with the weightings and rationale as described </w:t>
      </w:r>
      <w:r w:rsidR="00351398">
        <w:rPr>
          <w:rFonts w:eastAsiaTheme="majorEastAsia"/>
        </w:rPr>
        <w:t xml:space="preserve">within </w:t>
      </w:r>
      <w:r w:rsidRPr="00351398" w:rsidR="00351398">
        <w:rPr>
          <w:rFonts w:eastAsiaTheme="majorEastAsia"/>
        </w:rPr>
        <w:t>3.</w:t>
      </w:r>
      <w:r w:rsidR="00351398">
        <w:rPr>
          <w:rFonts w:eastAsiaTheme="majorEastAsia"/>
        </w:rPr>
        <w:t xml:space="preserve"> </w:t>
      </w:r>
      <w:r w:rsidRPr="00351398" w:rsidR="00351398">
        <w:rPr>
          <w:rFonts w:eastAsiaTheme="majorEastAsia"/>
        </w:rPr>
        <w:t>Evaluation and Selection</w:t>
      </w:r>
      <w:r w:rsidR="00351398">
        <w:rPr>
          <w:rFonts w:eastAsiaTheme="majorEastAsia"/>
        </w:rPr>
        <w:t>.</w:t>
      </w:r>
    </w:p>
    <w:p w:rsidRPr="00760ECD" w:rsidR="00760ECD" w:rsidP="00760ECD" w:rsidRDefault="00760ECD" w14:paraId="52FF6B12" w14:textId="3626FFAD">
      <w:pPr>
        <w:rPr>
          <w:rFonts w:eastAsiaTheme="majorEastAsia"/>
        </w:rPr>
      </w:pPr>
      <w:r w:rsidRPr="00760ECD">
        <w:rPr>
          <w:rFonts w:eastAsiaTheme="majorEastAsia"/>
        </w:rPr>
        <w:t>The total overall score of each consortium member will be added together and divided by the total number of consortium members. For example, if there are 3 consortium members, the total overall score of each consortium member will be added together and divided by 3.</w:t>
      </w:r>
    </w:p>
    <w:p w:rsidRPr="00760ECD" w:rsidR="00760ECD" w:rsidP="00760ECD" w:rsidRDefault="00760ECD" w14:paraId="4EB7698F" w14:textId="5333CC22">
      <w:pPr>
        <w:rPr>
          <w:rFonts w:eastAsiaTheme="majorEastAsia"/>
        </w:rPr>
      </w:pPr>
      <w:r w:rsidRPr="00760ECD">
        <w:rPr>
          <w:rFonts w:eastAsiaTheme="majorEastAsia"/>
        </w:rPr>
        <w:t xml:space="preserve">If one, or more, members fail one of the Pass/Fail questions then </w:t>
      </w:r>
      <w:r w:rsidRPr="00CD0C1B" w:rsidR="00CD0C1B">
        <w:rPr>
          <w:rFonts w:eastAsiaTheme="majorEastAsia"/>
        </w:rPr>
        <w:t>Barcud Shared Services</w:t>
      </w:r>
      <w:r w:rsidRPr="00760ECD" w:rsidR="00CD0C1B">
        <w:rPr>
          <w:rFonts w:eastAsiaTheme="majorEastAsia"/>
        </w:rPr>
        <w:t xml:space="preserve"> </w:t>
      </w:r>
      <w:r w:rsidRPr="00760ECD">
        <w:rPr>
          <w:rFonts w:eastAsiaTheme="majorEastAsia"/>
        </w:rPr>
        <w:t xml:space="preserve">reserves the right to seek clarification from the lead member of the consortium to allow them to provide an adequate explanation of why the consortium member has failed the question. If the lead member cannot provide an adequate explanation, </w:t>
      </w:r>
      <w:r w:rsidRPr="00CD0C1B" w:rsidR="00CD0C1B">
        <w:rPr>
          <w:rFonts w:eastAsiaTheme="majorEastAsia"/>
        </w:rPr>
        <w:t xml:space="preserve">Barcud Shared Services </w:t>
      </w:r>
      <w:r w:rsidRPr="00760ECD">
        <w:rPr>
          <w:rFonts w:eastAsiaTheme="majorEastAsia"/>
        </w:rPr>
        <w:t xml:space="preserve">reserves the right to apply a Fail for this question, and therefore, </w:t>
      </w:r>
      <w:r w:rsidRPr="00CD0C1B" w:rsidR="00CD0C1B">
        <w:rPr>
          <w:rFonts w:eastAsiaTheme="majorEastAsia"/>
        </w:rPr>
        <w:t xml:space="preserve">Barcud Shared Services </w:t>
      </w:r>
      <w:r w:rsidRPr="00760ECD">
        <w:rPr>
          <w:rFonts w:eastAsiaTheme="majorEastAsia"/>
        </w:rPr>
        <w:t>reserves the right to apply a Fail for the whole consortium, which will result in the consortium not proceeding further in the tender process.</w:t>
      </w:r>
    </w:p>
    <w:p w:rsidR="00070406" w:rsidP="1871EEFA" w:rsidRDefault="00070406" w14:paraId="45AF2F14" w14:textId="215EE2B9">
      <w:pPr>
        <w:rPr>
          <w:rFonts w:ascii="Calibri Light" w:hAnsi="Calibri Light" w:eastAsia="游ゴシック Light" w:cs="Times New Roman" w:asciiTheme="majorAscii" w:hAnsiTheme="majorAscii" w:eastAsiaTheme="majorEastAsia" w:cstheme="majorBidi"/>
          <w:color w:val="2F5496" w:themeColor="accent1" w:themeShade="BF"/>
          <w:sz w:val="28"/>
          <w:szCs w:val="28"/>
        </w:rPr>
        <w:sectPr w:rsidR="00070406" w:rsidSect="00D44EE8">
          <w:pgSz w:w="11906" w:h="16838" w:orient="portrait"/>
          <w:pgMar w:top="2268" w:right="1440" w:bottom="1440" w:left="1440" w:header="709" w:footer="709" w:gutter="0"/>
          <w:pgNumType w:start="2"/>
          <w:cols w:space="708"/>
          <w:docGrid w:linePitch="360"/>
        </w:sectPr>
      </w:pPr>
      <w:r w:rsidRPr="1871EEFA" w:rsidR="00CD0C1B">
        <w:rPr>
          <w:rFonts w:eastAsia="游ゴシック Light" w:eastAsiaTheme="majorEastAsia"/>
        </w:rPr>
        <w:t xml:space="preserve">Barcud Shared Services </w:t>
      </w:r>
      <w:r w:rsidRPr="1871EEFA" w:rsidR="00760ECD">
        <w:rPr>
          <w:rFonts w:eastAsia="游ゴシック Light" w:eastAsiaTheme="majorEastAsia"/>
        </w:rPr>
        <w:t xml:space="preserve">recognises that arrangements in relation to consortia may (within limits) be subject to future change. Tenderers should therefore respond in the light of the arrangements as currently envisaged. Potential suppliers are reminded that any future proposed change in relation to consortia must be notified to </w:t>
      </w:r>
      <w:r w:rsidRPr="1871EEFA" w:rsidR="00CD0C1B">
        <w:rPr>
          <w:rFonts w:eastAsia="游ゴシック Light" w:eastAsiaTheme="majorEastAsia"/>
        </w:rPr>
        <w:t xml:space="preserve">Barcud Shared Services </w:t>
      </w:r>
      <w:r w:rsidRPr="1871EEFA" w:rsidR="00760ECD">
        <w:rPr>
          <w:rFonts w:eastAsia="游ゴシック Light" w:eastAsiaTheme="majorEastAsia"/>
        </w:rPr>
        <w:t xml:space="preserve">so that it can make a further assessment by applying the Award Criteria to the </w:t>
      </w:r>
      <w:r w:rsidRPr="1871EEFA" w:rsidR="00760ECD">
        <w:rPr>
          <w:rFonts w:eastAsia="游ゴシック Light" w:eastAsiaTheme="majorEastAsia"/>
        </w:rPr>
        <w:t>new information</w:t>
      </w:r>
      <w:r w:rsidRPr="1871EEFA" w:rsidR="00760ECD">
        <w:rPr>
          <w:rFonts w:eastAsia="游ゴシック Light" w:eastAsiaTheme="majorEastAsia"/>
        </w:rPr>
        <w:t xml:space="preserve"> provided</w:t>
      </w:r>
      <w:r w:rsidRPr="1871EEFA" w:rsidR="1AE6C3C8">
        <w:rPr>
          <w:rFonts w:eastAsia="游ゴシック Light" w:eastAsiaTheme="majorEastAsia"/>
        </w:rPr>
        <w:t>.</w:t>
      </w:r>
    </w:p>
    <w:p w:rsidRPr="00612CBF" w:rsidR="00A52185" w:rsidP="00612CBF" w:rsidRDefault="00C36FDB" w14:paraId="6C87B8F2" w14:textId="32382B79" w14:noSpellErr="1">
      <w:pPr>
        <w:pStyle w:val="Heading1"/>
        <w:numPr>
          <w:ilvl w:val="0"/>
          <w:numId w:val="1"/>
        </w:numPr>
        <w:spacing w:line="360" w:lineRule="auto"/>
        <w:rPr>
          <w:color w:val="1F4E79" w:themeColor="accent5" w:themeShade="80"/>
          <w:sz w:val="32"/>
          <w:szCs w:val="32"/>
        </w:rPr>
      </w:pPr>
      <w:bookmarkStart w:name="_Ref147841046" w:id="17"/>
      <w:bookmarkStart w:name="_Ref147841058" w:id="18"/>
      <w:bookmarkStart w:name="_Ref147841082" w:id="19"/>
      <w:bookmarkStart w:name="_Ref147841092" w:id="20"/>
      <w:bookmarkStart w:name="_Ref147841126" w:id="21"/>
      <w:bookmarkStart w:name="_Ref147841130" w:id="22"/>
      <w:bookmarkStart w:name="_Toc986760912" w:id="152235510"/>
      <w:r w:rsidRPr="1871EEFA" w:rsidR="00C36FDB">
        <w:rPr>
          <w:color w:val="1F4E79" w:themeColor="accent5" w:themeTint="FF" w:themeShade="80"/>
          <w:sz w:val="32"/>
          <w:szCs w:val="32"/>
        </w:rPr>
        <w:t>Evaluation and Selection</w:t>
      </w:r>
      <w:bookmarkEnd w:id="17"/>
      <w:bookmarkEnd w:id="18"/>
      <w:bookmarkEnd w:id="19"/>
      <w:bookmarkEnd w:id="20"/>
      <w:bookmarkEnd w:id="21"/>
      <w:bookmarkEnd w:id="22"/>
      <w:bookmarkEnd w:id="152235510"/>
    </w:p>
    <w:p w:rsidRPr="00612CBF" w:rsidR="00FD37F3" w:rsidP="00612CBF" w:rsidRDefault="009B3BB0" w14:paraId="50007937" w14:textId="1F15C857" w14:noSpellErr="1">
      <w:pPr>
        <w:pStyle w:val="Heading2"/>
        <w:numPr>
          <w:ilvl w:val="1"/>
          <w:numId w:val="1"/>
        </w:numPr>
        <w:spacing w:line="360" w:lineRule="auto"/>
        <w:rPr>
          <w:color w:val="1F4E79" w:themeColor="accent5" w:themeShade="80"/>
        </w:rPr>
      </w:pPr>
      <w:bookmarkStart w:name="_Toc819464800" w:id="1455526110"/>
      <w:r w:rsidRPr="1871EEFA" w:rsidR="009B3BB0">
        <w:rPr>
          <w:color w:val="1F4E79" w:themeColor="accent5" w:themeTint="FF" w:themeShade="80"/>
        </w:rPr>
        <w:t>Award Criteria</w:t>
      </w:r>
      <w:bookmarkEnd w:id="1455526110"/>
    </w:p>
    <w:p w:rsidRPr="00FD37F3" w:rsidR="00FD37F3" w:rsidP="00FD37F3" w:rsidRDefault="00FD37F3" w14:paraId="075718DB" w14:textId="6435164C">
      <w:pPr>
        <w:rPr>
          <w:rFonts w:eastAsiaTheme="majorEastAsia"/>
        </w:rPr>
      </w:pPr>
      <w:r w:rsidRPr="00FD37F3">
        <w:rPr>
          <w:rFonts w:eastAsiaTheme="majorEastAsia"/>
        </w:rPr>
        <w:t xml:space="preserve">The Tender Evaluation Stage is used to evaluate the responses submitted by Tenders against the Award Criteria in terms of Price and Quality to ascertain the ‘Most Advantageous Tender’ (MAT). </w:t>
      </w:r>
    </w:p>
    <w:p w:rsidRPr="00FD37F3" w:rsidR="00FD37F3" w:rsidP="00FD37F3" w:rsidRDefault="00FD37F3" w14:paraId="33613CE3" w14:textId="77777777">
      <w:pPr>
        <w:rPr>
          <w:rFonts w:eastAsiaTheme="majorEastAsia"/>
        </w:rPr>
      </w:pPr>
      <w:r w:rsidRPr="00FD37F3">
        <w:rPr>
          <w:rFonts w:eastAsiaTheme="majorEastAsia"/>
        </w:rPr>
        <w:t>The Award Criteria for this contract has been weighted as follows:</w:t>
      </w:r>
    </w:p>
    <w:tbl>
      <w:tblPr>
        <w:tblStyle w:val="TableGrid"/>
        <w:tblW w:w="0" w:type="auto"/>
        <w:jc w:val="center"/>
        <w:tblLook w:val="04A0" w:firstRow="1" w:lastRow="0" w:firstColumn="1" w:lastColumn="0" w:noHBand="0" w:noVBand="1"/>
      </w:tblPr>
      <w:tblGrid>
        <w:gridCol w:w="1984"/>
        <w:gridCol w:w="1814"/>
      </w:tblGrid>
      <w:tr w:rsidR="00FD37F3" w:rsidTr="00E8198B" w14:paraId="0294D460" w14:textId="77777777">
        <w:trPr>
          <w:trHeight w:val="340"/>
          <w:jc w:val="center"/>
        </w:trPr>
        <w:tc>
          <w:tcPr>
            <w:tcW w:w="1984" w:type="dxa"/>
            <w:shd w:val="clear" w:color="auto" w:fill="1F3864" w:themeFill="accent1" w:themeFillShade="80"/>
          </w:tcPr>
          <w:p w:rsidRPr="00917839" w:rsidR="00FD37F3" w:rsidP="00E8198B" w:rsidRDefault="00FD37F3" w14:paraId="34699433" w14:textId="77777777">
            <w:pPr>
              <w:rPr>
                <w:b/>
                <w:bCs/>
              </w:rPr>
            </w:pPr>
            <w:r w:rsidRPr="00917839">
              <w:rPr>
                <w:b/>
                <w:bCs/>
              </w:rPr>
              <w:t>Element</w:t>
            </w:r>
          </w:p>
        </w:tc>
        <w:tc>
          <w:tcPr>
            <w:tcW w:w="1814" w:type="dxa"/>
            <w:shd w:val="clear" w:color="auto" w:fill="1F3864" w:themeFill="accent1" w:themeFillShade="80"/>
          </w:tcPr>
          <w:p w:rsidRPr="00917839" w:rsidR="00FD37F3" w:rsidP="00E8198B" w:rsidRDefault="00FD37F3" w14:paraId="51674A28" w14:textId="77777777">
            <w:pPr>
              <w:rPr>
                <w:b/>
                <w:bCs/>
              </w:rPr>
            </w:pPr>
            <w:r w:rsidRPr="00917839">
              <w:rPr>
                <w:b/>
                <w:bCs/>
              </w:rPr>
              <w:t>Weighting</w:t>
            </w:r>
          </w:p>
        </w:tc>
      </w:tr>
      <w:tr w:rsidR="00FD37F3" w:rsidTr="00E8198B" w14:paraId="1D6CE4D2" w14:textId="77777777">
        <w:trPr>
          <w:trHeight w:val="340"/>
          <w:jc w:val="center"/>
        </w:trPr>
        <w:tc>
          <w:tcPr>
            <w:tcW w:w="1984" w:type="dxa"/>
          </w:tcPr>
          <w:p w:rsidR="00FD37F3" w:rsidP="00E8198B" w:rsidRDefault="00FD37F3" w14:paraId="22A4134F" w14:textId="77777777">
            <w:r>
              <w:t>Price</w:t>
            </w:r>
          </w:p>
        </w:tc>
        <w:tc>
          <w:tcPr>
            <w:tcW w:w="1814" w:type="dxa"/>
          </w:tcPr>
          <w:p w:rsidRPr="00412A9B" w:rsidR="00FD37F3" w:rsidP="00E8198B" w:rsidRDefault="00412A9B" w14:paraId="0B858C88" w14:textId="2E64FA46">
            <w:r w:rsidRPr="00412A9B">
              <w:t>6</w:t>
            </w:r>
            <w:r w:rsidRPr="00412A9B" w:rsidR="00FD37F3">
              <w:t>0%</w:t>
            </w:r>
          </w:p>
        </w:tc>
      </w:tr>
      <w:tr w:rsidR="00FD37F3" w:rsidTr="00E8198B" w14:paraId="14C60F5F" w14:textId="77777777">
        <w:trPr>
          <w:trHeight w:val="340"/>
          <w:jc w:val="center"/>
        </w:trPr>
        <w:tc>
          <w:tcPr>
            <w:tcW w:w="1984" w:type="dxa"/>
          </w:tcPr>
          <w:p w:rsidR="00FD37F3" w:rsidP="00E8198B" w:rsidRDefault="00FD37F3" w14:paraId="75931498" w14:textId="77777777">
            <w:r>
              <w:t>Quality</w:t>
            </w:r>
          </w:p>
        </w:tc>
        <w:tc>
          <w:tcPr>
            <w:tcW w:w="1814" w:type="dxa"/>
          </w:tcPr>
          <w:p w:rsidRPr="00412A9B" w:rsidR="00FD37F3" w:rsidP="00E8198B" w:rsidRDefault="00412A9B" w14:paraId="2689EFED" w14:textId="72E20A78">
            <w:r w:rsidRPr="00412A9B">
              <w:t>4</w:t>
            </w:r>
            <w:r w:rsidRPr="00412A9B" w:rsidR="00FD37F3">
              <w:t>0%</w:t>
            </w:r>
          </w:p>
        </w:tc>
      </w:tr>
    </w:tbl>
    <w:p w:rsidRPr="00F108F4" w:rsidR="0066157D" w:rsidP="0066157D" w:rsidRDefault="0066157D" w14:paraId="5B8FB21B" w14:textId="088FD81E">
      <w:pPr>
        <w:spacing w:line="360" w:lineRule="auto"/>
        <w:jc w:val="right"/>
        <w:rPr>
          <w:rFonts w:eastAsiaTheme="majorEastAsia"/>
          <w:sz w:val="20"/>
          <w:szCs w:val="20"/>
        </w:rPr>
      </w:pPr>
      <w:r w:rsidRPr="000025BF">
        <w:rPr>
          <w:rFonts w:eastAsiaTheme="majorEastAsia"/>
          <w:sz w:val="20"/>
          <w:szCs w:val="20"/>
        </w:rPr>
        <w:t xml:space="preserve">Table 2 </w:t>
      </w:r>
      <w:r w:rsidRPr="000025BF" w:rsidR="00F108F4">
        <w:rPr>
          <w:rFonts w:eastAsiaTheme="majorEastAsia"/>
          <w:sz w:val="20"/>
          <w:szCs w:val="20"/>
        </w:rPr>
        <w:t>–</w:t>
      </w:r>
      <w:r w:rsidRPr="000025BF">
        <w:rPr>
          <w:rFonts w:eastAsiaTheme="majorEastAsia"/>
          <w:sz w:val="20"/>
          <w:szCs w:val="20"/>
        </w:rPr>
        <w:t xml:space="preserve"> </w:t>
      </w:r>
      <w:r w:rsidRPr="000025BF" w:rsidR="00F108F4">
        <w:rPr>
          <w:rFonts w:eastAsiaTheme="majorEastAsia"/>
          <w:sz w:val="20"/>
          <w:szCs w:val="20"/>
        </w:rPr>
        <w:t>Award Criteria</w:t>
      </w:r>
    </w:p>
    <w:p w:rsidRPr="0066157D" w:rsidR="0066157D" w:rsidP="00F108F4" w:rsidRDefault="0066157D" w14:paraId="6AA69176" w14:textId="2B2C3F93">
      <w:pPr>
        <w:spacing w:line="240" w:lineRule="auto"/>
        <w:rPr>
          <w:rFonts w:eastAsiaTheme="majorEastAsia"/>
        </w:rPr>
      </w:pPr>
      <w:r w:rsidRPr="0066157D">
        <w:rPr>
          <w:rFonts w:eastAsiaTheme="majorEastAsia"/>
        </w:rPr>
        <w:t xml:space="preserve">Please note the Tenderer must be able to ‘pass’ </w:t>
      </w:r>
      <w:proofErr w:type="gramStart"/>
      <w:r w:rsidRPr="0066157D">
        <w:rPr>
          <w:rFonts w:eastAsiaTheme="majorEastAsia"/>
        </w:rPr>
        <w:t>all of</w:t>
      </w:r>
      <w:proofErr w:type="gramEnd"/>
      <w:r w:rsidRPr="0066157D">
        <w:rPr>
          <w:rFonts w:eastAsiaTheme="majorEastAsia"/>
        </w:rPr>
        <w:t xml:space="preserve"> the Pass/Fail questions shown in the table below </w:t>
      </w:r>
      <w:proofErr w:type="gramStart"/>
      <w:r w:rsidRPr="0066157D">
        <w:rPr>
          <w:rFonts w:eastAsiaTheme="majorEastAsia"/>
        </w:rPr>
        <w:t>in order for</w:t>
      </w:r>
      <w:proofErr w:type="gramEnd"/>
      <w:r w:rsidRPr="0066157D">
        <w:rPr>
          <w:rFonts w:eastAsiaTheme="majorEastAsia"/>
        </w:rPr>
        <w:t xml:space="preserve"> their bid to be valid.</w:t>
      </w:r>
    </w:p>
    <w:p w:rsidRPr="00612CBF" w:rsidR="00360D8B" w:rsidP="00612CBF" w:rsidRDefault="00360D8B" w14:paraId="49EC7E75" w14:textId="080A3B6B" w14:noSpellErr="1">
      <w:pPr>
        <w:pStyle w:val="Heading2"/>
        <w:numPr>
          <w:ilvl w:val="1"/>
          <w:numId w:val="1"/>
        </w:numPr>
        <w:spacing w:line="360" w:lineRule="auto"/>
        <w:rPr>
          <w:color w:val="1F4E79" w:themeColor="accent5" w:themeShade="80"/>
        </w:rPr>
      </w:pPr>
      <w:bookmarkStart w:name="_Toc1901978158" w:id="1589810675"/>
      <w:r w:rsidRPr="1871EEFA" w:rsidR="00360D8B">
        <w:rPr>
          <w:color w:val="1F4E79" w:themeColor="accent5" w:themeTint="FF" w:themeShade="80"/>
        </w:rPr>
        <w:t>Foundation Questions</w:t>
      </w:r>
      <w:bookmarkEnd w:id="1589810675"/>
      <w:r w:rsidRPr="1871EEFA" w:rsidR="00360D8B">
        <w:rPr>
          <w:color w:val="1F4E79" w:themeColor="accent5" w:themeTint="FF" w:themeShade="80"/>
        </w:rPr>
        <w:t xml:space="preserve"> </w:t>
      </w:r>
    </w:p>
    <w:p w:rsidRPr="00C46E1A" w:rsidR="00C46E1A" w:rsidP="00C46E1A" w:rsidRDefault="00BF4119" w14:paraId="793C970E" w14:textId="4BDFDCE6">
      <w:pPr>
        <w:rPr>
          <w:rFonts w:eastAsiaTheme="majorEastAsia"/>
        </w:rPr>
      </w:pPr>
      <w:r w:rsidRPr="00BF4119">
        <w:rPr>
          <w:rFonts w:eastAsiaTheme="majorEastAsia"/>
        </w:rPr>
        <w:t xml:space="preserve">As part of the </w:t>
      </w:r>
      <w:r w:rsidR="00907E3B">
        <w:rPr>
          <w:rFonts w:eastAsiaTheme="majorEastAsia"/>
        </w:rPr>
        <w:t>evaluation process</w:t>
      </w:r>
      <w:r w:rsidR="00673E1F">
        <w:rPr>
          <w:rFonts w:eastAsiaTheme="majorEastAsia"/>
        </w:rPr>
        <w:t xml:space="preserve"> a preset bank of foundation questions are required to be completed</w:t>
      </w:r>
      <w:r w:rsidR="00574899">
        <w:rPr>
          <w:rFonts w:eastAsiaTheme="majorEastAsia"/>
        </w:rPr>
        <w:t>, further to this</w:t>
      </w:r>
      <w:r w:rsidR="00C46E1A">
        <w:rPr>
          <w:rFonts w:eastAsiaTheme="majorEastAsia"/>
        </w:rPr>
        <w:t xml:space="preserve"> </w:t>
      </w:r>
      <w:r w:rsidRPr="00C46E1A" w:rsidR="00C46E1A">
        <w:rPr>
          <w:rFonts w:eastAsiaTheme="majorEastAsia"/>
        </w:rPr>
        <w:t>Tenderers are required to ‘self-declare’ that they meet the relevant Pass/Fail criteria detailed in the Tender Response Questionnaire.</w:t>
      </w:r>
    </w:p>
    <w:p w:rsidRPr="00BF4119" w:rsidR="00360D8B" w:rsidP="00C46E1A" w:rsidRDefault="00C46E1A" w14:paraId="2CE72DD7" w14:textId="3EA8B70D">
      <w:pPr>
        <w:rPr>
          <w:rFonts w:eastAsiaTheme="majorEastAsia"/>
        </w:rPr>
      </w:pPr>
      <w:r w:rsidRPr="00C46E1A">
        <w:rPr>
          <w:rFonts w:eastAsiaTheme="majorEastAsia"/>
        </w:rPr>
        <w:t>The successful Tenderer will then be asked to submit all necessary documentation to prove evidence of self-declaration. If the successful Tenderer fails to provide the required evidence within set timeframes, or the evidence proves unsatisfactory, the award of the contract will not proceed.</w:t>
      </w:r>
    </w:p>
    <w:tbl>
      <w:tblPr>
        <w:tblStyle w:val="TableGrid"/>
        <w:tblW w:w="0" w:type="auto"/>
        <w:jc w:val="center"/>
        <w:tblLayout w:type="fixed"/>
        <w:tblLook w:val="04A0" w:firstRow="1" w:lastRow="0" w:firstColumn="1" w:lastColumn="0" w:noHBand="0" w:noVBand="1"/>
      </w:tblPr>
      <w:tblGrid>
        <w:gridCol w:w="4390"/>
        <w:gridCol w:w="1417"/>
        <w:gridCol w:w="2126"/>
      </w:tblGrid>
      <w:tr w:rsidRPr="00917839" w:rsidR="00D73E49" w:rsidTr="00D73E49" w14:paraId="7D1AA50E" w14:textId="77777777">
        <w:trPr>
          <w:jc w:val="center"/>
        </w:trPr>
        <w:tc>
          <w:tcPr>
            <w:tcW w:w="4390" w:type="dxa"/>
            <w:shd w:val="clear" w:color="auto" w:fill="1F3864" w:themeFill="accent1" w:themeFillShade="80"/>
          </w:tcPr>
          <w:p w:rsidRPr="00917839" w:rsidR="00D73E49" w:rsidP="00E8198B" w:rsidRDefault="00D73E49" w14:paraId="0CC18002" w14:textId="77777777">
            <w:pPr>
              <w:rPr>
                <w:b/>
                <w:bCs/>
                <w:color w:val="FFFFFF" w:themeColor="background1"/>
              </w:rPr>
            </w:pPr>
            <w:r>
              <w:rPr>
                <w:b/>
                <w:bCs/>
                <w:color w:val="FFFFFF" w:themeColor="background1"/>
              </w:rPr>
              <w:t>Section</w:t>
            </w:r>
          </w:p>
        </w:tc>
        <w:tc>
          <w:tcPr>
            <w:tcW w:w="1417" w:type="dxa"/>
            <w:shd w:val="clear" w:color="auto" w:fill="1F3864" w:themeFill="accent1" w:themeFillShade="80"/>
          </w:tcPr>
          <w:p w:rsidRPr="00917839" w:rsidR="00D73E49" w:rsidP="00E8198B" w:rsidRDefault="00D73E49" w14:paraId="7658951B" w14:textId="77777777">
            <w:pPr>
              <w:rPr>
                <w:b/>
                <w:bCs/>
                <w:color w:val="FFFFFF" w:themeColor="background1"/>
              </w:rPr>
            </w:pPr>
            <w:r w:rsidRPr="00917839">
              <w:rPr>
                <w:b/>
                <w:bCs/>
                <w:color w:val="FFFFFF" w:themeColor="background1"/>
              </w:rPr>
              <w:t>Question</w:t>
            </w:r>
          </w:p>
        </w:tc>
        <w:tc>
          <w:tcPr>
            <w:tcW w:w="2126" w:type="dxa"/>
            <w:shd w:val="clear" w:color="auto" w:fill="1F3864" w:themeFill="accent1" w:themeFillShade="80"/>
          </w:tcPr>
          <w:p w:rsidRPr="00917839" w:rsidR="00D73E49" w:rsidP="00E8198B" w:rsidRDefault="00D73E49" w14:paraId="71810145" w14:textId="77777777">
            <w:pPr>
              <w:rPr>
                <w:b/>
                <w:bCs/>
                <w:color w:val="FFFFFF" w:themeColor="background1"/>
              </w:rPr>
            </w:pPr>
            <w:r w:rsidRPr="00917839">
              <w:rPr>
                <w:b/>
                <w:bCs/>
                <w:color w:val="FFFFFF" w:themeColor="background1"/>
              </w:rPr>
              <w:t>Weighting Allocation</w:t>
            </w:r>
          </w:p>
        </w:tc>
      </w:tr>
      <w:tr w:rsidR="00D73E49" w:rsidTr="00D73E49" w14:paraId="04CD1B84" w14:textId="77777777">
        <w:trPr>
          <w:jc w:val="center"/>
        </w:trPr>
        <w:tc>
          <w:tcPr>
            <w:tcW w:w="4390" w:type="dxa"/>
          </w:tcPr>
          <w:p w:rsidR="00D73E49" w:rsidP="00E8198B" w:rsidRDefault="00D73E49" w14:paraId="023B06FF" w14:textId="77777777">
            <w:pPr>
              <w:rPr>
                <w:b/>
              </w:rPr>
            </w:pPr>
          </w:p>
          <w:p w:rsidRPr="004D0E42" w:rsidR="00D73E49" w:rsidP="00E8198B" w:rsidRDefault="00D73E49" w14:paraId="2D881052" w14:textId="77777777">
            <w:pPr>
              <w:rPr>
                <w:b/>
              </w:rPr>
            </w:pPr>
            <w:r w:rsidRPr="004D0E42">
              <w:rPr>
                <w:b/>
              </w:rPr>
              <w:t>A - Organisation Details</w:t>
            </w:r>
          </w:p>
          <w:p w:rsidRPr="004D0E42" w:rsidR="00D73E49" w:rsidP="00E8198B" w:rsidRDefault="00D73E49" w14:paraId="57E6EFA8" w14:textId="77777777">
            <w:pPr>
              <w:rPr>
                <w:b/>
              </w:rPr>
            </w:pPr>
          </w:p>
        </w:tc>
        <w:tc>
          <w:tcPr>
            <w:tcW w:w="1417" w:type="dxa"/>
            <w:vAlign w:val="center"/>
          </w:tcPr>
          <w:p w:rsidRPr="004D0E42" w:rsidR="00D73E49" w:rsidP="00AE6D79" w:rsidRDefault="00D73E49" w14:paraId="75053F5F" w14:textId="77777777">
            <w:pPr>
              <w:pStyle w:val="NoSpacing"/>
              <w:jc w:val="center"/>
            </w:pPr>
            <w:r w:rsidRPr="004D0E42">
              <w:t>A</w:t>
            </w:r>
            <w:r>
              <w:t xml:space="preserve">ll </w:t>
            </w:r>
            <w:r w:rsidRPr="004D0E42">
              <w:t>questions</w:t>
            </w:r>
          </w:p>
        </w:tc>
        <w:tc>
          <w:tcPr>
            <w:tcW w:w="2126" w:type="dxa"/>
            <w:vAlign w:val="center"/>
          </w:tcPr>
          <w:p w:rsidR="00D73E49" w:rsidP="00AE6D79" w:rsidRDefault="00D73E49" w14:paraId="79DBEAD6" w14:textId="77777777">
            <w:pPr>
              <w:jc w:val="center"/>
            </w:pPr>
            <w:r>
              <w:t>Information only</w:t>
            </w:r>
          </w:p>
        </w:tc>
      </w:tr>
      <w:tr w:rsidR="00D73E49" w:rsidTr="00D73E49" w14:paraId="0CDA804E" w14:textId="77777777">
        <w:trPr>
          <w:jc w:val="center"/>
        </w:trPr>
        <w:tc>
          <w:tcPr>
            <w:tcW w:w="4390" w:type="dxa"/>
          </w:tcPr>
          <w:p w:rsidR="00D73E49" w:rsidP="00E8198B" w:rsidRDefault="00D73E49" w14:paraId="4BA54F86" w14:textId="77777777">
            <w:pPr>
              <w:rPr>
                <w:b/>
              </w:rPr>
            </w:pPr>
          </w:p>
          <w:p w:rsidRPr="004D0E42" w:rsidR="00D73E49" w:rsidP="00E8198B" w:rsidRDefault="00D73E49" w14:paraId="1FE8A6D7" w14:textId="77777777">
            <w:pPr>
              <w:rPr>
                <w:b/>
              </w:rPr>
            </w:pPr>
            <w:r w:rsidRPr="004D0E42">
              <w:rPr>
                <w:b/>
              </w:rPr>
              <w:t>B – Financial Information</w:t>
            </w:r>
          </w:p>
          <w:p w:rsidRPr="004D0E42" w:rsidR="00D73E49" w:rsidP="00E8198B" w:rsidRDefault="00D73E49" w14:paraId="3B5553CF" w14:textId="77777777">
            <w:pPr>
              <w:rPr>
                <w:b/>
              </w:rPr>
            </w:pPr>
          </w:p>
        </w:tc>
        <w:tc>
          <w:tcPr>
            <w:tcW w:w="1417" w:type="dxa"/>
          </w:tcPr>
          <w:p w:rsidR="00D73E49" w:rsidP="00E8198B" w:rsidRDefault="00D73E49" w14:paraId="537CED89" w14:textId="77777777">
            <w:pPr>
              <w:pStyle w:val="NoSpacing"/>
              <w:jc w:val="center"/>
            </w:pPr>
            <w:r>
              <w:t>B – 1.</w:t>
            </w:r>
          </w:p>
          <w:p w:rsidR="00D73E49" w:rsidP="00E8198B" w:rsidRDefault="00D73E49" w14:paraId="7AB18997" w14:textId="77777777">
            <w:pPr>
              <w:pStyle w:val="NoSpacing"/>
              <w:jc w:val="center"/>
            </w:pPr>
            <w:r>
              <w:t>B – 2.</w:t>
            </w:r>
          </w:p>
          <w:p w:rsidR="00D73E49" w:rsidP="00E8198B" w:rsidRDefault="00D73E49" w14:paraId="07F86A7B" w14:textId="77777777">
            <w:pPr>
              <w:pStyle w:val="NoSpacing"/>
              <w:jc w:val="center"/>
            </w:pPr>
            <w:r>
              <w:t>B – 3.</w:t>
            </w:r>
          </w:p>
          <w:p w:rsidR="00D73E49" w:rsidP="00E8198B" w:rsidRDefault="00D73E49" w14:paraId="6019B7A4" w14:textId="77777777">
            <w:pPr>
              <w:pStyle w:val="NoSpacing"/>
              <w:jc w:val="center"/>
            </w:pPr>
            <w:r>
              <w:t>B – 4.</w:t>
            </w:r>
          </w:p>
        </w:tc>
        <w:tc>
          <w:tcPr>
            <w:tcW w:w="2126" w:type="dxa"/>
          </w:tcPr>
          <w:p w:rsidR="00D73E49" w:rsidP="00E8198B" w:rsidRDefault="00D73E49" w14:paraId="2E60FEA3" w14:textId="77777777">
            <w:pPr>
              <w:jc w:val="center"/>
            </w:pPr>
            <w:r>
              <w:t>Pass/Fail</w:t>
            </w:r>
          </w:p>
          <w:p w:rsidR="00D73E49" w:rsidP="00E8198B" w:rsidRDefault="00D73E49" w14:paraId="5A158868" w14:textId="77777777">
            <w:pPr>
              <w:jc w:val="center"/>
            </w:pPr>
            <w:r>
              <w:t>Pass/Fail</w:t>
            </w:r>
          </w:p>
          <w:p w:rsidR="00D73E49" w:rsidP="00E8198B" w:rsidRDefault="00D73E49" w14:paraId="071EEBC8" w14:textId="77777777">
            <w:pPr>
              <w:jc w:val="center"/>
            </w:pPr>
            <w:r>
              <w:t>Pass/Fail</w:t>
            </w:r>
          </w:p>
          <w:p w:rsidR="00D73E49" w:rsidP="00E8198B" w:rsidRDefault="00D73E49" w14:paraId="4847FDA5" w14:textId="77777777">
            <w:pPr>
              <w:jc w:val="center"/>
            </w:pPr>
            <w:r>
              <w:t>Pass/Fail</w:t>
            </w:r>
          </w:p>
        </w:tc>
      </w:tr>
      <w:tr w:rsidR="00D73E49" w:rsidTr="00D73E49" w14:paraId="303D1075" w14:textId="77777777">
        <w:trPr>
          <w:jc w:val="center"/>
        </w:trPr>
        <w:tc>
          <w:tcPr>
            <w:tcW w:w="4390" w:type="dxa"/>
          </w:tcPr>
          <w:p w:rsidR="00D73E49" w:rsidP="00E8198B" w:rsidRDefault="00D73E49" w14:paraId="3578F040" w14:textId="77777777">
            <w:pPr>
              <w:rPr>
                <w:rFonts w:cstheme="minorHAnsi"/>
                <w:b/>
              </w:rPr>
            </w:pPr>
          </w:p>
          <w:p w:rsidRPr="004D0E42" w:rsidR="00D73E49" w:rsidP="00E8198B" w:rsidRDefault="00D73E49" w14:paraId="7BA59EC3" w14:textId="77777777">
            <w:pPr>
              <w:rPr>
                <w:rFonts w:cstheme="minorHAnsi"/>
                <w:b/>
              </w:rPr>
            </w:pPr>
            <w:r w:rsidRPr="004D0E42">
              <w:rPr>
                <w:rFonts w:cstheme="minorHAnsi"/>
                <w:b/>
              </w:rPr>
              <w:t>C- Quality Systems, Accreditations and Policies</w:t>
            </w:r>
          </w:p>
        </w:tc>
        <w:tc>
          <w:tcPr>
            <w:tcW w:w="1417" w:type="dxa"/>
          </w:tcPr>
          <w:p w:rsidR="00D73E49" w:rsidP="00E8198B" w:rsidRDefault="00D73E49" w14:paraId="1BC8A50A" w14:textId="77777777">
            <w:pPr>
              <w:pStyle w:val="NoSpacing"/>
              <w:jc w:val="center"/>
            </w:pPr>
            <w:r>
              <w:t>C – 1.</w:t>
            </w:r>
          </w:p>
          <w:p w:rsidRPr="000025BF" w:rsidR="00D73E49" w:rsidP="00E8198B" w:rsidRDefault="00D73E49" w14:paraId="7B703065" w14:textId="77777777">
            <w:pPr>
              <w:pStyle w:val="NoSpacing"/>
              <w:jc w:val="center"/>
            </w:pPr>
            <w:r w:rsidRPr="000025BF">
              <w:t>C – 2.</w:t>
            </w:r>
          </w:p>
          <w:p w:rsidRPr="000025BF" w:rsidR="00D73E49" w:rsidP="00E8198B" w:rsidRDefault="00D73E49" w14:paraId="19FD82A3" w14:textId="77777777">
            <w:pPr>
              <w:pStyle w:val="NoSpacing"/>
              <w:jc w:val="center"/>
            </w:pPr>
            <w:r w:rsidRPr="000025BF">
              <w:t>C – 3.</w:t>
            </w:r>
          </w:p>
          <w:p w:rsidR="00D73E49" w:rsidP="00E8198B" w:rsidRDefault="00D73E49" w14:paraId="2D896914" w14:textId="77777777">
            <w:pPr>
              <w:pStyle w:val="NoSpacing"/>
              <w:jc w:val="center"/>
            </w:pPr>
            <w:r>
              <w:t>C – 4.</w:t>
            </w:r>
          </w:p>
        </w:tc>
        <w:tc>
          <w:tcPr>
            <w:tcW w:w="2126" w:type="dxa"/>
          </w:tcPr>
          <w:p w:rsidR="00D73E49" w:rsidP="00E8198B" w:rsidRDefault="00D73E49" w14:paraId="461F14E8" w14:textId="77777777">
            <w:pPr>
              <w:jc w:val="center"/>
            </w:pPr>
            <w:r>
              <w:t>Pass/Fail</w:t>
            </w:r>
          </w:p>
          <w:p w:rsidRPr="000025BF" w:rsidR="00D73E49" w:rsidP="00E8198B" w:rsidRDefault="00D73E49" w14:paraId="3171D130" w14:textId="77777777">
            <w:pPr>
              <w:jc w:val="center"/>
            </w:pPr>
            <w:r w:rsidRPr="000025BF">
              <w:t>Pass/Fail</w:t>
            </w:r>
          </w:p>
          <w:p w:rsidR="00D73E49" w:rsidP="00E8198B" w:rsidRDefault="00D73E49" w14:paraId="32277EED" w14:textId="0D15BBD1">
            <w:pPr>
              <w:jc w:val="center"/>
            </w:pPr>
            <w:r w:rsidRPr="000025BF">
              <w:t>Information only</w:t>
            </w:r>
            <w:r>
              <w:t xml:space="preserve"> Pass/Fail</w:t>
            </w:r>
          </w:p>
        </w:tc>
      </w:tr>
      <w:tr w:rsidR="00D73E49" w:rsidTr="00D73E49" w14:paraId="689E4279" w14:textId="77777777">
        <w:trPr>
          <w:jc w:val="center"/>
        </w:trPr>
        <w:tc>
          <w:tcPr>
            <w:tcW w:w="4390" w:type="dxa"/>
          </w:tcPr>
          <w:p w:rsidR="00D73E49" w:rsidP="00E8198B" w:rsidRDefault="00D73E49" w14:paraId="31AD217C" w14:textId="77777777">
            <w:pPr>
              <w:rPr>
                <w:rFonts w:cstheme="minorHAnsi"/>
                <w:b/>
                <w:bCs/>
              </w:rPr>
            </w:pPr>
          </w:p>
          <w:p w:rsidRPr="001A4891" w:rsidR="00D73E49" w:rsidP="00E8198B" w:rsidRDefault="00D73E49" w14:paraId="59EA68BD" w14:textId="77777777">
            <w:pPr>
              <w:rPr>
                <w:rFonts w:cstheme="minorHAnsi"/>
                <w:b/>
                <w:bCs/>
              </w:rPr>
            </w:pPr>
            <w:r w:rsidRPr="001A4891">
              <w:rPr>
                <w:rFonts w:cstheme="minorHAnsi"/>
                <w:b/>
                <w:bCs/>
              </w:rPr>
              <w:t>D - Health and Safety</w:t>
            </w:r>
          </w:p>
          <w:p w:rsidRPr="001A4891" w:rsidR="00D73E49" w:rsidP="00E8198B" w:rsidRDefault="00D73E49" w14:paraId="10C0FA92" w14:textId="77777777">
            <w:pPr>
              <w:rPr>
                <w:rFonts w:cstheme="minorHAnsi"/>
                <w:b/>
                <w:bCs/>
              </w:rPr>
            </w:pPr>
          </w:p>
        </w:tc>
        <w:tc>
          <w:tcPr>
            <w:tcW w:w="1417" w:type="dxa"/>
          </w:tcPr>
          <w:p w:rsidR="00D73E49" w:rsidP="00E8198B" w:rsidRDefault="00D73E49" w14:paraId="565979B2" w14:textId="77777777">
            <w:pPr>
              <w:pStyle w:val="NoSpacing"/>
              <w:jc w:val="center"/>
            </w:pPr>
            <w:r>
              <w:t>D – 1.</w:t>
            </w:r>
          </w:p>
          <w:p w:rsidR="00D73E49" w:rsidP="00E8198B" w:rsidRDefault="00D73E49" w14:paraId="419E8685" w14:textId="77777777">
            <w:pPr>
              <w:pStyle w:val="NoSpacing"/>
              <w:jc w:val="center"/>
            </w:pPr>
            <w:r>
              <w:t>D – 2.</w:t>
            </w:r>
          </w:p>
          <w:p w:rsidR="00D73E49" w:rsidP="00E8198B" w:rsidRDefault="00D73E49" w14:paraId="799B6285" w14:textId="77777777">
            <w:pPr>
              <w:pStyle w:val="NoSpacing"/>
              <w:jc w:val="center"/>
            </w:pPr>
            <w:r>
              <w:t>D – 3.</w:t>
            </w:r>
          </w:p>
          <w:p w:rsidRPr="00E56EEA" w:rsidR="00D73E49" w:rsidP="008A4512" w:rsidRDefault="00D73E49" w14:paraId="2AE77AEE" w14:textId="46A1325D">
            <w:pPr>
              <w:pStyle w:val="NoSpacing"/>
              <w:jc w:val="center"/>
            </w:pPr>
            <w:r>
              <w:t>D – 4.</w:t>
            </w:r>
          </w:p>
        </w:tc>
        <w:tc>
          <w:tcPr>
            <w:tcW w:w="2126" w:type="dxa"/>
          </w:tcPr>
          <w:p w:rsidR="00D73E49" w:rsidP="00E8198B" w:rsidRDefault="00D73E49" w14:paraId="1159846C" w14:textId="77777777">
            <w:pPr>
              <w:jc w:val="center"/>
            </w:pPr>
            <w:r>
              <w:t>Pass/Fail</w:t>
            </w:r>
          </w:p>
          <w:p w:rsidR="00D73E49" w:rsidP="00E8198B" w:rsidRDefault="00D73E49" w14:paraId="3239EBB1" w14:textId="77777777">
            <w:pPr>
              <w:jc w:val="center"/>
            </w:pPr>
            <w:r>
              <w:t>Pass/Fail</w:t>
            </w:r>
          </w:p>
          <w:p w:rsidR="00D73E49" w:rsidP="00E8198B" w:rsidRDefault="00D73E49" w14:paraId="7313B193" w14:textId="77777777">
            <w:pPr>
              <w:jc w:val="center"/>
            </w:pPr>
            <w:r>
              <w:t>Pass/Fail</w:t>
            </w:r>
          </w:p>
          <w:p w:rsidR="00D73E49" w:rsidP="00087491" w:rsidRDefault="00D73E49" w14:paraId="1C865602" w14:textId="3B94AAF6">
            <w:pPr>
              <w:jc w:val="center"/>
            </w:pPr>
            <w:r>
              <w:t>Pass/Fail</w:t>
            </w:r>
          </w:p>
        </w:tc>
      </w:tr>
      <w:tr w:rsidR="00D73E49" w:rsidTr="00D73E49" w14:paraId="05155780" w14:textId="77777777">
        <w:trPr>
          <w:jc w:val="center"/>
        </w:trPr>
        <w:tc>
          <w:tcPr>
            <w:tcW w:w="4390" w:type="dxa"/>
          </w:tcPr>
          <w:p w:rsidRPr="001A4891" w:rsidR="00D73E49" w:rsidP="00E8198B" w:rsidRDefault="00D73E49" w14:paraId="1A68FB32" w14:textId="77777777">
            <w:pPr>
              <w:rPr>
                <w:rFonts w:cstheme="minorHAnsi"/>
                <w:b/>
              </w:rPr>
            </w:pPr>
            <w:r w:rsidRPr="001A4891">
              <w:rPr>
                <w:rFonts w:cstheme="minorHAnsi"/>
                <w:b/>
              </w:rPr>
              <w:t>E - Sustainability and Environment</w:t>
            </w:r>
          </w:p>
        </w:tc>
        <w:tc>
          <w:tcPr>
            <w:tcW w:w="1417" w:type="dxa"/>
          </w:tcPr>
          <w:p w:rsidR="00D73E49" w:rsidP="00E8198B" w:rsidRDefault="00D73E49" w14:paraId="48795B78" w14:textId="77777777">
            <w:pPr>
              <w:pStyle w:val="NoSpacing"/>
              <w:jc w:val="center"/>
            </w:pPr>
            <w:r>
              <w:t>E – 1.</w:t>
            </w:r>
          </w:p>
          <w:p w:rsidR="00D73E49" w:rsidP="00E8198B" w:rsidRDefault="00D73E49" w14:paraId="72B6EE2C" w14:textId="77777777">
            <w:pPr>
              <w:pStyle w:val="NoSpacing"/>
              <w:jc w:val="center"/>
            </w:pPr>
            <w:r>
              <w:t>E – 2.</w:t>
            </w:r>
          </w:p>
        </w:tc>
        <w:tc>
          <w:tcPr>
            <w:tcW w:w="2126" w:type="dxa"/>
          </w:tcPr>
          <w:p w:rsidR="00D73E49" w:rsidP="00E8198B" w:rsidRDefault="00D73E49" w14:paraId="1E742434" w14:textId="77777777">
            <w:pPr>
              <w:jc w:val="center"/>
            </w:pPr>
            <w:r>
              <w:t>Pass/Fail</w:t>
            </w:r>
          </w:p>
          <w:p w:rsidR="00D73E49" w:rsidP="00E8198B" w:rsidRDefault="00D73E49" w14:paraId="689DB428" w14:textId="77777777">
            <w:pPr>
              <w:jc w:val="center"/>
            </w:pPr>
            <w:r>
              <w:t>Pass/Fail</w:t>
            </w:r>
          </w:p>
        </w:tc>
      </w:tr>
      <w:tr w:rsidR="00D73E49" w:rsidTr="00D73E49" w14:paraId="2EB7ED88" w14:textId="77777777">
        <w:trPr>
          <w:jc w:val="center"/>
        </w:trPr>
        <w:tc>
          <w:tcPr>
            <w:tcW w:w="4390" w:type="dxa"/>
          </w:tcPr>
          <w:p w:rsidR="00D73E49" w:rsidP="00E8198B" w:rsidRDefault="00D73E49" w14:paraId="1ECA6B5F" w14:textId="77777777">
            <w:pPr>
              <w:rPr>
                <w:rFonts w:cstheme="minorHAnsi"/>
                <w:b/>
              </w:rPr>
            </w:pPr>
          </w:p>
          <w:p w:rsidRPr="001A4891" w:rsidR="00D73E49" w:rsidP="00E8198B" w:rsidRDefault="00D73E49" w14:paraId="5685D2E2" w14:textId="77777777">
            <w:pPr>
              <w:rPr>
                <w:rFonts w:cstheme="minorHAnsi"/>
                <w:b/>
              </w:rPr>
            </w:pPr>
            <w:r w:rsidRPr="001A4891">
              <w:rPr>
                <w:rFonts w:cstheme="minorHAnsi"/>
                <w:b/>
              </w:rPr>
              <w:t>F - Equal Opportunities and Modern Slavery</w:t>
            </w:r>
          </w:p>
          <w:p w:rsidRPr="001A4891" w:rsidR="00D73E49" w:rsidP="00E8198B" w:rsidRDefault="00D73E49" w14:paraId="66F80ADB" w14:textId="77777777">
            <w:pPr>
              <w:rPr>
                <w:rFonts w:cstheme="minorHAnsi"/>
                <w:b/>
              </w:rPr>
            </w:pPr>
          </w:p>
        </w:tc>
        <w:tc>
          <w:tcPr>
            <w:tcW w:w="1417" w:type="dxa"/>
          </w:tcPr>
          <w:p w:rsidR="00D73E49" w:rsidP="00E8198B" w:rsidRDefault="00D73E49" w14:paraId="54C55CD5" w14:textId="77777777">
            <w:pPr>
              <w:pStyle w:val="NoSpacing"/>
              <w:jc w:val="center"/>
            </w:pPr>
            <w:r>
              <w:lastRenderedPageBreak/>
              <w:t>F – 1.</w:t>
            </w:r>
          </w:p>
          <w:p w:rsidR="00D73E49" w:rsidP="00E8198B" w:rsidRDefault="00D73E49" w14:paraId="32873916" w14:textId="77777777">
            <w:pPr>
              <w:pStyle w:val="NoSpacing"/>
              <w:jc w:val="center"/>
            </w:pPr>
            <w:r>
              <w:t>F – 2.</w:t>
            </w:r>
          </w:p>
          <w:p w:rsidR="00D73E49" w:rsidP="00E8198B" w:rsidRDefault="00D73E49" w14:paraId="08A5D571" w14:textId="77777777">
            <w:pPr>
              <w:pStyle w:val="NoSpacing"/>
              <w:jc w:val="center"/>
            </w:pPr>
            <w:r>
              <w:lastRenderedPageBreak/>
              <w:t>F – 3.</w:t>
            </w:r>
          </w:p>
          <w:p w:rsidR="00D73E49" w:rsidP="00E8198B" w:rsidRDefault="00D73E49" w14:paraId="5CF9F85C" w14:textId="77777777">
            <w:pPr>
              <w:pStyle w:val="NoSpacing"/>
              <w:jc w:val="center"/>
            </w:pPr>
            <w:r>
              <w:t>F – 4.</w:t>
            </w:r>
          </w:p>
          <w:p w:rsidRPr="00E56EEA" w:rsidR="00D73E49" w:rsidP="00E8198B" w:rsidRDefault="00D73E49" w14:paraId="7CB9D6FB" w14:textId="77777777">
            <w:pPr>
              <w:pStyle w:val="NoSpacing"/>
              <w:jc w:val="center"/>
            </w:pPr>
            <w:r>
              <w:t>F – 5.</w:t>
            </w:r>
          </w:p>
        </w:tc>
        <w:tc>
          <w:tcPr>
            <w:tcW w:w="2126" w:type="dxa"/>
          </w:tcPr>
          <w:p w:rsidR="00D73E49" w:rsidP="00E8198B" w:rsidRDefault="00D73E49" w14:paraId="3BFEC436" w14:textId="77777777">
            <w:pPr>
              <w:jc w:val="center"/>
            </w:pPr>
            <w:r>
              <w:lastRenderedPageBreak/>
              <w:t>Pass/Fail</w:t>
            </w:r>
          </w:p>
          <w:p w:rsidR="00D73E49" w:rsidP="00E8198B" w:rsidRDefault="00D73E49" w14:paraId="37BA1379" w14:textId="77777777">
            <w:pPr>
              <w:jc w:val="center"/>
            </w:pPr>
            <w:r>
              <w:t>Pass/Fail</w:t>
            </w:r>
          </w:p>
          <w:p w:rsidR="00D73E49" w:rsidP="00E8198B" w:rsidRDefault="00D73E49" w14:paraId="5DEB10FA" w14:textId="66D39A0D">
            <w:pPr>
              <w:jc w:val="center"/>
            </w:pPr>
            <w:r>
              <w:lastRenderedPageBreak/>
              <w:t>Information only Pass/Fail</w:t>
            </w:r>
          </w:p>
          <w:p w:rsidR="00D73E49" w:rsidP="00E8198B" w:rsidRDefault="00D73E49" w14:paraId="1DF72E4C" w14:textId="77777777">
            <w:pPr>
              <w:jc w:val="center"/>
            </w:pPr>
            <w:r>
              <w:t>Pass/Fail</w:t>
            </w:r>
          </w:p>
        </w:tc>
      </w:tr>
    </w:tbl>
    <w:p w:rsidRPr="00AE1207" w:rsidR="00AE6D79" w:rsidP="00494C31" w:rsidRDefault="00494C31" w14:paraId="39D07266" w14:textId="23A2B6E0">
      <w:pPr>
        <w:jc w:val="right"/>
        <w:rPr>
          <w:rFonts w:eastAsiaTheme="majorEastAsia"/>
          <w:sz w:val="20"/>
          <w:szCs w:val="20"/>
        </w:rPr>
      </w:pPr>
      <w:r w:rsidRPr="00AE1207">
        <w:rPr>
          <w:rFonts w:eastAsiaTheme="majorEastAsia"/>
          <w:sz w:val="20"/>
          <w:szCs w:val="20"/>
        </w:rPr>
        <w:lastRenderedPageBreak/>
        <w:t xml:space="preserve">Table </w:t>
      </w:r>
      <w:r w:rsidRPr="00AE1207" w:rsidR="00F108F4">
        <w:rPr>
          <w:rFonts w:eastAsiaTheme="majorEastAsia"/>
          <w:sz w:val="20"/>
          <w:szCs w:val="20"/>
        </w:rPr>
        <w:t>3 - Foundation Questions</w:t>
      </w:r>
    </w:p>
    <w:p w:rsidRPr="00AE1207" w:rsidR="009326EF" w:rsidP="00612CBF" w:rsidRDefault="00967402" w14:paraId="4F8A8FEF" w14:textId="13DBD757" w14:noSpellErr="1">
      <w:pPr>
        <w:pStyle w:val="Heading2"/>
        <w:numPr>
          <w:ilvl w:val="1"/>
          <w:numId w:val="1"/>
        </w:numPr>
        <w:spacing w:line="360" w:lineRule="auto"/>
        <w:rPr>
          <w:color w:val="1F4E79" w:themeColor="accent5" w:themeShade="80"/>
        </w:rPr>
      </w:pPr>
      <w:bookmarkStart w:name="_Toc1192266961" w:id="1448962719"/>
      <w:r w:rsidRPr="1871EEFA" w:rsidR="00967402">
        <w:rPr>
          <w:color w:val="1F4E79" w:themeColor="accent5" w:themeTint="FF" w:themeShade="80"/>
        </w:rPr>
        <w:t xml:space="preserve">Evaluation </w:t>
      </w:r>
      <w:r w:rsidRPr="1871EEFA" w:rsidR="00FD37F3">
        <w:rPr>
          <w:color w:val="1F4E79" w:themeColor="accent5" w:themeTint="FF" w:themeShade="80"/>
        </w:rPr>
        <w:t>Questions</w:t>
      </w:r>
      <w:bookmarkEnd w:id="1448962719"/>
    </w:p>
    <w:p w:rsidRPr="00AE1207" w:rsidR="00B53547" w:rsidP="007F366B" w:rsidRDefault="007F366B" w14:paraId="52A8D56D" w14:textId="1973A978">
      <w:pPr>
        <w:rPr>
          <w:rFonts w:eastAsiaTheme="majorEastAsia"/>
        </w:rPr>
      </w:pPr>
      <w:r w:rsidRPr="00AE1207">
        <w:rPr>
          <w:rFonts w:eastAsiaTheme="majorEastAsia"/>
        </w:rPr>
        <w:t xml:space="preserve">As part of the evaluation process Barcud Shared Services </w:t>
      </w:r>
      <w:r w:rsidRPr="00AE1207" w:rsidR="00B53547">
        <w:rPr>
          <w:rFonts w:eastAsiaTheme="majorEastAsia"/>
        </w:rPr>
        <w:t xml:space="preserve">has established a set of qualitative </w:t>
      </w:r>
      <w:r w:rsidRPr="00AE1207">
        <w:rPr>
          <w:rFonts w:eastAsiaTheme="majorEastAsia"/>
        </w:rPr>
        <w:t xml:space="preserve">questions </w:t>
      </w:r>
      <w:r w:rsidRPr="00AE1207" w:rsidR="00B53547">
        <w:rPr>
          <w:rFonts w:eastAsiaTheme="majorEastAsia"/>
        </w:rPr>
        <w:t xml:space="preserve">that are </w:t>
      </w:r>
      <w:r w:rsidRPr="00AE1207">
        <w:rPr>
          <w:rFonts w:eastAsiaTheme="majorEastAsia"/>
        </w:rPr>
        <w:t>required to be completed</w:t>
      </w:r>
      <w:r w:rsidRPr="00AE1207" w:rsidR="007D1D48">
        <w:rPr>
          <w:rFonts w:eastAsiaTheme="majorEastAsia"/>
        </w:rPr>
        <w:t xml:space="preserve"> by all Tenderers</w:t>
      </w:r>
      <w:r w:rsidRPr="00AE1207" w:rsidR="007D2922">
        <w:rPr>
          <w:rFonts w:eastAsiaTheme="majorEastAsia"/>
        </w:rPr>
        <w:t>. These questions, listed in Table 4 - Evaluation Questions</w:t>
      </w:r>
      <w:r w:rsidRPr="00AE1207" w:rsidR="007D1D48">
        <w:rPr>
          <w:rFonts w:eastAsiaTheme="majorEastAsia"/>
        </w:rPr>
        <w:t>,</w:t>
      </w:r>
      <w:r w:rsidRPr="00AE1207" w:rsidR="0007115C">
        <w:rPr>
          <w:rFonts w:eastAsiaTheme="majorEastAsia"/>
        </w:rPr>
        <w:t xml:space="preserve"> will be used by the evaluation team to evaluate Tenderers criteria to </w:t>
      </w:r>
      <w:r w:rsidRPr="00AE1207" w:rsidR="00E701A4">
        <w:rPr>
          <w:rFonts w:eastAsiaTheme="majorEastAsia"/>
        </w:rPr>
        <w:t xml:space="preserve">deliver the Most Advantageous Tender. </w:t>
      </w:r>
      <w:r w:rsidRPr="00AE1207" w:rsidR="007D1D48">
        <w:rPr>
          <w:rFonts w:eastAsiaTheme="majorEastAsia"/>
        </w:rPr>
        <w:t xml:space="preserve"> </w:t>
      </w:r>
    </w:p>
    <w:p w:rsidRPr="00AE1207" w:rsidR="00967402" w:rsidP="00A05BA2" w:rsidRDefault="00157278" w14:paraId="01140BF5" w14:textId="7D820DE6">
      <w:pPr>
        <w:rPr>
          <w:rFonts w:eastAsiaTheme="majorEastAsia"/>
        </w:rPr>
      </w:pPr>
      <w:r w:rsidRPr="00AE1207">
        <w:rPr>
          <w:rFonts w:eastAsiaTheme="majorEastAsia"/>
        </w:rPr>
        <w:t xml:space="preserve">The Quality </w:t>
      </w:r>
      <w:r w:rsidRPr="00AE1207" w:rsidR="00A23755">
        <w:rPr>
          <w:rFonts w:eastAsiaTheme="majorEastAsia"/>
        </w:rPr>
        <w:t xml:space="preserve">weighting </w:t>
      </w:r>
      <w:r w:rsidRPr="00AE1207" w:rsidR="008302C9">
        <w:rPr>
          <w:rFonts w:eastAsiaTheme="majorEastAsia"/>
        </w:rPr>
        <w:t xml:space="preserve">of each question </w:t>
      </w:r>
      <w:r w:rsidRPr="00AE1207" w:rsidR="00AB7D14">
        <w:rPr>
          <w:rFonts w:eastAsiaTheme="majorEastAsia"/>
        </w:rPr>
        <w:t xml:space="preserve">has been stated in </w:t>
      </w:r>
      <w:r w:rsidRPr="00AE1207" w:rsidR="008302C9">
        <w:rPr>
          <w:rFonts w:eastAsiaTheme="majorEastAsia"/>
        </w:rPr>
        <w:t xml:space="preserve">Table 4 - </w:t>
      </w:r>
      <w:r w:rsidRPr="00AE1207" w:rsidR="00090249">
        <w:rPr>
          <w:rFonts w:eastAsiaTheme="majorEastAsia"/>
        </w:rPr>
        <w:t xml:space="preserve">Evaluation Questions, </w:t>
      </w:r>
      <w:r w:rsidRPr="00AE1207" w:rsidR="00A23755">
        <w:rPr>
          <w:rFonts w:eastAsiaTheme="majorEastAsia"/>
        </w:rPr>
        <w:t>Quality Weighting Allocation.</w:t>
      </w:r>
    </w:p>
    <w:tbl>
      <w:tblPr>
        <w:tblStyle w:val="TableGrid"/>
        <w:tblW w:w="0" w:type="auto"/>
        <w:jc w:val="center"/>
        <w:tblLayout w:type="fixed"/>
        <w:tblLook w:val="04A0" w:firstRow="1" w:lastRow="0" w:firstColumn="1" w:lastColumn="0" w:noHBand="0" w:noVBand="1"/>
      </w:tblPr>
      <w:tblGrid>
        <w:gridCol w:w="4395"/>
        <w:gridCol w:w="1417"/>
        <w:gridCol w:w="2127"/>
      </w:tblGrid>
      <w:tr w:rsidRPr="00AE1207" w:rsidR="001E4888" w:rsidTr="0023436F" w14:paraId="60108BE2" w14:textId="77777777">
        <w:trPr>
          <w:jc w:val="center"/>
        </w:trPr>
        <w:tc>
          <w:tcPr>
            <w:tcW w:w="4395" w:type="dxa"/>
            <w:shd w:val="clear" w:color="auto" w:fill="1F3864" w:themeFill="accent1" w:themeFillShade="80"/>
          </w:tcPr>
          <w:p w:rsidRPr="00AE1207" w:rsidR="001E4888" w:rsidP="0023436F" w:rsidRDefault="001E4888" w14:paraId="1683DA5A" w14:textId="77777777">
            <w:pPr>
              <w:rPr>
                <w:b/>
                <w:bCs/>
                <w:color w:val="FFFFFF" w:themeColor="background1"/>
              </w:rPr>
            </w:pPr>
            <w:r w:rsidRPr="00AE1207">
              <w:rPr>
                <w:b/>
                <w:bCs/>
                <w:color w:val="FFFFFF" w:themeColor="background1"/>
              </w:rPr>
              <w:t>Section</w:t>
            </w:r>
          </w:p>
        </w:tc>
        <w:tc>
          <w:tcPr>
            <w:tcW w:w="1417" w:type="dxa"/>
            <w:shd w:val="clear" w:color="auto" w:fill="1F3864" w:themeFill="accent1" w:themeFillShade="80"/>
          </w:tcPr>
          <w:p w:rsidRPr="00AE1207" w:rsidR="001E4888" w:rsidP="0023436F" w:rsidRDefault="001E4888" w14:paraId="5B5C7A85" w14:textId="77777777">
            <w:pPr>
              <w:rPr>
                <w:b/>
                <w:bCs/>
                <w:color w:val="FFFFFF" w:themeColor="background1"/>
              </w:rPr>
            </w:pPr>
            <w:r w:rsidRPr="00AE1207">
              <w:rPr>
                <w:b/>
                <w:bCs/>
                <w:color w:val="FFFFFF" w:themeColor="background1"/>
              </w:rPr>
              <w:t>Question</w:t>
            </w:r>
          </w:p>
        </w:tc>
        <w:tc>
          <w:tcPr>
            <w:tcW w:w="2127" w:type="dxa"/>
            <w:shd w:val="clear" w:color="auto" w:fill="1F3864" w:themeFill="accent1" w:themeFillShade="80"/>
          </w:tcPr>
          <w:p w:rsidRPr="00AE1207" w:rsidR="001E4888" w:rsidP="0023436F" w:rsidRDefault="001E4888" w14:paraId="05D539A1" w14:textId="77777777">
            <w:pPr>
              <w:rPr>
                <w:b/>
                <w:bCs/>
                <w:color w:val="FFFFFF" w:themeColor="background1"/>
              </w:rPr>
            </w:pPr>
            <w:r w:rsidRPr="00AE1207">
              <w:rPr>
                <w:b/>
                <w:bCs/>
                <w:color w:val="FFFFFF" w:themeColor="background1"/>
              </w:rPr>
              <w:t>Total Weighting Allocation</w:t>
            </w:r>
          </w:p>
        </w:tc>
      </w:tr>
      <w:tr w:rsidRPr="00AE1207" w:rsidR="001E4888" w:rsidTr="00E67306" w14:paraId="774DBBC4" w14:textId="77777777">
        <w:trPr>
          <w:jc w:val="center"/>
        </w:trPr>
        <w:tc>
          <w:tcPr>
            <w:tcW w:w="4395" w:type="dxa"/>
            <w:vAlign w:val="center"/>
          </w:tcPr>
          <w:p w:rsidRPr="00AE1207" w:rsidR="001E4888" w:rsidP="0023436F" w:rsidRDefault="001E4888" w14:paraId="75D3585B" w14:textId="77777777">
            <w:pPr>
              <w:rPr>
                <w:rFonts w:cstheme="minorHAnsi"/>
                <w:b/>
              </w:rPr>
            </w:pPr>
            <w:r>
              <w:rPr>
                <w:rStyle w:val="normaltextrun"/>
                <w:rFonts w:ascii="Calibri" w:hAnsi="Calibri" w:cs="Calibri"/>
                <w:b/>
                <w:bCs/>
              </w:rPr>
              <w:t>G – Lot Selection  </w:t>
            </w:r>
            <w:r>
              <w:rPr>
                <w:rStyle w:val="eop"/>
                <w:rFonts w:ascii="Calibri" w:hAnsi="Calibri" w:cs="Calibri"/>
              </w:rPr>
              <w:t> </w:t>
            </w:r>
          </w:p>
        </w:tc>
        <w:tc>
          <w:tcPr>
            <w:tcW w:w="1417" w:type="dxa"/>
          </w:tcPr>
          <w:p w:rsidRPr="00E67306" w:rsidR="001E4888" w:rsidP="0023436F" w:rsidRDefault="001E4888" w14:paraId="47F1938B" w14:textId="77777777">
            <w:pPr>
              <w:pStyle w:val="paragraph"/>
              <w:spacing w:before="0" w:beforeAutospacing="0" w:after="0" w:afterAutospacing="0"/>
              <w:jc w:val="center"/>
              <w:textAlignment w:val="baseline"/>
              <w:rPr>
                <w:rFonts w:ascii="Segoe UI" w:hAnsi="Segoe UI" w:cs="Segoe UI"/>
                <w:sz w:val="18"/>
                <w:szCs w:val="18"/>
              </w:rPr>
            </w:pPr>
            <w:r w:rsidRPr="00E67306">
              <w:rPr>
                <w:rStyle w:val="normaltextrun"/>
                <w:rFonts w:ascii="Calibri" w:hAnsi="Calibri" w:cs="Calibri"/>
                <w:sz w:val="22"/>
                <w:szCs w:val="22"/>
              </w:rPr>
              <w:t>G – 1.</w:t>
            </w:r>
          </w:p>
          <w:p w:rsidRPr="00E67306" w:rsidR="001E4888" w:rsidP="0023436F" w:rsidRDefault="001E4888" w14:paraId="19B61856" w14:textId="77777777">
            <w:pPr>
              <w:pStyle w:val="NoSpacing"/>
              <w:jc w:val="center"/>
              <w:rPr>
                <w:rStyle w:val="eop"/>
                <w:rFonts w:ascii="Calibri" w:hAnsi="Calibri" w:cs="Calibri"/>
              </w:rPr>
            </w:pPr>
            <w:r w:rsidRPr="00E67306">
              <w:rPr>
                <w:rStyle w:val="normaltextrun"/>
                <w:rFonts w:ascii="Calibri" w:hAnsi="Calibri" w:cs="Calibri"/>
              </w:rPr>
              <w:t>G – 2.</w:t>
            </w:r>
          </w:p>
          <w:p w:rsidRPr="00E67306" w:rsidR="001E4888" w:rsidP="0023436F" w:rsidRDefault="001E4888" w14:paraId="79D050BD" w14:textId="77777777">
            <w:pPr>
              <w:pStyle w:val="NoSpacing"/>
              <w:jc w:val="center"/>
            </w:pPr>
            <w:r w:rsidRPr="00E67306">
              <w:rPr>
                <w:rStyle w:val="eop"/>
                <w:rFonts w:ascii="Calibri" w:hAnsi="Calibri" w:cs="Calibri"/>
              </w:rPr>
              <w:t>G – 3.</w:t>
            </w:r>
          </w:p>
        </w:tc>
        <w:tc>
          <w:tcPr>
            <w:tcW w:w="2127" w:type="dxa"/>
          </w:tcPr>
          <w:p w:rsidRPr="00E67306" w:rsidR="001E4888" w:rsidP="0023436F" w:rsidRDefault="001E4888" w14:paraId="47B65706" w14:textId="77777777">
            <w:pPr>
              <w:pStyle w:val="paragraph"/>
              <w:spacing w:before="0" w:beforeAutospacing="0" w:after="0" w:afterAutospacing="0"/>
              <w:jc w:val="center"/>
              <w:textAlignment w:val="baseline"/>
              <w:rPr>
                <w:rFonts w:ascii="Segoe UI" w:hAnsi="Segoe UI" w:cs="Segoe UI"/>
                <w:sz w:val="18"/>
                <w:szCs w:val="18"/>
              </w:rPr>
            </w:pPr>
            <w:r w:rsidRPr="00E67306">
              <w:rPr>
                <w:rStyle w:val="normaltextrun"/>
                <w:rFonts w:ascii="Calibri" w:hAnsi="Calibri" w:cs="Calibri"/>
                <w:sz w:val="22"/>
                <w:szCs w:val="22"/>
              </w:rPr>
              <w:t>Information only</w:t>
            </w:r>
            <w:r w:rsidRPr="00E67306">
              <w:rPr>
                <w:rStyle w:val="eop"/>
                <w:rFonts w:ascii="Calibri" w:hAnsi="Calibri" w:cs="Calibri"/>
                <w:sz w:val="22"/>
                <w:szCs w:val="22"/>
              </w:rPr>
              <w:t> </w:t>
            </w:r>
          </w:p>
          <w:p w:rsidRPr="00E67306" w:rsidR="001E4888" w:rsidP="0023436F" w:rsidRDefault="001E4888" w14:paraId="39355E77" w14:textId="77777777">
            <w:pPr>
              <w:jc w:val="center"/>
              <w:rPr>
                <w:rStyle w:val="eop"/>
                <w:rFonts w:ascii="Calibri" w:hAnsi="Calibri" w:cs="Calibri"/>
              </w:rPr>
            </w:pPr>
            <w:r w:rsidRPr="00E67306">
              <w:rPr>
                <w:rStyle w:val="normaltextrun"/>
                <w:rFonts w:ascii="Calibri" w:hAnsi="Calibri" w:cs="Calibri"/>
              </w:rPr>
              <w:t>Information only</w:t>
            </w:r>
            <w:r w:rsidRPr="00E67306">
              <w:rPr>
                <w:rStyle w:val="eop"/>
                <w:rFonts w:ascii="Calibri" w:hAnsi="Calibri" w:cs="Calibri"/>
              </w:rPr>
              <w:t> </w:t>
            </w:r>
          </w:p>
          <w:p w:rsidRPr="00E67306" w:rsidR="001E4888" w:rsidP="0023436F" w:rsidRDefault="001E4888" w14:paraId="4F75DA8A" w14:textId="77777777">
            <w:pPr>
              <w:jc w:val="center"/>
            </w:pPr>
            <w:r w:rsidRPr="00E67306">
              <w:rPr>
                <w:rStyle w:val="normaltextrun"/>
                <w:rFonts w:ascii="Calibri" w:hAnsi="Calibri" w:cs="Calibri"/>
              </w:rPr>
              <w:t>Information only</w:t>
            </w:r>
            <w:r w:rsidRPr="00E67306">
              <w:rPr>
                <w:rStyle w:val="eop"/>
                <w:rFonts w:ascii="Calibri" w:hAnsi="Calibri" w:cs="Calibri"/>
              </w:rPr>
              <w:t> </w:t>
            </w:r>
          </w:p>
        </w:tc>
      </w:tr>
      <w:tr w:rsidRPr="00AE1207" w:rsidR="001E4888" w:rsidTr="0023436F" w14:paraId="267DBDA2" w14:textId="77777777">
        <w:trPr>
          <w:jc w:val="center"/>
        </w:trPr>
        <w:tc>
          <w:tcPr>
            <w:tcW w:w="4395" w:type="dxa"/>
          </w:tcPr>
          <w:p w:rsidR="001E4888" w:rsidP="0023436F" w:rsidRDefault="001E4888" w14:paraId="7C29540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1E4888" w:rsidP="0023436F" w:rsidRDefault="001E4888" w14:paraId="588953E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 – Previous Experience</w:t>
            </w:r>
            <w:r>
              <w:rPr>
                <w:rStyle w:val="eop"/>
                <w:rFonts w:ascii="Calibri" w:hAnsi="Calibri" w:cs="Calibri"/>
                <w:sz w:val="22"/>
                <w:szCs w:val="22"/>
              </w:rPr>
              <w:t> </w:t>
            </w:r>
          </w:p>
          <w:p w:rsidRPr="00AE1207" w:rsidR="001E4888" w:rsidP="0023436F" w:rsidRDefault="001E4888" w14:paraId="2764AA26" w14:textId="77777777">
            <w:pPr>
              <w:rPr>
                <w:rFonts w:cstheme="minorHAnsi"/>
                <w:b/>
              </w:rPr>
            </w:pPr>
            <w:r>
              <w:rPr>
                <w:rStyle w:val="eop"/>
                <w:rFonts w:ascii="Calibri" w:hAnsi="Calibri" w:cs="Calibri"/>
              </w:rPr>
              <w:t> </w:t>
            </w:r>
          </w:p>
        </w:tc>
        <w:tc>
          <w:tcPr>
            <w:tcW w:w="1417" w:type="dxa"/>
          </w:tcPr>
          <w:p w:rsidRPr="00744641" w:rsidR="001E4888" w:rsidP="0023436F" w:rsidRDefault="001E4888" w14:paraId="5BE0367D" w14:textId="77777777">
            <w:pPr>
              <w:pStyle w:val="paragraph"/>
              <w:spacing w:before="0" w:beforeAutospacing="0" w:after="0" w:afterAutospacing="0"/>
              <w:jc w:val="center"/>
              <w:textAlignment w:val="baseline"/>
              <w:rPr>
                <w:rFonts w:ascii="Segoe UI" w:hAnsi="Segoe UI" w:cs="Segoe UI"/>
                <w:sz w:val="18"/>
                <w:szCs w:val="18"/>
              </w:rPr>
            </w:pPr>
            <w:r w:rsidRPr="00744641">
              <w:rPr>
                <w:rStyle w:val="normaltextrun"/>
                <w:rFonts w:ascii="Calibri" w:hAnsi="Calibri" w:cs="Calibri"/>
                <w:sz w:val="22"/>
                <w:szCs w:val="22"/>
              </w:rPr>
              <w:t>H – 1.</w:t>
            </w:r>
          </w:p>
          <w:p w:rsidRPr="00744641" w:rsidR="001E4888" w:rsidP="0023436F" w:rsidRDefault="001E4888" w14:paraId="43974C93" w14:textId="77777777">
            <w:pPr>
              <w:pStyle w:val="paragraph"/>
              <w:spacing w:before="0" w:beforeAutospacing="0" w:after="0" w:afterAutospacing="0"/>
              <w:jc w:val="center"/>
              <w:textAlignment w:val="baseline"/>
              <w:rPr>
                <w:rFonts w:ascii="Segoe UI" w:hAnsi="Segoe UI" w:cs="Segoe UI"/>
                <w:sz w:val="18"/>
                <w:szCs w:val="18"/>
              </w:rPr>
            </w:pPr>
            <w:r w:rsidRPr="00744641">
              <w:rPr>
                <w:rStyle w:val="normaltextrun"/>
                <w:rFonts w:ascii="Calibri" w:hAnsi="Calibri" w:cs="Calibri"/>
                <w:sz w:val="22"/>
                <w:szCs w:val="22"/>
              </w:rPr>
              <w:t>H – 2.</w:t>
            </w:r>
          </w:p>
          <w:p w:rsidRPr="00744641" w:rsidR="001E4888" w:rsidP="0023436F" w:rsidRDefault="001E4888" w14:paraId="1E618436" w14:textId="77777777">
            <w:pPr>
              <w:pStyle w:val="NoSpacing"/>
              <w:jc w:val="center"/>
            </w:pPr>
            <w:r w:rsidRPr="00744641">
              <w:rPr>
                <w:rStyle w:val="normaltextrun"/>
                <w:rFonts w:ascii="Calibri" w:hAnsi="Calibri" w:cs="Calibri"/>
              </w:rPr>
              <w:t>H – 3.</w:t>
            </w:r>
          </w:p>
        </w:tc>
        <w:tc>
          <w:tcPr>
            <w:tcW w:w="2127" w:type="dxa"/>
          </w:tcPr>
          <w:p w:rsidRPr="00744641" w:rsidR="001E4888" w:rsidP="0023436F" w:rsidRDefault="00496555" w14:paraId="1E19D92C" w14:textId="39796382">
            <w:pPr>
              <w:jc w:val="center"/>
              <w:rPr>
                <w:b/>
              </w:rPr>
            </w:pPr>
            <w:r>
              <w:rPr>
                <w:b/>
              </w:rPr>
              <w:t>5</w:t>
            </w:r>
            <w:r w:rsidRPr="00744641" w:rsidR="001E4888">
              <w:rPr>
                <w:b/>
              </w:rPr>
              <w:t>%</w:t>
            </w:r>
          </w:p>
          <w:p w:rsidRPr="00744641" w:rsidR="001E4888" w:rsidP="0023436F" w:rsidRDefault="00496555" w14:paraId="60AD2062" w14:textId="5D5C1F26">
            <w:pPr>
              <w:jc w:val="center"/>
              <w:rPr>
                <w:b/>
              </w:rPr>
            </w:pPr>
            <w:r>
              <w:rPr>
                <w:b/>
              </w:rPr>
              <w:t>5</w:t>
            </w:r>
            <w:r w:rsidRPr="00744641" w:rsidR="001E4888">
              <w:rPr>
                <w:b/>
              </w:rPr>
              <w:t>%</w:t>
            </w:r>
          </w:p>
          <w:p w:rsidRPr="00744641" w:rsidR="001E4888" w:rsidP="0023436F" w:rsidRDefault="00496555" w14:paraId="6CC040AA" w14:textId="24FD3316">
            <w:pPr>
              <w:jc w:val="center"/>
              <w:rPr>
                <w:b/>
              </w:rPr>
            </w:pPr>
            <w:r>
              <w:rPr>
                <w:b/>
              </w:rPr>
              <w:t>5</w:t>
            </w:r>
            <w:r w:rsidRPr="00744641" w:rsidR="001E4888">
              <w:rPr>
                <w:b/>
              </w:rPr>
              <w:t>%</w:t>
            </w:r>
          </w:p>
        </w:tc>
      </w:tr>
      <w:tr w:rsidRPr="00AE1207" w:rsidR="001E4888" w:rsidTr="0023436F" w14:paraId="5252443A" w14:textId="77777777">
        <w:trPr>
          <w:jc w:val="center"/>
        </w:trPr>
        <w:tc>
          <w:tcPr>
            <w:tcW w:w="4395" w:type="dxa"/>
            <w:tcBorders>
              <w:bottom w:val="single" w:color="auto" w:sz="4" w:space="0"/>
            </w:tcBorders>
          </w:tcPr>
          <w:p w:rsidRPr="00AE1207" w:rsidR="001E4888" w:rsidP="0023436F" w:rsidRDefault="001E4888" w14:paraId="40E0BDB4" w14:textId="77777777">
            <w:pPr>
              <w:rPr>
                <w:rFonts w:cstheme="minorHAnsi"/>
                <w:b/>
              </w:rPr>
            </w:pPr>
            <w:r>
              <w:rPr>
                <w:rStyle w:val="normaltextrun"/>
                <w:rFonts w:ascii="Calibri" w:hAnsi="Calibri" w:cs="Calibri"/>
                <w:b/>
                <w:bCs/>
              </w:rPr>
              <w:t>I – Contract Delivery</w:t>
            </w:r>
            <w:r>
              <w:rPr>
                <w:rStyle w:val="eop"/>
                <w:rFonts w:ascii="Calibri" w:hAnsi="Calibri" w:cs="Calibri"/>
              </w:rPr>
              <w:t> </w:t>
            </w:r>
          </w:p>
        </w:tc>
        <w:tc>
          <w:tcPr>
            <w:tcW w:w="1417" w:type="dxa"/>
          </w:tcPr>
          <w:p w:rsidRPr="00744641" w:rsidR="001E4888" w:rsidP="0023436F" w:rsidRDefault="001E4888" w14:paraId="08DA71AB" w14:textId="77777777">
            <w:pPr>
              <w:pStyle w:val="paragraph"/>
              <w:spacing w:before="0" w:beforeAutospacing="0" w:after="0" w:afterAutospacing="0"/>
              <w:jc w:val="center"/>
              <w:textAlignment w:val="baseline"/>
              <w:rPr>
                <w:rFonts w:ascii="Segoe UI" w:hAnsi="Segoe UI" w:cs="Segoe UI"/>
                <w:sz w:val="18"/>
                <w:szCs w:val="18"/>
              </w:rPr>
            </w:pPr>
            <w:r w:rsidRPr="00744641">
              <w:rPr>
                <w:rStyle w:val="normaltextrun"/>
                <w:rFonts w:ascii="Calibri" w:hAnsi="Calibri" w:cs="Calibri"/>
                <w:sz w:val="22"/>
                <w:szCs w:val="22"/>
              </w:rPr>
              <w:t>I – 1.</w:t>
            </w:r>
          </w:p>
          <w:p w:rsidRPr="00744641" w:rsidR="001E4888" w:rsidP="0023436F" w:rsidRDefault="001E4888" w14:paraId="3F476757" w14:textId="77777777">
            <w:pPr>
              <w:pStyle w:val="NoSpacing"/>
              <w:jc w:val="center"/>
              <w:rPr>
                <w:rStyle w:val="eop"/>
                <w:rFonts w:ascii="Calibri" w:hAnsi="Calibri" w:cs="Calibri"/>
              </w:rPr>
            </w:pPr>
            <w:r w:rsidRPr="00744641">
              <w:rPr>
                <w:rStyle w:val="normaltextrun"/>
                <w:rFonts w:ascii="Calibri" w:hAnsi="Calibri" w:cs="Calibri"/>
              </w:rPr>
              <w:t>I – 2.</w:t>
            </w:r>
          </w:p>
          <w:p w:rsidRPr="00744641" w:rsidR="001E4888" w:rsidP="0023436F" w:rsidRDefault="001E4888" w14:paraId="3154539E" w14:textId="77777777">
            <w:pPr>
              <w:pStyle w:val="NoSpacing"/>
              <w:jc w:val="center"/>
            </w:pPr>
            <w:r w:rsidRPr="00744641">
              <w:rPr>
                <w:rStyle w:val="eop"/>
                <w:rFonts w:ascii="Calibri" w:hAnsi="Calibri" w:cs="Calibri"/>
              </w:rPr>
              <w:t>I – 3.</w:t>
            </w:r>
          </w:p>
        </w:tc>
        <w:tc>
          <w:tcPr>
            <w:tcW w:w="2127" w:type="dxa"/>
            <w:vAlign w:val="center"/>
          </w:tcPr>
          <w:p w:rsidRPr="00744641" w:rsidR="001E4888" w:rsidP="0023436F" w:rsidRDefault="00960549" w14:paraId="0B18942A" w14:textId="58B7BDE7">
            <w:pPr>
              <w:jc w:val="center"/>
              <w:rPr>
                <w:b/>
              </w:rPr>
            </w:pPr>
            <w:r>
              <w:rPr>
                <w:b/>
              </w:rPr>
              <w:t>5</w:t>
            </w:r>
            <w:r w:rsidRPr="00744641" w:rsidR="001E4888">
              <w:rPr>
                <w:b/>
              </w:rPr>
              <w:t>%</w:t>
            </w:r>
          </w:p>
          <w:p w:rsidRPr="00744641" w:rsidR="001E4888" w:rsidP="0023436F" w:rsidRDefault="00960549" w14:paraId="48F8D8D6" w14:textId="74F89A6A">
            <w:pPr>
              <w:jc w:val="center"/>
              <w:rPr>
                <w:b/>
              </w:rPr>
            </w:pPr>
            <w:r>
              <w:rPr>
                <w:b/>
              </w:rPr>
              <w:t>5</w:t>
            </w:r>
            <w:r w:rsidRPr="00744641" w:rsidR="001E4888">
              <w:rPr>
                <w:b/>
              </w:rPr>
              <w:t>%</w:t>
            </w:r>
          </w:p>
          <w:p w:rsidRPr="00744641" w:rsidR="001E4888" w:rsidP="0023436F" w:rsidRDefault="00960549" w14:paraId="0DA371D2" w14:textId="00D0CD03">
            <w:pPr>
              <w:jc w:val="center"/>
              <w:rPr>
                <w:b/>
              </w:rPr>
            </w:pPr>
            <w:r>
              <w:rPr>
                <w:b/>
              </w:rPr>
              <w:t>5</w:t>
            </w:r>
            <w:r w:rsidRPr="00744641" w:rsidR="001E4888">
              <w:rPr>
                <w:b/>
              </w:rPr>
              <w:t>%</w:t>
            </w:r>
          </w:p>
        </w:tc>
      </w:tr>
      <w:tr w:rsidRPr="00AE1207" w:rsidR="001E4888" w:rsidTr="0023436F" w14:paraId="4134AB05" w14:textId="77777777">
        <w:trPr>
          <w:jc w:val="center"/>
        </w:trPr>
        <w:tc>
          <w:tcPr>
            <w:tcW w:w="4395" w:type="dxa"/>
            <w:tcBorders>
              <w:bottom w:val="single" w:color="auto" w:sz="4" w:space="0"/>
            </w:tcBorders>
          </w:tcPr>
          <w:p w:rsidR="001E4888" w:rsidP="0023436F" w:rsidRDefault="001E4888" w14:paraId="39105517" w14:textId="77777777">
            <w:pPr>
              <w:rPr>
                <w:rStyle w:val="normaltextrun"/>
                <w:rFonts w:ascii="Calibri" w:hAnsi="Calibri" w:cs="Calibri"/>
                <w:b/>
                <w:bCs/>
              </w:rPr>
            </w:pPr>
            <w:r>
              <w:rPr>
                <w:rStyle w:val="normaltextrun"/>
                <w:rFonts w:ascii="Calibri" w:hAnsi="Calibri" w:cs="Calibri"/>
                <w:b/>
                <w:bCs/>
              </w:rPr>
              <w:t xml:space="preserve">J – Skills and Qualifications </w:t>
            </w:r>
          </w:p>
        </w:tc>
        <w:tc>
          <w:tcPr>
            <w:tcW w:w="1417" w:type="dxa"/>
          </w:tcPr>
          <w:p w:rsidRPr="00744641" w:rsidR="001E4888" w:rsidP="005B3697" w:rsidRDefault="001E4888" w14:paraId="20496674" w14:textId="54C7810B">
            <w:pPr>
              <w:pStyle w:val="paragraph"/>
              <w:spacing w:before="0" w:beforeAutospacing="0" w:after="0" w:afterAutospacing="0"/>
              <w:jc w:val="center"/>
              <w:textAlignment w:val="baseline"/>
              <w:rPr>
                <w:rStyle w:val="normaltextrun"/>
                <w:rFonts w:ascii="Calibri" w:hAnsi="Calibri" w:cs="Calibri"/>
                <w:sz w:val="22"/>
                <w:szCs w:val="22"/>
              </w:rPr>
            </w:pPr>
            <w:r w:rsidRPr="00744641">
              <w:rPr>
                <w:rStyle w:val="normaltextrun"/>
                <w:rFonts w:ascii="Calibri" w:hAnsi="Calibri" w:cs="Calibri"/>
                <w:sz w:val="22"/>
                <w:szCs w:val="22"/>
              </w:rPr>
              <w:t>J – 1.</w:t>
            </w:r>
          </w:p>
        </w:tc>
        <w:tc>
          <w:tcPr>
            <w:tcW w:w="2127" w:type="dxa"/>
            <w:vAlign w:val="center"/>
          </w:tcPr>
          <w:p w:rsidRPr="00744641" w:rsidR="001E4888" w:rsidP="005B3697" w:rsidRDefault="00960549" w14:paraId="13806F25" w14:textId="59D339F5">
            <w:pPr>
              <w:pStyle w:val="paragraph"/>
              <w:spacing w:before="0" w:beforeAutospacing="0" w:after="0" w:afterAutospacing="0"/>
              <w:jc w:val="center"/>
              <w:textAlignment w:val="baseline"/>
              <w:rPr>
                <w:rStyle w:val="normaltextrun"/>
                <w:rFonts w:ascii="Calibri" w:hAnsi="Calibri" w:cs="Calibri"/>
                <w:b/>
                <w:sz w:val="22"/>
                <w:szCs w:val="22"/>
              </w:rPr>
            </w:pPr>
            <w:r>
              <w:rPr>
                <w:rStyle w:val="normaltextrun"/>
                <w:rFonts w:ascii="Calibri" w:hAnsi="Calibri" w:cs="Calibri"/>
                <w:b/>
                <w:sz w:val="22"/>
                <w:szCs w:val="22"/>
              </w:rPr>
              <w:t>5</w:t>
            </w:r>
            <w:r w:rsidRPr="00744641" w:rsidR="001E4888">
              <w:rPr>
                <w:rStyle w:val="normaltextrun"/>
                <w:rFonts w:ascii="Calibri" w:hAnsi="Calibri" w:cs="Calibri"/>
                <w:b/>
                <w:sz w:val="22"/>
                <w:szCs w:val="22"/>
              </w:rPr>
              <w:t>%</w:t>
            </w:r>
          </w:p>
        </w:tc>
      </w:tr>
      <w:tr w:rsidRPr="00AE1207" w:rsidR="001E4888" w:rsidTr="0023436F" w14:paraId="5C7C877D" w14:textId="77777777">
        <w:trPr>
          <w:jc w:val="center"/>
        </w:trPr>
        <w:tc>
          <w:tcPr>
            <w:tcW w:w="4395" w:type="dxa"/>
            <w:tcBorders>
              <w:bottom w:val="single" w:color="auto" w:sz="4" w:space="0"/>
            </w:tcBorders>
          </w:tcPr>
          <w:p w:rsidR="001E4888" w:rsidP="0023436F" w:rsidRDefault="005B3697" w14:paraId="6CBB2D38" w14:textId="72B00055">
            <w:pPr>
              <w:rPr>
                <w:rStyle w:val="normaltextrun"/>
                <w:rFonts w:ascii="Calibri" w:hAnsi="Calibri" w:cs="Calibri"/>
                <w:b/>
                <w:bCs/>
              </w:rPr>
            </w:pPr>
            <w:r>
              <w:rPr>
                <w:rStyle w:val="normaltextrun"/>
                <w:rFonts w:ascii="Calibri" w:hAnsi="Calibri" w:cs="Calibri"/>
                <w:b/>
                <w:bCs/>
              </w:rPr>
              <w:t>K</w:t>
            </w:r>
            <w:r w:rsidR="001E4888">
              <w:rPr>
                <w:rStyle w:val="normaltextrun"/>
                <w:rFonts w:ascii="Calibri" w:hAnsi="Calibri" w:cs="Calibri"/>
                <w:b/>
                <w:bCs/>
              </w:rPr>
              <w:t xml:space="preserve"> – Customer Care and Quality of Work</w:t>
            </w:r>
          </w:p>
        </w:tc>
        <w:tc>
          <w:tcPr>
            <w:tcW w:w="1417" w:type="dxa"/>
          </w:tcPr>
          <w:p w:rsidRPr="00744641" w:rsidR="001E4888" w:rsidP="0023436F" w:rsidRDefault="001E4888" w14:paraId="63C2ABF0" w14:textId="77777777">
            <w:pPr>
              <w:pStyle w:val="paragraph"/>
              <w:spacing w:before="0" w:beforeAutospacing="0" w:after="0" w:afterAutospacing="0"/>
              <w:jc w:val="center"/>
              <w:textAlignment w:val="baseline"/>
              <w:rPr>
                <w:rStyle w:val="normaltextrun"/>
                <w:rFonts w:ascii="Calibri" w:hAnsi="Calibri" w:cs="Calibri"/>
                <w:sz w:val="22"/>
                <w:szCs w:val="22"/>
              </w:rPr>
            </w:pPr>
            <w:r w:rsidRPr="00744641">
              <w:rPr>
                <w:rStyle w:val="normaltextrun"/>
                <w:rFonts w:ascii="Calibri" w:hAnsi="Calibri" w:cs="Calibri"/>
                <w:sz w:val="22"/>
                <w:szCs w:val="22"/>
              </w:rPr>
              <w:t>L -1.</w:t>
            </w:r>
          </w:p>
        </w:tc>
        <w:tc>
          <w:tcPr>
            <w:tcW w:w="2127" w:type="dxa"/>
            <w:vAlign w:val="center"/>
          </w:tcPr>
          <w:p w:rsidRPr="00744641" w:rsidR="001E4888" w:rsidP="0023436F" w:rsidRDefault="00960549" w14:paraId="3E4AF3EC" w14:textId="23CE8C4A">
            <w:pPr>
              <w:pStyle w:val="paragraph"/>
              <w:spacing w:before="0" w:beforeAutospacing="0" w:after="0" w:afterAutospacing="0"/>
              <w:jc w:val="center"/>
              <w:textAlignment w:val="baseline"/>
              <w:rPr>
                <w:rStyle w:val="normaltextrun"/>
                <w:rFonts w:ascii="Calibri" w:hAnsi="Calibri" w:cs="Calibri"/>
                <w:b/>
                <w:sz w:val="22"/>
                <w:szCs w:val="22"/>
              </w:rPr>
            </w:pPr>
            <w:r>
              <w:rPr>
                <w:rStyle w:val="normaltextrun"/>
                <w:rFonts w:ascii="Calibri" w:hAnsi="Calibri" w:cs="Calibri"/>
                <w:b/>
                <w:sz w:val="22"/>
                <w:szCs w:val="22"/>
              </w:rPr>
              <w:t>5</w:t>
            </w:r>
            <w:r w:rsidRPr="00744641" w:rsidR="001E4888">
              <w:rPr>
                <w:rStyle w:val="normaltextrun"/>
                <w:rFonts w:ascii="Calibri" w:hAnsi="Calibri" w:cs="Calibri"/>
                <w:b/>
                <w:sz w:val="22"/>
                <w:szCs w:val="22"/>
              </w:rPr>
              <w:t>%</w:t>
            </w:r>
          </w:p>
        </w:tc>
      </w:tr>
      <w:tr w:rsidRPr="00AE1207" w:rsidR="001E4888" w:rsidTr="0023436F" w14:paraId="3188E6B2" w14:textId="77777777">
        <w:trPr>
          <w:jc w:val="center"/>
        </w:trPr>
        <w:tc>
          <w:tcPr>
            <w:tcW w:w="4395" w:type="dxa"/>
            <w:tcBorders>
              <w:bottom w:val="single" w:color="auto" w:sz="4" w:space="0"/>
            </w:tcBorders>
          </w:tcPr>
          <w:p w:rsidR="001E4888" w:rsidP="0023436F" w:rsidRDefault="005B3697" w14:paraId="3066AFB0" w14:textId="4131C5C1">
            <w:pPr>
              <w:rPr>
                <w:rStyle w:val="normaltextrun"/>
                <w:rFonts w:ascii="Calibri" w:hAnsi="Calibri" w:cs="Calibri"/>
                <w:b/>
                <w:bCs/>
              </w:rPr>
            </w:pPr>
            <w:r>
              <w:rPr>
                <w:rStyle w:val="normaltextrun"/>
                <w:rFonts w:ascii="Calibri" w:hAnsi="Calibri" w:cs="Calibri"/>
                <w:b/>
                <w:bCs/>
              </w:rPr>
              <w:t>L</w:t>
            </w:r>
            <w:r w:rsidR="001E4888">
              <w:rPr>
                <w:rStyle w:val="normaltextrun"/>
                <w:rFonts w:ascii="Calibri" w:hAnsi="Calibri" w:cs="Calibri"/>
                <w:b/>
                <w:bCs/>
              </w:rPr>
              <w:t xml:space="preserve"> – Community Benefits</w:t>
            </w:r>
            <w:r w:rsidR="001E4888">
              <w:rPr>
                <w:rStyle w:val="eop"/>
                <w:rFonts w:ascii="Calibri" w:hAnsi="Calibri" w:cs="Calibri"/>
              </w:rPr>
              <w:t> </w:t>
            </w:r>
          </w:p>
        </w:tc>
        <w:tc>
          <w:tcPr>
            <w:tcW w:w="1417" w:type="dxa"/>
          </w:tcPr>
          <w:p w:rsidRPr="00744641" w:rsidR="001E4888" w:rsidP="0023436F" w:rsidRDefault="001E4888" w14:paraId="6E6EAE47" w14:textId="77777777">
            <w:pPr>
              <w:pStyle w:val="paragraph"/>
              <w:spacing w:before="0" w:beforeAutospacing="0" w:after="0" w:afterAutospacing="0"/>
              <w:jc w:val="center"/>
              <w:textAlignment w:val="baseline"/>
              <w:rPr>
                <w:rStyle w:val="normaltextrun"/>
                <w:rFonts w:ascii="Calibri" w:hAnsi="Calibri" w:cs="Calibri"/>
                <w:sz w:val="22"/>
                <w:szCs w:val="22"/>
              </w:rPr>
            </w:pPr>
            <w:r w:rsidRPr="00744641">
              <w:rPr>
                <w:rStyle w:val="normaltextrun"/>
                <w:rFonts w:ascii="Calibri" w:hAnsi="Calibri" w:cs="Calibri"/>
                <w:sz w:val="22"/>
                <w:szCs w:val="22"/>
              </w:rPr>
              <w:t>J – 1.</w:t>
            </w:r>
          </w:p>
        </w:tc>
        <w:tc>
          <w:tcPr>
            <w:tcW w:w="2127" w:type="dxa"/>
            <w:vAlign w:val="center"/>
          </w:tcPr>
          <w:p w:rsidRPr="00744641" w:rsidR="001E4888" w:rsidP="0023436F" w:rsidRDefault="001E4888" w14:paraId="2720D49A" w14:textId="77777777">
            <w:pPr>
              <w:pStyle w:val="paragraph"/>
              <w:spacing w:before="0" w:beforeAutospacing="0" w:after="0" w:afterAutospacing="0"/>
              <w:jc w:val="center"/>
              <w:textAlignment w:val="baseline"/>
              <w:rPr>
                <w:rStyle w:val="normaltextrun"/>
                <w:rFonts w:ascii="Calibri" w:hAnsi="Calibri" w:cs="Calibri"/>
                <w:b/>
                <w:sz w:val="22"/>
                <w:szCs w:val="22"/>
              </w:rPr>
            </w:pPr>
            <w:r w:rsidRPr="00744641">
              <w:rPr>
                <w:rStyle w:val="normaltextrun"/>
                <w:rFonts w:ascii="Calibri" w:hAnsi="Calibri" w:cs="Calibri"/>
                <w:b/>
                <w:sz w:val="22"/>
                <w:szCs w:val="22"/>
              </w:rPr>
              <w:t>Pass/Fail</w:t>
            </w:r>
          </w:p>
        </w:tc>
      </w:tr>
      <w:tr w:rsidRPr="00AE1207" w:rsidR="001E4888" w:rsidTr="0023436F" w14:paraId="4B0FF00E" w14:textId="77777777">
        <w:trPr>
          <w:jc w:val="center"/>
        </w:trPr>
        <w:tc>
          <w:tcPr>
            <w:tcW w:w="4395" w:type="dxa"/>
            <w:tcBorders>
              <w:left w:val="single" w:color="BFBFBF" w:themeColor="background1" w:themeShade="BF" w:sz="4" w:space="0"/>
              <w:bottom w:val="single" w:color="BFBFBF" w:themeColor="background1" w:themeShade="BF" w:sz="4" w:space="0"/>
            </w:tcBorders>
          </w:tcPr>
          <w:p w:rsidRPr="00AE1207" w:rsidR="001E4888" w:rsidP="0023436F" w:rsidRDefault="001E4888" w14:paraId="6C0710D4" w14:textId="77777777">
            <w:pPr>
              <w:rPr>
                <w:rFonts w:cstheme="minorHAnsi"/>
                <w:b/>
              </w:rPr>
            </w:pPr>
            <w:r>
              <w:rPr>
                <w:rStyle w:val="eop"/>
                <w:rFonts w:ascii="Calibri" w:hAnsi="Calibri" w:cs="Calibri"/>
              </w:rPr>
              <w:t> </w:t>
            </w:r>
          </w:p>
        </w:tc>
        <w:tc>
          <w:tcPr>
            <w:tcW w:w="1417" w:type="dxa"/>
          </w:tcPr>
          <w:p w:rsidRPr="00744641" w:rsidR="001E4888" w:rsidP="0023436F" w:rsidRDefault="001E4888" w14:paraId="661D90DF" w14:textId="77777777">
            <w:pPr>
              <w:jc w:val="center"/>
              <w:rPr>
                <w:rFonts w:cstheme="minorHAnsi"/>
                <w:b/>
                <w:bCs/>
              </w:rPr>
            </w:pPr>
            <w:r w:rsidRPr="00744641">
              <w:rPr>
                <w:rStyle w:val="normaltextrun"/>
                <w:rFonts w:ascii="Calibri" w:hAnsi="Calibri" w:cs="Calibri"/>
                <w:b/>
                <w:bCs/>
              </w:rPr>
              <w:t>Total</w:t>
            </w:r>
            <w:r w:rsidRPr="00744641">
              <w:rPr>
                <w:rStyle w:val="eop"/>
                <w:rFonts w:ascii="Calibri" w:hAnsi="Calibri" w:cs="Calibri"/>
              </w:rPr>
              <w:t> </w:t>
            </w:r>
          </w:p>
        </w:tc>
        <w:tc>
          <w:tcPr>
            <w:tcW w:w="2127" w:type="dxa"/>
          </w:tcPr>
          <w:p w:rsidRPr="00744641" w:rsidR="001E4888" w:rsidP="0023436F" w:rsidRDefault="00960549" w14:paraId="174B9E98" w14:textId="066CADBC">
            <w:pPr>
              <w:jc w:val="center"/>
              <w:rPr>
                <w:b/>
              </w:rPr>
            </w:pPr>
            <w:r>
              <w:rPr>
                <w:rStyle w:val="normaltextrun"/>
                <w:rFonts w:ascii="Calibri" w:hAnsi="Calibri" w:cs="Calibri"/>
                <w:b/>
              </w:rPr>
              <w:t>60/40</w:t>
            </w:r>
            <w:r w:rsidRPr="00744641" w:rsidR="001E4888">
              <w:rPr>
                <w:rStyle w:val="normaltextrun"/>
                <w:rFonts w:ascii="Calibri" w:hAnsi="Calibri" w:cs="Calibri"/>
                <w:b/>
              </w:rPr>
              <w:t>%</w:t>
            </w:r>
          </w:p>
        </w:tc>
      </w:tr>
    </w:tbl>
    <w:p w:rsidRPr="00AE1207" w:rsidR="00967402" w:rsidP="00A23755" w:rsidRDefault="00947AEE" w14:paraId="28CA8677" w14:textId="136A07B9">
      <w:pPr>
        <w:jc w:val="right"/>
        <w:rPr>
          <w:rFonts w:eastAsiaTheme="majorEastAsia"/>
          <w:sz w:val="20"/>
          <w:szCs w:val="20"/>
        </w:rPr>
      </w:pPr>
      <w:r w:rsidRPr="00AE1207">
        <w:rPr>
          <w:rFonts w:eastAsiaTheme="majorEastAsia"/>
          <w:sz w:val="20"/>
          <w:szCs w:val="20"/>
        </w:rPr>
        <w:t>Table 4 - Evaluation Questions</w:t>
      </w:r>
    </w:p>
    <w:p w:rsidRPr="00AE1207" w:rsidR="00366023" w:rsidP="00612CBF" w:rsidRDefault="00281861" w14:paraId="56C23611" w14:textId="3E49BEB3" w14:noSpellErr="1">
      <w:pPr>
        <w:pStyle w:val="Heading2"/>
        <w:numPr>
          <w:ilvl w:val="1"/>
          <w:numId w:val="1"/>
        </w:numPr>
        <w:spacing w:line="360" w:lineRule="auto"/>
        <w:rPr>
          <w:color w:val="1F4E79" w:themeColor="accent5" w:themeShade="80"/>
        </w:rPr>
      </w:pPr>
      <w:bookmarkStart w:name="_Toc578875240" w:id="2113682194"/>
      <w:r w:rsidRPr="1871EEFA" w:rsidR="00281861">
        <w:rPr>
          <w:color w:val="1F4E79" w:themeColor="accent5" w:themeTint="FF" w:themeShade="80"/>
        </w:rPr>
        <w:t>Tender Evaluation Process</w:t>
      </w:r>
      <w:bookmarkEnd w:id="2113682194"/>
    </w:p>
    <w:p w:rsidRPr="00AE1207" w:rsidR="0033390E" w:rsidP="0033390E" w:rsidRDefault="0033390E" w14:paraId="5D84970F" w14:textId="61409F6B">
      <w:pPr>
        <w:rPr>
          <w:rFonts w:eastAsiaTheme="majorEastAsia"/>
        </w:rPr>
      </w:pPr>
      <w:r w:rsidRPr="00AE1207">
        <w:rPr>
          <w:rFonts w:eastAsiaTheme="majorEastAsia"/>
        </w:rPr>
        <w:t xml:space="preserve">The submitted Tenders will be subject to a </w:t>
      </w:r>
      <w:r w:rsidRPr="00AE1207" w:rsidR="00D865ED">
        <w:rPr>
          <w:rFonts w:eastAsiaTheme="majorEastAsia"/>
        </w:rPr>
        <w:t>three</w:t>
      </w:r>
      <w:r w:rsidRPr="00AE1207">
        <w:rPr>
          <w:rFonts w:eastAsiaTheme="majorEastAsia"/>
        </w:rPr>
        <w:t>-part evaluation process at Tender Evaluation Stage.</w:t>
      </w:r>
    </w:p>
    <w:p w:rsidRPr="00AE1207" w:rsidR="002A43DA" w:rsidP="00612CBF" w:rsidRDefault="002A43DA" w14:paraId="3F19A69A" w14:textId="77777777" w14:noSpellErr="1">
      <w:pPr>
        <w:pStyle w:val="Heading3"/>
        <w:numPr>
          <w:ilvl w:val="2"/>
          <w:numId w:val="1"/>
        </w:numPr>
        <w:spacing w:line="360" w:lineRule="auto"/>
        <w:rPr>
          <w:color w:val="1F4E79" w:themeColor="accent5" w:themeShade="80"/>
        </w:rPr>
      </w:pPr>
      <w:bookmarkStart w:name="_Toc342453399" w:id="441020392"/>
      <w:r w:rsidRPr="1871EEFA" w:rsidR="002A43DA">
        <w:rPr>
          <w:color w:val="1F4E79" w:themeColor="accent5" w:themeTint="FF" w:themeShade="80"/>
        </w:rPr>
        <w:t>Part One – Initial Screening Assessment</w:t>
      </w:r>
      <w:bookmarkEnd w:id="441020392"/>
    </w:p>
    <w:p w:rsidRPr="00AE1207" w:rsidR="00B464C9" w:rsidP="00B464C9" w:rsidRDefault="00B464C9" w14:paraId="29929298" w14:textId="77777777">
      <w:pPr>
        <w:ind w:left="720"/>
        <w:rPr>
          <w:rFonts w:eastAsiaTheme="majorEastAsia"/>
        </w:rPr>
      </w:pPr>
      <w:r w:rsidRPr="00AE1207">
        <w:rPr>
          <w:rFonts w:eastAsiaTheme="majorEastAsia"/>
        </w:rPr>
        <w:t>Tenders will be subject to an initial screening assessment to confirm:</w:t>
      </w:r>
    </w:p>
    <w:p w:rsidRPr="00AE1207" w:rsidR="00B464C9" w:rsidP="00B464C9" w:rsidRDefault="00B464C9" w14:paraId="050DBAEF" w14:textId="0B7F60E6">
      <w:pPr>
        <w:pStyle w:val="ListParagraph"/>
        <w:numPr>
          <w:ilvl w:val="0"/>
          <w:numId w:val="8"/>
        </w:numPr>
        <w:rPr>
          <w:rFonts w:eastAsiaTheme="majorEastAsia"/>
        </w:rPr>
      </w:pPr>
      <w:r w:rsidRPr="00AE1207">
        <w:rPr>
          <w:rFonts w:eastAsiaTheme="majorEastAsia"/>
        </w:rPr>
        <w:t xml:space="preserve">the Tender has been submitted on time, is completed correctly, is materially complete and meets the requirements of the invitation </w:t>
      </w:r>
      <w:proofErr w:type="gramStart"/>
      <w:r w:rsidRPr="00AE1207">
        <w:rPr>
          <w:rFonts w:eastAsiaTheme="majorEastAsia"/>
        </w:rPr>
        <w:t>documents;</w:t>
      </w:r>
      <w:proofErr w:type="gramEnd"/>
    </w:p>
    <w:p w:rsidRPr="00AE1207" w:rsidR="00B464C9" w:rsidP="00B464C9" w:rsidRDefault="00B464C9" w14:paraId="7AC904EA" w14:textId="1DF5BE76">
      <w:pPr>
        <w:pStyle w:val="ListParagraph"/>
        <w:numPr>
          <w:ilvl w:val="0"/>
          <w:numId w:val="8"/>
        </w:numPr>
        <w:rPr>
          <w:rFonts w:eastAsiaTheme="majorEastAsia"/>
        </w:rPr>
      </w:pPr>
      <w:r w:rsidRPr="00AE1207">
        <w:rPr>
          <w:rFonts w:eastAsiaTheme="majorEastAsia"/>
        </w:rPr>
        <w:t>the Tender is sufficiently complete to enable it to be evaluated in accordance with the tender specification; and</w:t>
      </w:r>
    </w:p>
    <w:p w:rsidRPr="00AE1207" w:rsidR="002A43DA" w:rsidP="00B464C9" w:rsidRDefault="00B464C9" w14:paraId="3226D13F" w14:textId="289C17F6">
      <w:pPr>
        <w:pStyle w:val="ListParagraph"/>
        <w:numPr>
          <w:ilvl w:val="0"/>
          <w:numId w:val="8"/>
        </w:numPr>
        <w:rPr>
          <w:rFonts w:eastAsiaTheme="majorEastAsia"/>
        </w:rPr>
      </w:pPr>
      <w:r w:rsidRPr="00AE1207">
        <w:rPr>
          <w:rFonts w:eastAsiaTheme="majorEastAsia"/>
        </w:rPr>
        <w:t>The Tenderer has not contravened any of their terms and conditions of the tender process.</w:t>
      </w:r>
    </w:p>
    <w:p w:rsidRPr="00AE1207" w:rsidR="00B464C9" w:rsidP="00B464C9" w:rsidRDefault="00B464C9" w14:paraId="553DA567" w14:textId="77777777">
      <w:pPr>
        <w:pStyle w:val="ListParagraph"/>
        <w:ind w:left="1440"/>
        <w:rPr>
          <w:rFonts w:eastAsiaTheme="majorEastAsia"/>
        </w:rPr>
      </w:pPr>
    </w:p>
    <w:p w:rsidRPr="00AE1207" w:rsidR="00C71148" w:rsidP="00612CBF" w:rsidRDefault="00C71148" w14:paraId="23B0C9BF" w14:textId="77777777" w14:noSpellErr="1">
      <w:pPr>
        <w:pStyle w:val="Heading3"/>
        <w:numPr>
          <w:ilvl w:val="2"/>
          <w:numId w:val="1"/>
        </w:numPr>
        <w:spacing w:line="360" w:lineRule="auto"/>
        <w:rPr>
          <w:color w:val="1F4E79" w:themeColor="accent5" w:themeShade="80"/>
        </w:rPr>
      </w:pPr>
      <w:bookmarkStart w:name="_Toc1425296309" w:id="1943703418"/>
      <w:r w:rsidRPr="1871EEFA" w:rsidR="00C71148">
        <w:rPr>
          <w:color w:val="1F4E79" w:themeColor="accent5" w:themeTint="FF" w:themeShade="80"/>
        </w:rPr>
        <w:t>Part Two – Qualification Pass/Fail Questions</w:t>
      </w:r>
      <w:bookmarkEnd w:id="1943703418"/>
    </w:p>
    <w:p w:rsidRPr="00AE1207" w:rsidR="0099235D" w:rsidP="0099235D" w:rsidRDefault="0099235D" w14:paraId="56E5CAB6" w14:textId="7C5E6A9E">
      <w:pPr>
        <w:ind w:left="720"/>
        <w:rPr>
          <w:rFonts w:eastAsiaTheme="majorEastAsia"/>
        </w:rPr>
      </w:pPr>
      <w:r w:rsidRPr="00AE1207">
        <w:rPr>
          <w:rFonts w:eastAsiaTheme="majorEastAsia"/>
        </w:rPr>
        <w:t xml:space="preserve">If a Tenderer fails on any of the Qualification ‘Pass/Fail’ questions as set out in Table </w:t>
      </w:r>
      <w:r w:rsidRPr="00AE1207" w:rsidR="00E65C6E">
        <w:rPr>
          <w:rFonts w:eastAsiaTheme="majorEastAsia"/>
        </w:rPr>
        <w:t>3</w:t>
      </w:r>
      <w:r w:rsidRPr="00AE1207" w:rsidR="00090249">
        <w:rPr>
          <w:rFonts w:eastAsiaTheme="majorEastAsia"/>
        </w:rPr>
        <w:t xml:space="preserve"> - Foundation Questions</w:t>
      </w:r>
      <w:r w:rsidRPr="00AE1207">
        <w:rPr>
          <w:rFonts w:eastAsiaTheme="majorEastAsia"/>
        </w:rPr>
        <w:t xml:space="preserve">, </w:t>
      </w:r>
      <w:r w:rsidRPr="00AE1207" w:rsidR="00CD0C1B">
        <w:rPr>
          <w:rFonts w:eastAsiaTheme="majorEastAsia"/>
        </w:rPr>
        <w:t xml:space="preserve">Barcud Shared Services </w:t>
      </w:r>
      <w:r w:rsidRPr="00AE1207">
        <w:rPr>
          <w:rFonts w:eastAsiaTheme="majorEastAsia"/>
        </w:rPr>
        <w:t xml:space="preserve">will disqualify the Tenderer at this stage and will not proceed to evaluate the Quality or Price submission. </w:t>
      </w:r>
      <w:r w:rsidRPr="00AE1207" w:rsidR="00CD0C1B">
        <w:rPr>
          <w:rFonts w:eastAsiaTheme="majorEastAsia"/>
        </w:rPr>
        <w:t xml:space="preserve">Barcud Shared Services </w:t>
      </w:r>
      <w:r w:rsidRPr="00AE1207">
        <w:rPr>
          <w:rFonts w:eastAsiaTheme="majorEastAsia"/>
        </w:rPr>
        <w:t xml:space="preserve">reserves the right to seek clarification from the Tenderer if any answer to the ‘Pass/Fail’ questions is not clear. </w:t>
      </w:r>
    </w:p>
    <w:p w:rsidRPr="00AE1207" w:rsidR="002A43DA" w:rsidP="0099235D" w:rsidRDefault="0099235D" w14:paraId="64ABBA0B" w14:textId="085BD299">
      <w:pPr>
        <w:ind w:left="720"/>
        <w:rPr>
          <w:rFonts w:eastAsiaTheme="majorEastAsia"/>
        </w:rPr>
      </w:pPr>
      <w:r w:rsidRPr="00AE1207">
        <w:rPr>
          <w:rFonts w:eastAsiaTheme="majorEastAsia"/>
        </w:rPr>
        <w:t xml:space="preserve">Tenderers must be aware that if they fail any of the ‘Pass/Fail’ questions then their bid will be </w:t>
      </w:r>
      <w:proofErr w:type="gramStart"/>
      <w:r w:rsidRPr="00AE1207">
        <w:rPr>
          <w:rFonts w:eastAsiaTheme="majorEastAsia"/>
        </w:rPr>
        <w:t>rejected</w:t>
      </w:r>
      <w:proofErr w:type="gramEnd"/>
      <w:r w:rsidRPr="00AE1207">
        <w:rPr>
          <w:rFonts w:eastAsiaTheme="majorEastAsia"/>
        </w:rPr>
        <w:t xml:space="preserve"> and they will not proceed further in the tender process.</w:t>
      </w:r>
    </w:p>
    <w:p w:rsidRPr="00AE1207" w:rsidR="00F76581" w:rsidP="00612CBF" w:rsidRDefault="00F76581" w14:paraId="4A4CD116" w14:textId="462BEAEB" w14:noSpellErr="1">
      <w:pPr>
        <w:pStyle w:val="Heading3"/>
        <w:numPr>
          <w:ilvl w:val="2"/>
          <w:numId w:val="1"/>
        </w:numPr>
        <w:spacing w:line="360" w:lineRule="auto"/>
        <w:rPr>
          <w:color w:val="1F4E79" w:themeColor="accent5" w:themeShade="80"/>
        </w:rPr>
      </w:pPr>
      <w:bookmarkStart w:name="_Toc894161957" w:id="1979525990"/>
      <w:r w:rsidRPr="1871EEFA" w:rsidR="00F76581">
        <w:rPr>
          <w:color w:val="1F4E79" w:themeColor="accent5" w:themeTint="FF" w:themeShade="80"/>
        </w:rPr>
        <w:t>‘Self-cleaning’</w:t>
      </w:r>
      <w:bookmarkEnd w:id="1979525990"/>
    </w:p>
    <w:p w:rsidRPr="00AE1207" w:rsidR="00BE0CDD" w:rsidP="00BE0CDD" w:rsidRDefault="00BE0CDD" w14:paraId="4C1BBAFE" w14:textId="77777777">
      <w:pPr>
        <w:ind w:left="720"/>
        <w:rPr>
          <w:rFonts w:eastAsiaTheme="majorEastAsia"/>
        </w:rPr>
      </w:pPr>
      <w:r w:rsidRPr="00AE1207">
        <w:rPr>
          <w:rFonts w:eastAsiaTheme="majorEastAsia"/>
        </w:rPr>
        <w:t xml:space="preserve">Any Tenderer that answers a question of the Qualification Pass/Fail Questions that would constitute a ‘Fail’ should provide sufficient evidence, in a separate appendix, that provides a summary of the circumstances and any remedial action that has taken place subsequently and effectively “self-cleans” the situation referred to in that question. </w:t>
      </w:r>
    </w:p>
    <w:p w:rsidRPr="00AE1207" w:rsidR="00BE0CDD" w:rsidP="00BE0CDD" w:rsidRDefault="00BE0CDD" w14:paraId="05F01986" w14:textId="50061747">
      <w:pPr>
        <w:ind w:left="720"/>
        <w:rPr>
          <w:rFonts w:eastAsiaTheme="majorEastAsia"/>
        </w:rPr>
      </w:pPr>
      <w:r w:rsidRPr="00AE1207">
        <w:rPr>
          <w:rFonts w:eastAsiaTheme="majorEastAsia"/>
        </w:rPr>
        <w:t xml:space="preserve">The Tenderer </w:t>
      </w:r>
      <w:proofErr w:type="gramStart"/>
      <w:r w:rsidRPr="00AE1207">
        <w:rPr>
          <w:rFonts w:eastAsiaTheme="majorEastAsia"/>
        </w:rPr>
        <w:t>has to</w:t>
      </w:r>
      <w:proofErr w:type="gramEnd"/>
      <w:r w:rsidRPr="00AE1207">
        <w:rPr>
          <w:rFonts w:eastAsiaTheme="majorEastAsia"/>
        </w:rPr>
        <w:t xml:space="preserve"> demonstrate it has taken such remedial action, to the satisfaction of </w:t>
      </w:r>
      <w:r w:rsidRPr="00AE1207" w:rsidR="00CD0C1B">
        <w:rPr>
          <w:rFonts w:eastAsiaTheme="majorEastAsia"/>
        </w:rPr>
        <w:t>Barcud Shared Services</w:t>
      </w:r>
      <w:r w:rsidRPr="00AE1207">
        <w:rPr>
          <w:rFonts w:eastAsiaTheme="majorEastAsia"/>
        </w:rPr>
        <w:t>, in each case.</w:t>
      </w:r>
    </w:p>
    <w:p w:rsidRPr="00AE1207" w:rsidR="00BE0CDD" w:rsidP="00BE0CDD" w:rsidRDefault="00BE0CDD" w14:paraId="6473926B" w14:textId="3BB0DF4C">
      <w:pPr>
        <w:ind w:left="720"/>
        <w:rPr>
          <w:rFonts w:eastAsiaTheme="majorEastAsia"/>
        </w:rPr>
      </w:pPr>
      <w:r w:rsidRPr="00AE1207">
        <w:rPr>
          <w:rFonts w:eastAsiaTheme="majorEastAsia"/>
        </w:rPr>
        <w:t xml:space="preserve">If such evidence is considered by </w:t>
      </w:r>
      <w:r w:rsidRPr="00AE1207" w:rsidR="00CD0C1B">
        <w:rPr>
          <w:rFonts w:eastAsiaTheme="majorEastAsia"/>
        </w:rPr>
        <w:t xml:space="preserve">Barcud Shared Services </w:t>
      </w:r>
      <w:r w:rsidRPr="00AE1207">
        <w:rPr>
          <w:rFonts w:eastAsiaTheme="majorEastAsia"/>
        </w:rPr>
        <w:t>(whose decision will be final) as sufficient, the Tenderer concerned shall be allowed to continue in the process.</w:t>
      </w:r>
    </w:p>
    <w:p w:rsidRPr="00AE1207" w:rsidR="00BE0CDD" w:rsidP="00BE0CDD" w:rsidRDefault="00BE0CDD" w14:paraId="40C5109A" w14:textId="77777777">
      <w:pPr>
        <w:ind w:left="720"/>
        <w:rPr>
          <w:rFonts w:eastAsiaTheme="majorEastAsia"/>
        </w:rPr>
      </w:pPr>
      <w:proofErr w:type="gramStart"/>
      <w:r w:rsidRPr="00AE1207">
        <w:rPr>
          <w:rFonts w:eastAsiaTheme="majorEastAsia"/>
        </w:rPr>
        <w:t>In order for</w:t>
      </w:r>
      <w:proofErr w:type="gramEnd"/>
      <w:r w:rsidRPr="00AE1207">
        <w:rPr>
          <w:rFonts w:eastAsiaTheme="majorEastAsia"/>
        </w:rPr>
        <w:t xml:space="preserve"> the evidence referred to above to be sufficient the Tenderer shall, as a minimum, prove that it has:</w:t>
      </w:r>
    </w:p>
    <w:p w:rsidRPr="00AE1207" w:rsidR="00BE0CDD" w:rsidP="00BE0CDD" w:rsidRDefault="00BE0CDD" w14:paraId="631AB5D7" w14:textId="01E1A3AF">
      <w:pPr>
        <w:pStyle w:val="ListParagraph"/>
        <w:numPr>
          <w:ilvl w:val="0"/>
          <w:numId w:val="10"/>
        </w:numPr>
        <w:rPr>
          <w:rFonts w:eastAsiaTheme="majorEastAsia"/>
        </w:rPr>
      </w:pPr>
      <w:r w:rsidRPr="00AE1207">
        <w:rPr>
          <w:rFonts w:eastAsiaTheme="majorEastAsia"/>
        </w:rPr>
        <w:t xml:space="preserve">Provided an adequate explanation of the circumstances why they have “failed” and/or any remedial action that has taken place subsequently that effectively “self-cleans” the situation referred to in that question which satisfies </w:t>
      </w:r>
      <w:r w:rsidRPr="00AE1207" w:rsidR="00CD0C1B">
        <w:rPr>
          <w:rFonts w:eastAsiaTheme="majorEastAsia"/>
        </w:rPr>
        <w:t xml:space="preserve">Barcud Shared Services </w:t>
      </w:r>
      <w:r w:rsidRPr="00AE1207">
        <w:rPr>
          <w:rFonts w:eastAsiaTheme="majorEastAsia"/>
        </w:rPr>
        <w:t>that they can proceed further in the process.</w:t>
      </w:r>
    </w:p>
    <w:p w:rsidRPr="00AE1207" w:rsidR="00BE0CDD" w:rsidP="00BE0CDD" w:rsidRDefault="00BE0CDD" w14:paraId="12BEE767" w14:textId="510DC9D6">
      <w:pPr>
        <w:pStyle w:val="ListParagraph"/>
        <w:numPr>
          <w:ilvl w:val="0"/>
          <w:numId w:val="10"/>
        </w:numPr>
        <w:rPr>
          <w:rFonts w:eastAsiaTheme="majorEastAsia"/>
        </w:rPr>
      </w:pPr>
      <w:r w:rsidRPr="00AE1207">
        <w:rPr>
          <w:rFonts w:eastAsiaTheme="majorEastAsia"/>
        </w:rPr>
        <w:t>Paid or undertaken to pay compensation in respect of any damage caused by the criminal offence or misconduct.</w:t>
      </w:r>
    </w:p>
    <w:p w:rsidRPr="00AE1207" w:rsidR="00BE0CDD" w:rsidP="00BE0CDD" w:rsidRDefault="00BE0CDD" w14:paraId="40C01C48" w14:textId="7D33D464">
      <w:pPr>
        <w:pStyle w:val="ListParagraph"/>
        <w:numPr>
          <w:ilvl w:val="0"/>
          <w:numId w:val="10"/>
        </w:numPr>
        <w:rPr>
          <w:rFonts w:eastAsiaTheme="majorEastAsia"/>
        </w:rPr>
      </w:pPr>
      <w:r w:rsidRPr="00AE1207">
        <w:rPr>
          <w:rFonts w:eastAsiaTheme="majorEastAsia"/>
        </w:rPr>
        <w:t>Clarified the facts and circumstances in a comprehensive manner by actively collaborating with the investigating authorities.</w:t>
      </w:r>
    </w:p>
    <w:p w:rsidRPr="00AE1207" w:rsidR="00BE0CDD" w:rsidP="00BE0CDD" w:rsidRDefault="00BE0CDD" w14:paraId="028BF1B0" w14:textId="2FAC8A08">
      <w:pPr>
        <w:pStyle w:val="ListParagraph"/>
        <w:numPr>
          <w:ilvl w:val="0"/>
          <w:numId w:val="10"/>
        </w:numPr>
        <w:rPr>
          <w:rFonts w:eastAsiaTheme="majorEastAsia"/>
        </w:rPr>
      </w:pPr>
      <w:r w:rsidRPr="00AE1207">
        <w:rPr>
          <w:rFonts w:eastAsiaTheme="majorEastAsia"/>
        </w:rPr>
        <w:t>Taken concrete technical, organisational and personnel measures that are appropriate to prevent further criminal offences or misconduct.</w:t>
      </w:r>
    </w:p>
    <w:p w:rsidRPr="00AE1207" w:rsidR="00BE0CDD" w:rsidP="00BE0CDD" w:rsidRDefault="00BE0CDD" w14:paraId="62785081" w14:textId="0FBA1603">
      <w:pPr>
        <w:ind w:left="720"/>
        <w:rPr>
          <w:rFonts w:eastAsiaTheme="majorEastAsia"/>
        </w:rPr>
      </w:pPr>
      <w:r w:rsidRPr="00AE1207">
        <w:rPr>
          <w:rFonts w:eastAsiaTheme="majorEastAsia"/>
        </w:rPr>
        <w:t xml:space="preserve">The measures taken by the Tenderer shall be evaluated </w:t>
      </w:r>
      <w:proofErr w:type="gramStart"/>
      <w:r w:rsidRPr="00AE1207">
        <w:rPr>
          <w:rFonts w:eastAsiaTheme="majorEastAsia"/>
        </w:rPr>
        <w:t>taking into account</w:t>
      </w:r>
      <w:proofErr w:type="gramEnd"/>
      <w:r w:rsidRPr="00AE1207">
        <w:rPr>
          <w:rFonts w:eastAsiaTheme="majorEastAsia"/>
        </w:rPr>
        <w:t xml:space="preserve"> the gravity and particular circumstances of the “</w:t>
      </w:r>
      <w:proofErr w:type="gramStart"/>
      <w:r w:rsidRPr="00AE1207">
        <w:rPr>
          <w:rFonts w:eastAsiaTheme="majorEastAsia"/>
        </w:rPr>
        <w:t>fail</w:t>
      </w:r>
      <w:proofErr w:type="gramEnd"/>
      <w:r w:rsidRPr="00AE1207">
        <w:rPr>
          <w:rFonts w:eastAsiaTheme="majorEastAsia"/>
        </w:rPr>
        <w:t xml:space="preserve">”, criminal offence or misconduct. </w:t>
      </w:r>
    </w:p>
    <w:p w:rsidRPr="00AE1207" w:rsidR="00F76581" w:rsidP="00BE0CDD" w:rsidRDefault="00BE0CDD" w14:paraId="23ED0052" w14:textId="709BF072">
      <w:pPr>
        <w:ind w:left="720"/>
        <w:rPr>
          <w:rFonts w:eastAsiaTheme="majorEastAsia"/>
        </w:rPr>
      </w:pPr>
      <w:r w:rsidRPr="00AE1207">
        <w:rPr>
          <w:rFonts w:eastAsiaTheme="majorEastAsia"/>
        </w:rPr>
        <w:t xml:space="preserve">Where the measures are considered by </w:t>
      </w:r>
      <w:r w:rsidRPr="00AE1207" w:rsidR="00CD0C1B">
        <w:rPr>
          <w:rFonts w:eastAsiaTheme="majorEastAsia"/>
        </w:rPr>
        <w:t xml:space="preserve">Barcud Shared Services </w:t>
      </w:r>
      <w:r w:rsidRPr="00AE1207">
        <w:rPr>
          <w:rFonts w:eastAsiaTheme="majorEastAsia"/>
        </w:rPr>
        <w:t>to be insufficient, the Tenderer shall be given a statement of the reasons for that decision.</w:t>
      </w:r>
    </w:p>
    <w:p w:rsidRPr="00AE1207" w:rsidR="00044344" w:rsidP="00612CBF" w:rsidRDefault="00044344" w14:paraId="05233361" w14:textId="77777777" w14:noSpellErr="1">
      <w:pPr>
        <w:pStyle w:val="Heading3"/>
        <w:numPr>
          <w:ilvl w:val="2"/>
          <w:numId w:val="1"/>
        </w:numPr>
        <w:spacing w:line="360" w:lineRule="auto"/>
        <w:rPr>
          <w:color w:val="1F4E79" w:themeColor="accent5" w:themeShade="80"/>
        </w:rPr>
      </w:pPr>
      <w:bookmarkStart w:name="_Toc2048297845" w:id="1529499561"/>
      <w:r w:rsidRPr="1871EEFA" w:rsidR="00044344">
        <w:rPr>
          <w:color w:val="1F4E79" w:themeColor="accent5" w:themeTint="FF" w:themeShade="80"/>
        </w:rPr>
        <w:t>Part Three – Quality Evaluation</w:t>
      </w:r>
      <w:bookmarkEnd w:id="1529499561"/>
    </w:p>
    <w:p w:rsidRPr="00AE1207" w:rsidR="0069741A" w:rsidP="0069741A" w:rsidRDefault="0069741A" w14:paraId="2361189F" w14:textId="60F72555">
      <w:pPr>
        <w:ind w:left="720"/>
        <w:rPr>
          <w:rFonts w:eastAsiaTheme="majorEastAsia"/>
        </w:rPr>
      </w:pPr>
      <w:r w:rsidRPr="00AE1207">
        <w:rPr>
          <w:rFonts w:eastAsiaTheme="majorEastAsia"/>
        </w:rPr>
        <w:t xml:space="preserve">Tenderers who successfully ‘Pass’ all ‘Pass/Fail’ Questions, will be subject to a detailed evaluation of the scored “Quality Questions” in accordance with the Award Criteria and weightings as set out in Table </w:t>
      </w:r>
      <w:r w:rsidRPr="00AE1207" w:rsidR="003A28C9">
        <w:rPr>
          <w:rFonts w:eastAsiaTheme="majorEastAsia"/>
        </w:rPr>
        <w:t>4</w:t>
      </w:r>
      <w:r w:rsidRPr="00AE1207" w:rsidR="00090249">
        <w:rPr>
          <w:rFonts w:eastAsiaTheme="majorEastAsia"/>
        </w:rPr>
        <w:t>- Evaluation Questions</w:t>
      </w:r>
      <w:r w:rsidRPr="00AE1207">
        <w:rPr>
          <w:rFonts w:eastAsiaTheme="majorEastAsia"/>
        </w:rPr>
        <w:t>.</w:t>
      </w:r>
    </w:p>
    <w:p w:rsidRPr="00AE1207" w:rsidR="0069741A" w:rsidP="0069741A" w:rsidRDefault="0069741A" w14:paraId="461BA1FF" w14:textId="77777777">
      <w:pPr>
        <w:ind w:left="720"/>
        <w:rPr>
          <w:rFonts w:eastAsiaTheme="majorEastAsia"/>
        </w:rPr>
      </w:pPr>
      <w:r w:rsidRPr="00AE1207">
        <w:rPr>
          <w:rFonts w:eastAsiaTheme="majorEastAsia"/>
        </w:rPr>
        <w:lastRenderedPageBreak/>
        <w:t>Each quality question will be reviewed and scored based on the following rational:</w:t>
      </w:r>
    </w:p>
    <w:tbl>
      <w:tblPr>
        <w:tblStyle w:val="TableGrid"/>
        <w:tblW w:w="8460" w:type="dxa"/>
        <w:tblInd w:w="607" w:type="dxa"/>
        <w:tblLook w:val="04A0" w:firstRow="1" w:lastRow="0" w:firstColumn="1" w:lastColumn="0" w:noHBand="0" w:noVBand="1"/>
      </w:tblPr>
      <w:tblGrid>
        <w:gridCol w:w="846"/>
        <w:gridCol w:w="1559"/>
        <w:gridCol w:w="6055"/>
      </w:tblGrid>
      <w:tr w:rsidRPr="00AE1207" w:rsidR="00C91ED5" w:rsidTr="00CC2C42" w14:paraId="0227C99A" w14:textId="77777777">
        <w:tc>
          <w:tcPr>
            <w:tcW w:w="846" w:type="dxa"/>
            <w:shd w:val="clear" w:color="auto" w:fill="1F3864" w:themeFill="accent1" w:themeFillShade="80"/>
          </w:tcPr>
          <w:p w:rsidRPr="00AE1207" w:rsidR="00C91ED5" w:rsidP="00E8198B" w:rsidRDefault="00C91ED5" w14:paraId="0C86AE88" w14:textId="77777777">
            <w:pPr>
              <w:rPr>
                <w:b/>
                <w:bCs/>
              </w:rPr>
            </w:pPr>
            <w:r w:rsidRPr="00AE1207">
              <w:rPr>
                <w:b/>
                <w:bCs/>
              </w:rPr>
              <w:t>Scores</w:t>
            </w:r>
          </w:p>
        </w:tc>
        <w:tc>
          <w:tcPr>
            <w:tcW w:w="1559" w:type="dxa"/>
            <w:shd w:val="clear" w:color="auto" w:fill="1F3864" w:themeFill="accent1" w:themeFillShade="80"/>
          </w:tcPr>
          <w:p w:rsidRPr="00AE1207" w:rsidR="00C91ED5" w:rsidP="00E8198B" w:rsidRDefault="00C91ED5" w14:paraId="25E248A3" w14:textId="77777777">
            <w:pPr>
              <w:rPr>
                <w:b/>
                <w:bCs/>
              </w:rPr>
            </w:pPr>
            <w:r w:rsidRPr="00AE1207">
              <w:rPr>
                <w:b/>
                <w:bCs/>
              </w:rPr>
              <w:t>Remark</w:t>
            </w:r>
          </w:p>
        </w:tc>
        <w:tc>
          <w:tcPr>
            <w:tcW w:w="6055" w:type="dxa"/>
            <w:shd w:val="clear" w:color="auto" w:fill="1F3864" w:themeFill="accent1" w:themeFillShade="80"/>
          </w:tcPr>
          <w:p w:rsidRPr="00AE1207" w:rsidR="00C91ED5" w:rsidP="00E8198B" w:rsidRDefault="00C91ED5" w14:paraId="750955A6" w14:textId="77777777">
            <w:pPr>
              <w:rPr>
                <w:b/>
                <w:bCs/>
              </w:rPr>
            </w:pPr>
            <w:r w:rsidRPr="00AE1207">
              <w:rPr>
                <w:b/>
                <w:bCs/>
              </w:rPr>
              <w:t>Evidence</w:t>
            </w:r>
          </w:p>
        </w:tc>
      </w:tr>
      <w:tr w:rsidRPr="00AE1207" w:rsidR="00C91ED5" w:rsidTr="00CC2C42" w14:paraId="557E3C2E" w14:textId="77777777">
        <w:trPr>
          <w:trHeight w:val="537"/>
        </w:trPr>
        <w:tc>
          <w:tcPr>
            <w:tcW w:w="846" w:type="dxa"/>
          </w:tcPr>
          <w:p w:rsidRPr="00AE1207" w:rsidR="00C91ED5" w:rsidP="00E8198B" w:rsidRDefault="00C91ED5" w14:paraId="4B6DDC01" w14:textId="77777777">
            <w:r w:rsidRPr="00AE1207">
              <w:t>10</w:t>
            </w:r>
          </w:p>
        </w:tc>
        <w:tc>
          <w:tcPr>
            <w:tcW w:w="1559" w:type="dxa"/>
          </w:tcPr>
          <w:p w:rsidRPr="00AE1207" w:rsidR="00C91ED5" w:rsidP="00E8198B" w:rsidRDefault="00C91ED5" w14:paraId="509E0202" w14:textId="77777777">
            <w:r w:rsidRPr="00AE1207">
              <w:t>Excellent</w:t>
            </w:r>
          </w:p>
        </w:tc>
        <w:tc>
          <w:tcPr>
            <w:tcW w:w="6055" w:type="dxa"/>
          </w:tcPr>
          <w:p w:rsidRPr="00AE1207" w:rsidR="00C91ED5" w:rsidP="00E8198B" w:rsidRDefault="00C91ED5" w14:paraId="58BFE9EE" w14:textId="77777777">
            <w:r w:rsidRPr="00AE1207">
              <w:t>Meets the standard and exceeds it in at least one respect</w:t>
            </w:r>
          </w:p>
        </w:tc>
      </w:tr>
      <w:tr w:rsidRPr="00AE1207" w:rsidR="00C91ED5" w:rsidTr="00CC2C42" w14:paraId="3D66028C" w14:textId="77777777">
        <w:trPr>
          <w:trHeight w:val="537"/>
        </w:trPr>
        <w:tc>
          <w:tcPr>
            <w:tcW w:w="846" w:type="dxa"/>
          </w:tcPr>
          <w:p w:rsidRPr="00AE1207" w:rsidR="00C91ED5" w:rsidP="00E8198B" w:rsidRDefault="00C91ED5" w14:paraId="66D7A00D" w14:textId="77777777">
            <w:r w:rsidRPr="00AE1207">
              <w:t>9</w:t>
            </w:r>
          </w:p>
        </w:tc>
        <w:tc>
          <w:tcPr>
            <w:tcW w:w="1559" w:type="dxa"/>
          </w:tcPr>
          <w:p w:rsidRPr="00AE1207" w:rsidR="00C91ED5" w:rsidP="00E8198B" w:rsidRDefault="00C91ED5" w14:paraId="79240FC6" w14:textId="77777777">
            <w:r w:rsidRPr="00AE1207">
              <w:t>Very Good</w:t>
            </w:r>
          </w:p>
        </w:tc>
        <w:tc>
          <w:tcPr>
            <w:tcW w:w="6055" w:type="dxa"/>
          </w:tcPr>
          <w:p w:rsidRPr="00AE1207" w:rsidR="00C91ED5" w:rsidP="00E8198B" w:rsidRDefault="00C91ED5" w14:paraId="777E2533" w14:textId="77777777">
            <w:r w:rsidRPr="00AE1207">
              <w:t>Meets the standard completely</w:t>
            </w:r>
          </w:p>
        </w:tc>
      </w:tr>
      <w:tr w:rsidRPr="00AE1207" w:rsidR="00C91ED5" w:rsidTr="00CC2C42" w14:paraId="52BF3B1B" w14:textId="77777777">
        <w:trPr>
          <w:trHeight w:val="537"/>
        </w:trPr>
        <w:tc>
          <w:tcPr>
            <w:tcW w:w="846" w:type="dxa"/>
          </w:tcPr>
          <w:p w:rsidRPr="00AE1207" w:rsidR="00C91ED5" w:rsidP="00E8198B" w:rsidRDefault="00C91ED5" w14:paraId="0D7C99CB" w14:textId="77777777">
            <w:r w:rsidRPr="00AE1207">
              <w:t>7-8</w:t>
            </w:r>
          </w:p>
        </w:tc>
        <w:tc>
          <w:tcPr>
            <w:tcW w:w="1559" w:type="dxa"/>
          </w:tcPr>
          <w:p w:rsidRPr="00AE1207" w:rsidR="00C91ED5" w:rsidP="00E8198B" w:rsidRDefault="00C91ED5" w14:paraId="0024A790" w14:textId="77777777">
            <w:r w:rsidRPr="00AE1207">
              <w:t>Good</w:t>
            </w:r>
            <w:r w:rsidRPr="00AE1207">
              <w:tab/>
            </w:r>
          </w:p>
        </w:tc>
        <w:tc>
          <w:tcPr>
            <w:tcW w:w="6055" w:type="dxa"/>
          </w:tcPr>
          <w:p w:rsidRPr="00AE1207" w:rsidR="00C91ED5" w:rsidP="00E8198B" w:rsidRDefault="00C91ED5" w14:paraId="193CF63D" w14:textId="77777777">
            <w:r w:rsidRPr="00AE1207">
              <w:t>Meets the standard well but not completely.</w:t>
            </w:r>
          </w:p>
        </w:tc>
      </w:tr>
      <w:tr w:rsidRPr="00AE1207" w:rsidR="00C91ED5" w:rsidTr="00CC2C42" w14:paraId="42BBC510" w14:textId="77777777">
        <w:trPr>
          <w:trHeight w:val="537"/>
        </w:trPr>
        <w:tc>
          <w:tcPr>
            <w:tcW w:w="846" w:type="dxa"/>
          </w:tcPr>
          <w:p w:rsidRPr="00AE1207" w:rsidR="00C91ED5" w:rsidP="00E8198B" w:rsidRDefault="00C91ED5" w14:paraId="0D4B64D1" w14:textId="77777777">
            <w:r w:rsidRPr="00AE1207">
              <w:t>5-6</w:t>
            </w:r>
          </w:p>
        </w:tc>
        <w:tc>
          <w:tcPr>
            <w:tcW w:w="1559" w:type="dxa"/>
          </w:tcPr>
          <w:p w:rsidRPr="00AE1207" w:rsidR="00C91ED5" w:rsidP="00E8198B" w:rsidRDefault="00C91ED5" w14:paraId="20676218" w14:textId="77777777">
            <w:r w:rsidRPr="00AE1207">
              <w:t>Satisfactory</w:t>
            </w:r>
          </w:p>
        </w:tc>
        <w:tc>
          <w:tcPr>
            <w:tcW w:w="6055" w:type="dxa"/>
          </w:tcPr>
          <w:p w:rsidRPr="00AE1207" w:rsidR="00C91ED5" w:rsidP="00E8198B" w:rsidRDefault="00C91ED5" w14:paraId="392B0717" w14:textId="77777777">
            <w:r w:rsidRPr="00AE1207">
              <w:t>Meets the standard in majority of aspects but fails in some.</w:t>
            </w:r>
          </w:p>
        </w:tc>
      </w:tr>
      <w:tr w:rsidRPr="00AE1207" w:rsidR="00C91ED5" w:rsidTr="00CC2C42" w14:paraId="1A788539" w14:textId="77777777">
        <w:trPr>
          <w:trHeight w:val="537"/>
        </w:trPr>
        <w:tc>
          <w:tcPr>
            <w:tcW w:w="846" w:type="dxa"/>
          </w:tcPr>
          <w:p w:rsidRPr="00AE1207" w:rsidR="00C91ED5" w:rsidP="00E8198B" w:rsidRDefault="00C91ED5" w14:paraId="3883CA22" w14:textId="77777777">
            <w:r w:rsidRPr="00AE1207">
              <w:t>3-4</w:t>
            </w:r>
          </w:p>
        </w:tc>
        <w:tc>
          <w:tcPr>
            <w:tcW w:w="1559" w:type="dxa"/>
          </w:tcPr>
          <w:p w:rsidRPr="00AE1207" w:rsidR="00C91ED5" w:rsidP="00E8198B" w:rsidRDefault="00C91ED5" w14:paraId="32EE5398" w14:textId="77777777">
            <w:r w:rsidRPr="00AE1207">
              <w:t>Unsatisfactory</w:t>
            </w:r>
          </w:p>
        </w:tc>
        <w:tc>
          <w:tcPr>
            <w:tcW w:w="6055" w:type="dxa"/>
          </w:tcPr>
          <w:p w:rsidRPr="00AE1207" w:rsidR="00C91ED5" w:rsidP="00E8198B" w:rsidRDefault="00C91ED5" w14:paraId="7C09AE81" w14:textId="77777777">
            <w:r w:rsidRPr="00AE1207">
              <w:t xml:space="preserve">Fails to meet the standards in </w:t>
            </w:r>
            <w:proofErr w:type="gramStart"/>
            <w:r w:rsidRPr="00AE1207">
              <w:t>the majority of</w:t>
            </w:r>
            <w:proofErr w:type="gramEnd"/>
            <w:r w:rsidRPr="00AE1207">
              <w:t xml:space="preserve"> aspects but meets in some</w:t>
            </w:r>
          </w:p>
        </w:tc>
      </w:tr>
      <w:tr w:rsidRPr="00AE1207" w:rsidR="00C91ED5" w:rsidTr="00CC2C42" w14:paraId="3D9C6000" w14:textId="77777777">
        <w:trPr>
          <w:trHeight w:val="537"/>
        </w:trPr>
        <w:tc>
          <w:tcPr>
            <w:tcW w:w="846" w:type="dxa"/>
          </w:tcPr>
          <w:p w:rsidRPr="00AE1207" w:rsidR="00C91ED5" w:rsidP="00E8198B" w:rsidRDefault="00C91ED5" w14:paraId="1C9BA703" w14:textId="77777777">
            <w:r w:rsidRPr="00AE1207">
              <w:t>1-2</w:t>
            </w:r>
          </w:p>
        </w:tc>
        <w:tc>
          <w:tcPr>
            <w:tcW w:w="1559" w:type="dxa"/>
          </w:tcPr>
          <w:p w:rsidRPr="00AE1207" w:rsidR="00C91ED5" w:rsidP="00E8198B" w:rsidRDefault="00C91ED5" w14:paraId="1A62E6A0" w14:textId="77777777">
            <w:r w:rsidRPr="00AE1207">
              <w:t>Poor</w:t>
            </w:r>
          </w:p>
        </w:tc>
        <w:tc>
          <w:tcPr>
            <w:tcW w:w="6055" w:type="dxa"/>
          </w:tcPr>
          <w:p w:rsidRPr="00AE1207" w:rsidR="00C91ED5" w:rsidP="00E8198B" w:rsidRDefault="00C91ED5" w14:paraId="5F363501" w14:textId="77777777">
            <w:r w:rsidRPr="00AE1207">
              <w:t>Significantly fails to meet the standard</w:t>
            </w:r>
          </w:p>
        </w:tc>
      </w:tr>
      <w:tr w:rsidRPr="00AE1207" w:rsidR="00C91ED5" w:rsidTr="00CC2C42" w14:paraId="0FDB3AD0" w14:textId="77777777">
        <w:trPr>
          <w:trHeight w:val="537"/>
        </w:trPr>
        <w:tc>
          <w:tcPr>
            <w:tcW w:w="846" w:type="dxa"/>
          </w:tcPr>
          <w:p w:rsidRPr="00AE1207" w:rsidR="00C91ED5" w:rsidP="00E8198B" w:rsidRDefault="00C91ED5" w14:paraId="331BA469" w14:textId="77777777">
            <w:r w:rsidRPr="00AE1207">
              <w:t>0</w:t>
            </w:r>
          </w:p>
        </w:tc>
        <w:tc>
          <w:tcPr>
            <w:tcW w:w="1559" w:type="dxa"/>
          </w:tcPr>
          <w:p w:rsidRPr="00AE1207" w:rsidR="00C91ED5" w:rsidP="00E8198B" w:rsidRDefault="00C91ED5" w14:paraId="467F23C4" w14:textId="77777777">
            <w:r w:rsidRPr="00AE1207">
              <w:t>Failed</w:t>
            </w:r>
          </w:p>
        </w:tc>
        <w:tc>
          <w:tcPr>
            <w:tcW w:w="6055" w:type="dxa"/>
          </w:tcPr>
          <w:p w:rsidRPr="00AE1207" w:rsidR="00C91ED5" w:rsidP="00E8198B" w:rsidRDefault="00C91ED5" w14:paraId="168BE4F5" w14:textId="77777777">
            <w:r w:rsidRPr="00AE1207">
              <w:t>Completely fails to meet the standard.</w:t>
            </w:r>
          </w:p>
        </w:tc>
      </w:tr>
    </w:tbl>
    <w:p w:rsidRPr="00AE1207" w:rsidR="00F76581" w:rsidP="00C91ED5" w:rsidRDefault="0069741A" w14:paraId="388FED51" w14:textId="1E938FE8">
      <w:pPr>
        <w:ind w:left="720"/>
        <w:jc w:val="right"/>
        <w:rPr>
          <w:rFonts w:eastAsiaTheme="majorEastAsia"/>
          <w:sz w:val="20"/>
          <w:szCs w:val="20"/>
        </w:rPr>
      </w:pPr>
      <w:r w:rsidRPr="00AE1207">
        <w:rPr>
          <w:rFonts w:eastAsiaTheme="majorEastAsia"/>
          <w:sz w:val="20"/>
          <w:szCs w:val="20"/>
        </w:rPr>
        <w:t xml:space="preserve">Table </w:t>
      </w:r>
      <w:r w:rsidRPr="00AE1207" w:rsidR="00BA6458">
        <w:rPr>
          <w:rFonts w:eastAsiaTheme="majorEastAsia"/>
          <w:sz w:val="20"/>
          <w:szCs w:val="20"/>
        </w:rPr>
        <w:t>5</w:t>
      </w:r>
      <w:r w:rsidRPr="00AE1207">
        <w:rPr>
          <w:rFonts w:eastAsiaTheme="majorEastAsia"/>
          <w:sz w:val="20"/>
          <w:szCs w:val="20"/>
        </w:rPr>
        <w:t xml:space="preserve"> – Scoring Rationale</w:t>
      </w:r>
    </w:p>
    <w:p w:rsidRPr="00AE1207" w:rsidR="00F20EEC" w:rsidP="00F20EEC" w:rsidRDefault="00F20EEC" w14:paraId="2CF00BA7" w14:textId="4E6C2EE5">
      <w:pPr>
        <w:ind w:left="720"/>
        <w:rPr>
          <w:rFonts w:eastAsiaTheme="majorEastAsia"/>
        </w:rPr>
      </w:pPr>
      <w:r w:rsidRPr="00AE1207">
        <w:rPr>
          <w:rFonts w:eastAsiaTheme="majorEastAsia"/>
        </w:rPr>
        <w:t xml:space="preserve">The answers provided by every Tenderer to each question of the Tender Evaluation Stage will be marked in accordance with Table </w:t>
      </w:r>
      <w:r w:rsidRPr="00AE1207" w:rsidR="00BA6458">
        <w:rPr>
          <w:rFonts w:eastAsiaTheme="majorEastAsia"/>
        </w:rPr>
        <w:t>5</w:t>
      </w:r>
      <w:r w:rsidRPr="00AE1207" w:rsidR="00A95900">
        <w:rPr>
          <w:rFonts w:eastAsiaTheme="majorEastAsia"/>
          <w:sz w:val="20"/>
          <w:szCs w:val="20"/>
        </w:rPr>
        <w:t xml:space="preserve"> </w:t>
      </w:r>
      <w:r w:rsidRPr="00AE1207" w:rsidR="00A95900">
        <w:rPr>
          <w:rFonts w:eastAsiaTheme="majorEastAsia"/>
        </w:rPr>
        <w:t>– Scoring Rationale</w:t>
      </w:r>
      <w:r w:rsidRPr="00AE1207">
        <w:rPr>
          <w:rFonts w:eastAsiaTheme="majorEastAsia"/>
        </w:rPr>
        <w:t>.</w:t>
      </w:r>
    </w:p>
    <w:p w:rsidRPr="00AE1207" w:rsidR="00F20EEC" w:rsidP="00F20EEC" w:rsidRDefault="00F20EEC" w14:paraId="4BE59978" w14:textId="1D96750B">
      <w:pPr>
        <w:ind w:left="720"/>
        <w:rPr>
          <w:rFonts w:eastAsiaTheme="majorEastAsia"/>
        </w:rPr>
      </w:pPr>
      <w:r w:rsidRPr="00AE1207">
        <w:rPr>
          <w:rFonts w:eastAsiaTheme="majorEastAsia"/>
        </w:rPr>
        <w:t xml:space="preserve">The score achieved and the weighing for each question will be used to calculate a weighted quality score </w:t>
      </w:r>
      <w:r w:rsidRPr="00AE1207" w:rsidR="00C81E4B">
        <w:rPr>
          <w:rFonts w:eastAsiaTheme="majorEastAsia"/>
        </w:rPr>
        <w:t>percentage</w:t>
      </w:r>
      <w:r w:rsidRPr="00AE1207">
        <w:rPr>
          <w:rFonts w:eastAsiaTheme="majorEastAsia"/>
        </w:rPr>
        <w:t>.</w:t>
      </w:r>
    </w:p>
    <w:p w:rsidRPr="00AE1207" w:rsidR="00F20EEC" w:rsidP="00F20EEC" w:rsidRDefault="00F20EEC" w14:paraId="423D6809" w14:textId="77777777">
      <w:pPr>
        <w:ind w:left="720"/>
        <w:rPr>
          <w:rFonts w:eastAsiaTheme="majorEastAsia"/>
        </w:rPr>
      </w:pPr>
      <w:r w:rsidRPr="00AE1207">
        <w:rPr>
          <w:rFonts w:eastAsiaTheme="majorEastAsia"/>
        </w:rPr>
        <w:t>Each weighted quality score will be added together to reach a Total Weighted Quality Score.</w:t>
      </w:r>
    </w:p>
    <w:p w:rsidRPr="00AE1207" w:rsidR="00F20EEC" w:rsidP="00F20EEC" w:rsidRDefault="00F20EEC" w14:paraId="7AA4D486" w14:textId="582F9317">
      <w:pPr>
        <w:ind w:left="720"/>
        <w:rPr>
          <w:rFonts w:eastAsiaTheme="majorEastAsia"/>
        </w:rPr>
      </w:pPr>
      <w:r w:rsidRPr="00AE1207">
        <w:rPr>
          <w:rFonts w:eastAsiaTheme="majorEastAsia"/>
        </w:rPr>
        <w:t xml:space="preserve">This will be multiplied by the quality section weighting to arrive at the Overall Quality Score </w:t>
      </w:r>
      <w:r w:rsidRPr="00AE1207" w:rsidR="00C81E4B">
        <w:rPr>
          <w:rFonts w:eastAsiaTheme="majorEastAsia"/>
        </w:rPr>
        <w:t>percent</w:t>
      </w:r>
      <w:r w:rsidRPr="00AE1207" w:rsidR="0057482A">
        <w:rPr>
          <w:rFonts w:eastAsiaTheme="majorEastAsia"/>
        </w:rPr>
        <w:t>age.</w:t>
      </w:r>
    </w:p>
    <w:p w:rsidRPr="00AE1207" w:rsidR="00F20EEC" w:rsidP="00F20EEC" w:rsidRDefault="00F20EEC" w14:paraId="207A0148" w14:textId="77777777">
      <w:pPr>
        <w:ind w:left="720"/>
        <w:rPr>
          <w:rFonts w:eastAsiaTheme="majorEastAsia"/>
        </w:rPr>
      </w:pPr>
      <w:r w:rsidRPr="00AE1207">
        <w:rPr>
          <w:rFonts w:eastAsiaTheme="majorEastAsia"/>
        </w:rPr>
        <w:t>This weighted quality score will be used to identify the Tenderer’s relative positions.</w:t>
      </w:r>
    </w:p>
    <w:tbl>
      <w:tblPr>
        <w:tblStyle w:val="ListTable3"/>
        <w:tblW w:w="8460" w:type="dxa"/>
        <w:tblInd w:w="607" w:type="dxa"/>
        <w:tblLook w:val="0000" w:firstRow="0" w:lastRow="0" w:firstColumn="0" w:lastColumn="0" w:noHBand="0" w:noVBand="0"/>
      </w:tblPr>
      <w:tblGrid>
        <w:gridCol w:w="1276"/>
        <w:gridCol w:w="1418"/>
        <w:gridCol w:w="1230"/>
        <w:gridCol w:w="1560"/>
        <w:gridCol w:w="1275"/>
        <w:gridCol w:w="1701"/>
      </w:tblGrid>
      <w:tr w:rsidRPr="00AE1207" w:rsidR="00CC2C42" w:rsidTr="006F5008" w14:paraId="5A1D8E9C"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60" w:type="dxa"/>
            <w:gridSpan w:val="6"/>
            <w:shd w:val="clear" w:color="auto" w:fill="1F3864" w:themeFill="accent1" w:themeFillShade="80"/>
          </w:tcPr>
          <w:p w:rsidRPr="00AE1207" w:rsidR="00CC2C42" w:rsidP="00E8198B" w:rsidRDefault="00CC2C42" w14:paraId="5E541103" w14:textId="55AC192A">
            <w:pPr>
              <w:pStyle w:val="NoSpacing"/>
              <w:rPr>
                <w:b/>
                <w:bCs/>
                <w:sz w:val="18"/>
                <w:szCs w:val="18"/>
                <w:u w:val="single"/>
              </w:rPr>
            </w:pPr>
            <w:r w:rsidRPr="00AE1207">
              <w:rPr>
                <w:b/>
                <w:bCs/>
              </w:rPr>
              <w:t xml:space="preserve">Worked Example </w:t>
            </w:r>
            <w:r w:rsidRPr="00AE1207">
              <w:t>(For example purposes only</w:t>
            </w:r>
            <w:r w:rsidR="00415285">
              <w:t xml:space="preserve">, </w:t>
            </w:r>
            <w:r w:rsidRPr="00415285" w:rsidR="00415285">
              <w:t>not related to this tender</w:t>
            </w:r>
            <w:r w:rsidRPr="00AE1207">
              <w:t>)</w:t>
            </w:r>
          </w:p>
        </w:tc>
      </w:tr>
      <w:tr w:rsidRPr="00AE1207" w:rsidR="00CC2C42" w:rsidTr="006F5008" w14:paraId="55730536" w14:textId="77777777">
        <w:tc>
          <w:tcPr>
            <w:cnfStyle w:val="000010000000" w:firstRow="0" w:lastRow="0" w:firstColumn="0" w:lastColumn="0" w:oddVBand="1" w:evenVBand="0" w:oddHBand="0" w:evenHBand="0" w:firstRowFirstColumn="0" w:firstRowLastColumn="0" w:lastRowFirstColumn="0" w:lastRowLastColumn="0"/>
            <w:tcW w:w="8460" w:type="dxa"/>
            <w:gridSpan w:val="6"/>
          </w:tcPr>
          <w:p w:rsidRPr="00AE1207" w:rsidR="00CC2C42" w:rsidP="00E8198B" w:rsidRDefault="00CC2C42" w14:paraId="3AF4CD71" w14:textId="77777777">
            <w:pPr>
              <w:spacing w:after="160" w:line="259" w:lineRule="auto"/>
              <w:rPr>
                <w:b/>
                <w:bCs/>
                <w:sz w:val="18"/>
                <w:szCs w:val="18"/>
              </w:rPr>
            </w:pPr>
            <w:r w:rsidRPr="00AE1207">
              <w:rPr>
                <w:b/>
                <w:bCs/>
                <w:i/>
                <w:sz w:val="18"/>
                <w:szCs w:val="18"/>
              </w:rPr>
              <w:t>The formula</w:t>
            </w:r>
            <w:r w:rsidRPr="00AE1207">
              <w:rPr>
                <w:b/>
                <w:bCs/>
                <w:sz w:val="18"/>
                <w:szCs w:val="18"/>
              </w:rPr>
              <w:t>:</w:t>
            </w:r>
          </w:p>
          <w:p w:rsidRPr="00AE1207" w:rsidR="00CC2C42" w:rsidP="00E8198B" w:rsidRDefault="00CC2C42" w14:paraId="5C7A2890" w14:textId="77777777">
            <w:pPr>
              <w:spacing w:after="160" w:line="259" w:lineRule="auto"/>
              <w:rPr>
                <w:i/>
                <w:sz w:val="18"/>
                <w:szCs w:val="18"/>
                <w:u w:val="single"/>
              </w:rPr>
            </w:pPr>
            <w:r w:rsidRPr="00AE1207">
              <w:rPr>
                <w:i/>
                <w:sz w:val="18"/>
                <w:szCs w:val="18"/>
              </w:rPr>
              <w:t xml:space="preserve">(Score of question being evaluated/Maximum points available for question) x question weighing = Weighted score.  Sum of weighted scores * Quality section % weighing = </w:t>
            </w:r>
            <w:r w:rsidRPr="00AE1207">
              <w:rPr>
                <w:b/>
                <w:bCs/>
                <w:i/>
                <w:sz w:val="18"/>
                <w:szCs w:val="18"/>
              </w:rPr>
              <w:t>Overall Quality Score %</w:t>
            </w:r>
          </w:p>
        </w:tc>
      </w:tr>
      <w:tr w:rsidRPr="00AE1207" w:rsidR="00CC2C42" w:rsidTr="006F5008" w14:paraId="58E20EB4"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694" w:type="dxa"/>
            <w:gridSpan w:val="2"/>
            <w:shd w:val="clear" w:color="auto" w:fill="1F3864" w:themeFill="accent1" w:themeFillShade="80"/>
          </w:tcPr>
          <w:p w:rsidRPr="00AE1207" w:rsidR="00CC2C42" w:rsidP="00E8198B" w:rsidRDefault="00CC2C42" w14:paraId="389BCDD9" w14:textId="77777777">
            <w:pPr>
              <w:spacing w:after="160" w:line="259" w:lineRule="auto"/>
              <w:rPr>
                <w:i/>
                <w:sz w:val="18"/>
                <w:szCs w:val="18"/>
              </w:rPr>
            </w:pPr>
          </w:p>
        </w:tc>
        <w:tc>
          <w:tcPr>
            <w:tcW w:w="2790" w:type="dxa"/>
            <w:gridSpan w:val="2"/>
            <w:shd w:val="clear" w:color="auto" w:fill="1F3864" w:themeFill="accent1" w:themeFillShade="80"/>
          </w:tcPr>
          <w:p w:rsidRPr="00AE1207" w:rsidR="00CC2C42" w:rsidP="00E8198B" w:rsidRDefault="00CC2C42" w14:paraId="4C34C085"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iCs/>
                <w:color w:val="FFFFFF" w:themeColor="background1"/>
                <w:sz w:val="18"/>
                <w:szCs w:val="18"/>
              </w:rPr>
            </w:pPr>
            <w:r w:rsidRPr="00AE1207">
              <w:rPr>
                <w:b/>
                <w:bCs/>
                <w:iCs/>
                <w:color w:val="FFFFFF" w:themeColor="background1"/>
                <w:sz w:val="18"/>
                <w:szCs w:val="18"/>
              </w:rPr>
              <w:t>Tenderer 1</w:t>
            </w:r>
          </w:p>
        </w:tc>
        <w:tc>
          <w:tcPr>
            <w:cnfStyle w:val="000010000000" w:firstRow="0" w:lastRow="0" w:firstColumn="0" w:lastColumn="0" w:oddVBand="1" w:evenVBand="0" w:oddHBand="0" w:evenHBand="0" w:firstRowFirstColumn="0" w:firstRowLastColumn="0" w:lastRowFirstColumn="0" w:lastRowLastColumn="0"/>
            <w:tcW w:w="2976" w:type="dxa"/>
            <w:gridSpan w:val="2"/>
            <w:shd w:val="clear" w:color="auto" w:fill="1F3864" w:themeFill="accent1" w:themeFillShade="80"/>
          </w:tcPr>
          <w:p w:rsidRPr="00AE1207" w:rsidR="00CC2C42" w:rsidP="00E8198B" w:rsidRDefault="00CC2C42" w14:paraId="1ECA7B1F" w14:textId="77777777">
            <w:pPr>
              <w:spacing w:after="160" w:line="259" w:lineRule="auto"/>
              <w:rPr>
                <w:b/>
                <w:bCs/>
                <w:iCs/>
                <w:color w:val="FFFFFF" w:themeColor="background1"/>
                <w:sz w:val="18"/>
                <w:szCs w:val="18"/>
              </w:rPr>
            </w:pPr>
            <w:r w:rsidRPr="00AE1207">
              <w:rPr>
                <w:b/>
                <w:bCs/>
                <w:iCs/>
                <w:color w:val="FFFFFF" w:themeColor="background1"/>
                <w:sz w:val="18"/>
                <w:szCs w:val="18"/>
              </w:rPr>
              <w:t>Tenderer 2</w:t>
            </w:r>
          </w:p>
        </w:tc>
      </w:tr>
      <w:tr w:rsidRPr="00AE1207" w:rsidR="00CC2C42" w:rsidTr="006F5008" w14:paraId="5A51A37F" w14:textId="77777777">
        <w:trPr>
          <w:trHeight w:val="330"/>
        </w:trPr>
        <w:tc>
          <w:tcPr>
            <w:cnfStyle w:val="000010000000" w:firstRow="0" w:lastRow="0" w:firstColumn="0" w:lastColumn="0" w:oddVBand="1" w:evenVBand="0" w:oddHBand="0" w:evenHBand="0" w:firstRowFirstColumn="0" w:firstRowLastColumn="0" w:lastRowFirstColumn="0" w:lastRowLastColumn="0"/>
            <w:tcW w:w="1276" w:type="dxa"/>
            <w:shd w:val="clear" w:color="auto" w:fill="F2F2F2" w:themeFill="background1" w:themeFillShade="F2"/>
          </w:tcPr>
          <w:p w:rsidRPr="00AE1207" w:rsidR="00CC2C42" w:rsidP="00E8198B" w:rsidRDefault="00CC2C42" w14:paraId="735B034D" w14:textId="77777777">
            <w:pPr>
              <w:spacing w:after="160" w:line="259" w:lineRule="auto"/>
              <w:rPr>
                <w:iCs/>
                <w:sz w:val="18"/>
                <w:szCs w:val="18"/>
              </w:rPr>
            </w:pPr>
            <w:r w:rsidRPr="00AE1207">
              <w:rPr>
                <w:iCs/>
                <w:sz w:val="18"/>
                <w:szCs w:val="18"/>
              </w:rPr>
              <w:t>Question 1</w:t>
            </w:r>
          </w:p>
        </w:tc>
        <w:tc>
          <w:tcPr>
            <w:tcW w:w="1418" w:type="dxa"/>
            <w:shd w:val="clear" w:color="auto" w:fill="F2F2F2" w:themeFill="background1" w:themeFillShade="F2"/>
          </w:tcPr>
          <w:p w:rsidRPr="00AE1207" w:rsidR="00CC2C42" w:rsidP="00E8198B" w:rsidRDefault="00CC2C42" w14:paraId="059AA11B" w14:textId="77777777">
            <w:pPr>
              <w:spacing w:after="160" w:line="259" w:lineRule="auto"/>
              <w:cnfStyle w:val="000000000000" w:firstRow="0" w:lastRow="0" w:firstColumn="0" w:lastColumn="0" w:oddVBand="0" w:evenVBand="0" w:oddHBand="0" w:evenHBand="0" w:firstRowFirstColumn="0" w:firstRowLastColumn="0" w:lastRowFirstColumn="0" w:lastRowLastColumn="0"/>
              <w:rPr>
                <w:iCs/>
                <w:sz w:val="18"/>
                <w:szCs w:val="18"/>
              </w:rPr>
            </w:pPr>
            <w:r w:rsidRPr="00AE1207">
              <w:rPr>
                <w:iCs/>
                <w:sz w:val="18"/>
                <w:szCs w:val="18"/>
              </w:rPr>
              <w:t>Weighting: 10%</w:t>
            </w:r>
          </w:p>
        </w:tc>
        <w:tc>
          <w:tcPr>
            <w:cnfStyle w:val="000010000000" w:firstRow="0" w:lastRow="0" w:firstColumn="0" w:lastColumn="0" w:oddVBand="1" w:evenVBand="0" w:oddHBand="0" w:evenHBand="0" w:firstRowFirstColumn="0" w:firstRowLastColumn="0" w:lastRowFirstColumn="0" w:lastRowLastColumn="0"/>
            <w:tcW w:w="1230" w:type="dxa"/>
          </w:tcPr>
          <w:p w:rsidRPr="00AE1207" w:rsidR="00CC2C42" w:rsidP="00E8198B" w:rsidRDefault="00CC2C42" w14:paraId="18232D4D" w14:textId="77777777">
            <w:pPr>
              <w:spacing w:after="160" w:line="259" w:lineRule="auto"/>
              <w:rPr>
                <w:iCs/>
                <w:sz w:val="18"/>
                <w:szCs w:val="18"/>
              </w:rPr>
            </w:pPr>
            <w:r w:rsidRPr="00AE1207">
              <w:rPr>
                <w:iCs/>
                <w:sz w:val="18"/>
                <w:szCs w:val="18"/>
              </w:rPr>
              <w:t>Score: 10/10</w:t>
            </w:r>
          </w:p>
        </w:tc>
        <w:tc>
          <w:tcPr>
            <w:tcW w:w="1560" w:type="dxa"/>
          </w:tcPr>
          <w:p w:rsidRPr="00AE1207" w:rsidR="00CC2C42" w:rsidP="00E8198B" w:rsidRDefault="00CC2C42" w14:paraId="188DA80F" w14:textId="77777777">
            <w:pPr>
              <w:spacing w:after="160" w:line="259" w:lineRule="auto"/>
              <w:cnfStyle w:val="000000000000" w:firstRow="0" w:lastRow="0" w:firstColumn="0" w:lastColumn="0" w:oddVBand="0" w:evenVBand="0" w:oddHBand="0" w:evenHBand="0" w:firstRowFirstColumn="0" w:firstRowLastColumn="0" w:lastRowFirstColumn="0" w:lastRowLastColumn="0"/>
              <w:rPr>
                <w:iCs/>
                <w:sz w:val="18"/>
                <w:szCs w:val="18"/>
              </w:rPr>
            </w:pPr>
            <w:r w:rsidRPr="00AE1207">
              <w:rPr>
                <w:iCs/>
                <w:sz w:val="18"/>
                <w:szCs w:val="18"/>
              </w:rPr>
              <w:t>Weighted score: 10%</w:t>
            </w:r>
          </w:p>
        </w:tc>
        <w:tc>
          <w:tcPr>
            <w:cnfStyle w:val="000010000000" w:firstRow="0" w:lastRow="0" w:firstColumn="0" w:lastColumn="0" w:oddVBand="1" w:evenVBand="0" w:oddHBand="0" w:evenHBand="0" w:firstRowFirstColumn="0" w:firstRowLastColumn="0" w:lastRowFirstColumn="0" w:lastRowLastColumn="0"/>
            <w:tcW w:w="1275" w:type="dxa"/>
          </w:tcPr>
          <w:p w:rsidRPr="00AE1207" w:rsidR="00CC2C42" w:rsidP="00E8198B" w:rsidRDefault="00CC2C42" w14:paraId="0D750D10" w14:textId="77777777">
            <w:pPr>
              <w:spacing w:after="160" w:line="259" w:lineRule="auto"/>
              <w:ind w:left="-41" w:firstLine="41"/>
              <w:rPr>
                <w:iCs/>
                <w:sz w:val="18"/>
                <w:szCs w:val="18"/>
              </w:rPr>
            </w:pPr>
            <w:r w:rsidRPr="00AE1207">
              <w:rPr>
                <w:iCs/>
                <w:sz w:val="18"/>
                <w:szCs w:val="18"/>
              </w:rPr>
              <w:t>Score: 5/10</w:t>
            </w:r>
          </w:p>
        </w:tc>
        <w:tc>
          <w:tcPr>
            <w:tcW w:w="1701" w:type="dxa"/>
          </w:tcPr>
          <w:p w:rsidRPr="00AE1207" w:rsidR="00CC2C42" w:rsidP="00E8198B" w:rsidRDefault="00CC2C42" w14:paraId="5E82C879" w14:textId="77777777">
            <w:pPr>
              <w:spacing w:after="160" w:line="259" w:lineRule="auto"/>
              <w:cnfStyle w:val="000000000000" w:firstRow="0" w:lastRow="0" w:firstColumn="0" w:lastColumn="0" w:oddVBand="0" w:evenVBand="0" w:oddHBand="0" w:evenHBand="0" w:firstRowFirstColumn="0" w:firstRowLastColumn="0" w:lastRowFirstColumn="0" w:lastRowLastColumn="0"/>
              <w:rPr>
                <w:iCs/>
                <w:sz w:val="18"/>
                <w:szCs w:val="18"/>
              </w:rPr>
            </w:pPr>
            <w:r w:rsidRPr="00AE1207">
              <w:rPr>
                <w:iCs/>
                <w:sz w:val="18"/>
                <w:szCs w:val="18"/>
              </w:rPr>
              <w:t>Weighted score: 5%</w:t>
            </w:r>
          </w:p>
        </w:tc>
      </w:tr>
      <w:tr w:rsidRPr="00AE1207" w:rsidR="00CC2C42" w:rsidTr="006F5008" w14:paraId="59EFDD85"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1276" w:type="dxa"/>
            <w:shd w:val="clear" w:color="auto" w:fill="F2F2F2" w:themeFill="background1" w:themeFillShade="F2"/>
          </w:tcPr>
          <w:p w:rsidRPr="00AE1207" w:rsidR="00CC2C42" w:rsidP="00E8198B" w:rsidRDefault="00CC2C42" w14:paraId="08FA1B4D" w14:textId="77777777">
            <w:pPr>
              <w:spacing w:after="160" w:line="259" w:lineRule="auto"/>
              <w:rPr>
                <w:iCs/>
                <w:sz w:val="18"/>
                <w:szCs w:val="18"/>
              </w:rPr>
            </w:pPr>
            <w:r w:rsidRPr="00AE1207">
              <w:rPr>
                <w:iCs/>
                <w:sz w:val="18"/>
                <w:szCs w:val="18"/>
              </w:rPr>
              <w:t>Question 2</w:t>
            </w:r>
          </w:p>
        </w:tc>
        <w:tc>
          <w:tcPr>
            <w:tcW w:w="1418" w:type="dxa"/>
            <w:shd w:val="clear" w:color="auto" w:fill="F2F2F2" w:themeFill="background1" w:themeFillShade="F2"/>
          </w:tcPr>
          <w:p w:rsidRPr="00AE1207" w:rsidR="00CC2C42" w:rsidP="00E8198B" w:rsidRDefault="00CC2C42" w14:paraId="7DF61C7B" w14:textId="77777777">
            <w:pPr>
              <w:spacing w:after="160" w:line="259" w:lineRule="auto"/>
              <w:cnfStyle w:val="000000100000" w:firstRow="0" w:lastRow="0" w:firstColumn="0" w:lastColumn="0" w:oddVBand="0" w:evenVBand="0" w:oddHBand="1" w:evenHBand="0" w:firstRowFirstColumn="0" w:firstRowLastColumn="0" w:lastRowFirstColumn="0" w:lastRowLastColumn="0"/>
              <w:rPr>
                <w:iCs/>
                <w:sz w:val="18"/>
                <w:szCs w:val="18"/>
              </w:rPr>
            </w:pPr>
            <w:r w:rsidRPr="00AE1207">
              <w:rPr>
                <w:iCs/>
                <w:sz w:val="18"/>
                <w:szCs w:val="18"/>
              </w:rPr>
              <w:t>Weighting: 10%</w:t>
            </w:r>
          </w:p>
        </w:tc>
        <w:tc>
          <w:tcPr>
            <w:cnfStyle w:val="000010000000" w:firstRow="0" w:lastRow="0" w:firstColumn="0" w:lastColumn="0" w:oddVBand="1" w:evenVBand="0" w:oddHBand="0" w:evenHBand="0" w:firstRowFirstColumn="0" w:firstRowLastColumn="0" w:lastRowFirstColumn="0" w:lastRowLastColumn="0"/>
            <w:tcW w:w="1230" w:type="dxa"/>
          </w:tcPr>
          <w:p w:rsidRPr="00AE1207" w:rsidR="00CC2C42" w:rsidP="00E8198B" w:rsidRDefault="00CC2C42" w14:paraId="65AF8DC5" w14:textId="77777777">
            <w:pPr>
              <w:spacing w:after="160" w:line="259" w:lineRule="auto"/>
              <w:rPr>
                <w:iCs/>
                <w:sz w:val="18"/>
                <w:szCs w:val="18"/>
              </w:rPr>
            </w:pPr>
            <w:r w:rsidRPr="00AE1207">
              <w:rPr>
                <w:iCs/>
                <w:sz w:val="18"/>
                <w:szCs w:val="18"/>
              </w:rPr>
              <w:t>Score: 5/10</w:t>
            </w:r>
          </w:p>
        </w:tc>
        <w:tc>
          <w:tcPr>
            <w:tcW w:w="1560" w:type="dxa"/>
          </w:tcPr>
          <w:p w:rsidRPr="00AE1207" w:rsidR="00CC2C42" w:rsidP="00E8198B" w:rsidRDefault="00CC2C42" w14:paraId="1ADEBEC5" w14:textId="77777777">
            <w:pPr>
              <w:spacing w:after="160" w:line="259" w:lineRule="auto"/>
              <w:cnfStyle w:val="000000100000" w:firstRow="0" w:lastRow="0" w:firstColumn="0" w:lastColumn="0" w:oddVBand="0" w:evenVBand="0" w:oddHBand="1" w:evenHBand="0" w:firstRowFirstColumn="0" w:firstRowLastColumn="0" w:lastRowFirstColumn="0" w:lastRowLastColumn="0"/>
              <w:rPr>
                <w:iCs/>
                <w:sz w:val="18"/>
                <w:szCs w:val="18"/>
              </w:rPr>
            </w:pPr>
            <w:r w:rsidRPr="00AE1207">
              <w:rPr>
                <w:iCs/>
                <w:sz w:val="18"/>
                <w:szCs w:val="18"/>
              </w:rPr>
              <w:t>Weighted score: 5%</w:t>
            </w:r>
          </w:p>
        </w:tc>
        <w:tc>
          <w:tcPr>
            <w:cnfStyle w:val="000010000000" w:firstRow="0" w:lastRow="0" w:firstColumn="0" w:lastColumn="0" w:oddVBand="1" w:evenVBand="0" w:oddHBand="0" w:evenHBand="0" w:firstRowFirstColumn="0" w:firstRowLastColumn="0" w:lastRowFirstColumn="0" w:lastRowLastColumn="0"/>
            <w:tcW w:w="1275" w:type="dxa"/>
          </w:tcPr>
          <w:p w:rsidRPr="00AE1207" w:rsidR="00CC2C42" w:rsidP="00E8198B" w:rsidRDefault="00CC2C42" w14:paraId="6E495D3C" w14:textId="77777777">
            <w:pPr>
              <w:spacing w:after="160" w:line="259" w:lineRule="auto"/>
              <w:rPr>
                <w:iCs/>
                <w:sz w:val="18"/>
                <w:szCs w:val="18"/>
              </w:rPr>
            </w:pPr>
            <w:r w:rsidRPr="00AE1207">
              <w:rPr>
                <w:iCs/>
                <w:sz w:val="18"/>
                <w:szCs w:val="18"/>
              </w:rPr>
              <w:t>Score: 10/10</w:t>
            </w:r>
          </w:p>
        </w:tc>
        <w:tc>
          <w:tcPr>
            <w:tcW w:w="1701" w:type="dxa"/>
          </w:tcPr>
          <w:p w:rsidRPr="00AE1207" w:rsidR="00CC2C42" w:rsidP="00E8198B" w:rsidRDefault="00CC2C42" w14:paraId="0F8AC68E" w14:textId="77777777">
            <w:pPr>
              <w:spacing w:after="160" w:line="259" w:lineRule="auto"/>
              <w:cnfStyle w:val="000000100000" w:firstRow="0" w:lastRow="0" w:firstColumn="0" w:lastColumn="0" w:oddVBand="0" w:evenVBand="0" w:oddHBand="1" w:evenHBand="0" w:firstRowFirstColumn="0" w:firstRowLastColumn="0" w:lastRowFirstColumn="0" w:lastRowLastColumn="0"/>
              <w:rPr>
                <w:iCs/>
                <w:sz w:val="18"/>
                <w:szCs w:val="18"/>
              </w:rPr>
            </w:pPr>
            <w:r w:rsidRPr="00AE1207">
              <w:rPr>
                <w:iCs/>
                <w:sz w:val="18"/>
                <w:szCs w:val="18"/>
              </w:rPr>
              <w:t>Weighted score: 10%</w:t>
            </w:r>
          </w:p>
        </w:tc>
      </w:tr>
      <w:tr w:rsidRPr="00AE1207" w:rsidR="00CC2C42" w:rsidTr="006F5008" w14:paraId="3AB4D5F7" w14:textId="77777777">
        <w:trPr>
          <w:trHeight w:val="330"/>
        </w:trPr>
        <w:tc>
          <w:tcPr>
            <w:cnfStyle w:val="000010000000" w:firstRow="0" w:lastRow="0" w:firstColumn="0" w:lastColumn="0" w:oddVBand="1" w:evenVBand="0" w:oddHBand="0" w:evenHBand="0" w:firstRowFirstColumn="0" w:firstRowLastColumn="0" w:lastRowFirstColumn="0" w:lastRowLastColumn="0"/>
            <w:tcW w:w="1276" w:type="dxa"/>
            <w:shd w:val="clear" w:color="auto" w:fill="F2F2F2" w:themeFill="background1" w:themeFillShade="F2"/>
          </w:tcPr>
          <w:p w:rsidRPr="00AE1207" w:rsidR="00CC2C42" w:rsidP="00E8198B" w:rsidRDefault="00CC2C42" w14:paraId="62123066" w14:textId="77777777">
            <w:pPr>
              <w:spacing w:after="160" w:line="259" w:lineRule="auto"/>
              <w:rPr>
                <w:iCs/>
                <w:sz w:val="18"/>
                <w:szCs w:val="18"/>
              </w:rPr>
            </w:pPr>
            <w:r w:rsidRPr="00AE1207">
              <w:rPr>
                <w:iCs/>
                <w:sz w:val="18"/>
                <w:szCs w:val="18"/>
              </w:rPr>
              <w:t>Question 3</w:t>
            </w:r>
          </w:p>
        </w:tc>
        <w:tc>
          <w:tcPr>
            <w:tcW w:w="1418" w:type="dxa"/>
            <w:shd w:val="clear" w:color="auto" w:fill="F2F2F2" w:themeFill="background1" w:themeFillShade="F2"/>
          </w:tcPr>
          <w:p w:rsidRPr="00AE1207" w:rsidR="00CC2C42" w:rsidP="00E8198B" w:rsidRDefault="00CC2C42" w14:paraId="6ED7A746" w14:textId="77777777">
            <w:pPr>
              <w:spacing w:after="160" w:line="259" w:lineRule="auto"/>
              <w:cnfStyle w:val="000000000000" w:firstRow="0" w:lastRow="0" w:firstColumn="0" w:lastColumn="0" w:oddVBand="0" w:evenVBand="0" w:oddHBand="0" w:evenHBand="0" w:firstRowFirstColumn="0" w:firstRowLastColumn="0" w:lastRowFirstColumn="0" w:lastRowLastColumn="0"/>
              <w:rPr>
                <w:iCs/>
                <w:sz w:val="18"/>
                <w:szCs w:val="18"/>
              </w:rPr>
            </w:pPr>
            <w:r w:rsidRPr="00AE1207">
              <w:rPr>
                <w:iCs/>
                <w:sz w:val="18"/>
                <w:szCs w:val="18"/>
              </w:rPr>
              <w:t>Weighting: 20%</w:t>
            </w:r>
          </w:p>
        </w:tc>
        <w:tc>
          <w:tcPr>
            <w:cnfStyle w:val="000010000000" w:firstRow="0" w:lastRow="0" w:firstColumn="0" w:lastColumn="0" w:oddVBand="1" w:evenVBand="0" w:oddHBand="0" w:evenHBand="0" w:firstRowFirstColumn="0" w:firstRowLastColumn="0" w:lastRowFirstColumn="0" w:lastRowLastColumn="0"/>
            <w:tcW w:w="1230" w:type="dxa"/>
          </w:tcPr>
          <w:p w:rsidRPr="00AE1207" w:rsidR="00CC2C42" w:rsidP="00E8198B" w:rsidRDefault="00CC2C42" w14:paraId="623909AF" w14:textId="77777777">
            <w:pPr>
              <w:spacing w:after="160" w:line="259" w:lineRule="auto"/>
              <w:rPr>
                <w:iCs/>
                <w:sz w:val="18"/>
                <w:szCs w:val="18"/>
              </w:rPr>
            </w:pPr>
            <w:r w:rsidRPr="00AE1207">
              <w:rPr>
                <w:iCs/>
                <w:sz w:val="18"/>
                <w:szCs w:val="18"/>
              </w:rPr>
              <w:t>Score: 5/10</w:t>
            </w:r>
          </w:p>
        </w:tc>
        <w:tc>
          <w:tcPr>
            <w:tcW w:w="1560" w:type="dxa"/>
          </w:tcPr>
          <w:p w:rsidRPr="00AE1207" w:rsidR="00CC2C42" w:rsidP="00E8198B" w:rsidRDefault="00CC2C42" w14:paraId="41357616" w14:textId="77777777">
            <w:pPr>
              <w:spacing w:after="160" w:line="259" w:lineRule="auto"/>
              <w:cnfStyle w:val="000000000000" w:firstRow="0" w:lastRow="0" w:firstColumn="0" w:lastColumn="0" w:oddVBand="0" w:evenVBand="0" w:oddHBand="0" w:evenHBand="0" w:firstRowFirstColumn="0" w:firstRowLastColumn="0" w:lastRowFirstColumn="0" w:lastRowLastColumn="0"/>
              <w:rPr>
                <w:iCs/>
                <w:sz w:val="18"/>
                <w:szCs w:val="18"/>
              </w:rPr>
            </w:pPr>
            <w:r w:rsidRPr="00AE1207">
              <w:rPr>
                <w:iCs/>
                <w:sz w:val="18"/>
                <w:szCs w:val="18"/>
              </w:rPr>
              <w:t>Weighted score: 10%</w:t>
            </w:r>
          </w:p>
        </w:tc>
        <w:tc>
          <w:tcPr>
            <w:cnfStyle w:val="000010000000" w:firstRow="0" w:lastRow="0" w:firstColumn="0" w:lastColumn="0" w:oddVBand="1" w:evenVBand="0" w:oddHBand="0" w:evenHBand="0" w:firstRowFirstColumn="0" w:firstRowLastColumn="0" w:lastRowFirstColumn="0" w:lastRowLastColumn="0"/>
            <w:tcW w:w="1275" w:type="dxa"/>
          </w:tcPr>
          <w:p w:rsidRPr="00AE1207" w:rsidR="00CC2C42" w:rsidP="00E8198B" w:rsidRDefault="00CC2C42" w14:paraId="3AFFF8F8" w14:textId="77777777">
            <w:pPr>
              <w:spacing w:after="160" w:line="259" w:lineRule="auto"/>
              <w:rPr>
                <w:iCs/>
                <w:sz w:val="18"/>
                <w:szCs w:val="18"/>
              </w:rPr>
            </w:pPr>
            <w:r w:rsidRPr="00AE1207">
              <w:rPr>
                <w:iCs/>
                <w:sz w:val="18"/>
                <w:szCs w:val="18"/>
              </w:rPr>
              <w:t>Score: 7/10</w:t>
            </w:r>
          </w:p>
        </w:tc>
        <w:tc>
          <w:tcPr>
            <w:tcW w:w="1701" w:type="dxa"/>
          </w:tcPr>
          <w:p w:rsidRPr="00AE1207" w:rsidR="00CC2C42" w:rsidP="00E8198B" w:rsidRDefault="00CC2C42" w14:paraId="08FF06CF" w14:textId="77777777">
            <w:pPr>
              <w:spacing w:after="160" w:line="259" w:lineRule="auto"/>
              <w:cnfStyle w:val="000000000000" w:firstRow="0" w:lastRow="0" w:firstColumn="0" w:lastColumn="0" w:oddVBand="0" w:evenVBand="0" w:oddHBand="0" w:evenHBand="0" w:firstRowFirstColumn="0" w:firstRowLastColumn="0" w:lastRowFirstColumn="0" w:lastRowLastColumn="0"/>
              <w:rPr>
                <w:iCs/>
                <w:sz w:val="18"/>
                <w:szCs w:val="18"/>
              </w:rPr>
            </w:pPr>
            <w:r w:rsidRPr="00AE1207">
              <w:rPr>
                <w:iCs/>
                <w:sz w:val="18"/>
                <w:szCs w:val="18"/>
              </w:rPr>
              <w:t>Weighted score: 14%</w:t>
            </w:r>
          </w:p>
        </w:tc>
      </w:tr>
      <w:tr w:rsidRPr="00AE1207" w:rsidR="00CC2C42" w:rsidTr="006F5008" w14:paraId="74D8A1A6"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694" w:type="dxa"/>
            <w:gridSpan w:val="2"/>
            <w:shd w:val="clear" w:color="auto" w:fill="BFBFBF" w:themeFill="background1" w:themeFillShade="BF"/>
            <w:vAlign w:val="center"/>
          </w:tcPr>
          <w:p w:rsidRPr="00AE1207" w:rsidR="00CC2C42" w:rsidP="00E8198B" w:rsidRDefault="00CC2C42" w14:paraId="4681495C" w14:textId="77777777">
            <w:pPr>
              <w:spacing w:after="160" w:line="259" w:lineRule="auto"/>
              <w:rPr>
                <w:b/>
                <w:bCs/>
                <w:i/>
                <w:sz w:val="18"/>
                <w:szCs w:val="18"/>
              </w:rPr>
            </w:pPr>
            <w:r w:rsidRPr="00AE1207">
              <w:rPr>
                <w:b/>
                <w:bCs/>
                <w:i/>
                <w:sz w:val="18"/>
                <w:szCs w:val="18"/>
              </w:rPr>
              <w:t>Quality section weighting out of 40%</w:t>
            </w:r>
          </w:p>
        </w:tc>
        <w:tc>
          <w:tcPr>
            <w:tcW w:w="2790" w:type="dxa"/>
            <w:gridSpan w:val="2"/>
            <w:shd w:val="clear" w:color="auto" w:fill="BFBFBF" w:themeFill="background1" w:themeFillShade="BF"/>
            <w:vAlign w:val="center"/>
          </w:tcPr>
          <w:p w:rsidRPr="00AE1207" w:rsidR="00CC2C42" w:rsidP="00E8198B" w:rsidRDefault="00CC2C42" w14:paraId="68E82616"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i/>
                <w:sz w:val="18"/>
                <w:szCs w:val="18"/>
              </w:rPr>
            </w:pPr>
            <w:r w:rsidRPr="00AE1207">
              <w:rPr>
                <w:b/>
                <w:bCs/>
                <w:i/>
                <w:sz w:val="18"/>
                <w:szCs w:val="18"/>
              </w:rPr>
              <w:t xml:space="preserve">10%+5%+10% = </w:t>
            </w:r>
            <w:r w:rsidRPr="00AE1207">
              <w:rPr>
                <w:b/>
                <w:bCs/>
                <w:i/>
                <w:color w:val="FF0000"/>
                <w:sz w:val="18"/>
                <w:szCs w:val="18"/>
              </w:rPr>
              <w:t>25% Overall Weighted Score %</w:t>
            </w:r>
          </w:p>
        </w:tc>
        <w:tc>
          <w:tcPr>
            <w:cnfStyle w:val="000010000000" w:firstRow="0" w:lastRow="0" w:firstColumn="0" w:lastColumn="0" w:oddVBand="1" w:evenVBand="0" w:oddHBand="0" w:evenHBand="0" w:firstRowFirstColumn="0" w:firstRowLastColumn="0" w:lastRowFirstColumn="0" w:lastRowLastColumn="0"/>
            <w:tcW w:w="2976" w:type="dxa"/>
            <w:gridSpan w:val="2"/>
            <w:shd w:val="clear" w:color="auto" w:fill="BFBFBF" w:themeFill="background1" w:themeFillShade="BF"/>
            <w:vAlign w:val="center"/>
          </w:tcPr>
          <w:p w:rsidRPr="00AE1207" w:rsidR="00CC2C42" w:rsidP="00E8198B" w:rsidRDefault="00CC2C42" w14:paraId="2D0A07C3" w14:textId="77777777">
            <w:pPr>
              <w:spacing w:after="160" w:line="259" w:lineRule="auto"/>
              <w:rPr>
                <w:b/>
                <w:bCs/>
                <w:i/>
                <w:sz w:val="18"/>
                <w:szCs w:val="18"/>
              </w:rPr>
            </w:pPr>
            <w:r w:rsidRPr="00AE1207">
              <w:rPr>
                <w:b/>
                <w:bCs/>
                <w:i/>
                <w:sz w:val="18"/>
                <w:szCs w:val="18"/>
              </w:rPr>
              <w:t xml:space="preserve">5%+ 10%+14% = </w:t>
            </w:r>
            <w:r w:rsidRPr="00AE1207">
              <w:rPr>
                <w:b/>
                <w:bCs/>
                <w:i/>
                <w:color w:val="FF0000"/>
                <w:sz w:val="18"/>
                <w:szCs w:val="18"/>
              </w:rPr>
              <w:t>29% Overall Weighted Score %</w:t>
            </w:r>
          </w:p>
        </w:tc>
      </w:tr>
    </w:tbl>
    <w:p w:rsidRPr="00AE1207" w:rsidR="00CC2C42" w:rsidP="006F5008" w:rsidRDefault="006F5008" w14:paraId="563C31EC" w14:textId="3278C68D">
      <w:pPr>
        <w:ind w:left="720"/>
        <w:jc w:val="right"/>
        <w:rPr>
          <w:rFonts w:eastAsiaTheme="majorEastAsia"/>
          <w:sz w:val="20"/>
          <w:szCs w:val="20"/>
        </w:rPr>
      </w:pPr>
      <w:r w:rsidRPr="00AE1207">
        <w:rPr>
          <w:rFonts w:eastAsiaTheme="majorEastAsia"/>
          <w:sz w:val="20"/>
          <w:szCs w:val="20"/>
        </w:rPr>
        <w:t xml:space="preserve">Table 6 – Quality Evaluation </w:t>
      </w:r>
    </w:p>
    <w:p w:rsidRPr="00AE1207" w:rsidR="00E16A9D" w:rsidP="00612CBF" w:rsidRDefault="00E16A9D" w14:paraId="6B7F9580" w14:textId="3196FDA4" w14:noSpellErr="1">
      <w:pPr>
        <w:pStyle w:val="Heading3"/>
        <w:numPr>
          <w:ilvl w:val="2"/>
          <w:numId w:val="1"/>
        </w:numPr>
        <w:spacing w:line="360" w:lineRule="auto"/>
        <w:rPr>
          <w:color w:val="1F4E79" w:themeColor="accent5" w:themeShade="80"/>
        </w:rPr>
      </w:pPr>
      <w:bookmarkStart w:name="_Toc1844090009" w:id="1916512394"/>
      <w:r w:rsidRPr="1871EEFA" w:rsidR="00E16A9D">
        <w:rPr>
          <w:color w:val="1F4E79" w:themeColor="accent5" w:themeTint="FF" w:themeShade="80"/>
        </w:rPr>
        <w:t xml:space="preserve">Part </w:t>
      </w:r>
      <w:r w:rsidRPr="1871EEFA" w:rsidR="00D865ED">
        <w:rPr>
          <w:color w:val="1F4E79" w:themeColor="accent5" w:themeTint="FF" w:themeShade="80"/>
        </w:rPr>
        <w:t xml:space="preserve">Three </w:t>
      </w:r>
      <w:r w:rsidRPr="1871EEFA" w:rsidR="00E16A9D">
        <w:rPr>
          <w:color w:val="1F4E79" w:themeColor="accent5" w:themeTint="FF" w:themeShade="80"/>
        </w:rPr>
        <w:t>– Price Evaluation</w:t>
      </w:r>
      <w:bookmarkEnd w:id="1916512394"/>
      <w:r w:rsidRPr="1871EEFA" w:rsidR="00E16A9D">
        <w:rPr>
          <w:color w:val="1F4E79" w:themeColor="accent5" w:themeTint="FF" w:themeShade="80"/>
        </w:rPr>
        <w:t xml:space="preserve"> </w:t>
      </w:r>
    </w:p>
    <w:p w:rsidRPr="00AE1207" w:rsidR="00571C02" w:rsidP="00571C02" w:rsidRDefault="00571C02" w14:paraId="6CD9F517" w14:textId="14F91431">
      <w:pPr>
        <w:ind w:left="720"/>
        <w:rPr>
          <w:rFonts w:eastAsiaTheme="majorEastAsia"/>
        </w:rPr>
      </w:pPr>
      <w:r w:rsidRPr="00AE1207">
        <w:rPr>
          <w:rFonts w:eastAsiaTheme="majorEastAsia"/>
        </w:rPr>
        <w:t>Tenderers must complete</w:t>
      </w:r>
      <w:r w:rsidRPr="00AE1207" w:rsidR="003B105B">
        <w:rPr>
          <w:rFonts w:eastAsiaTheme="majorEastAsia"/>
        </w:rPr>
        <w:t xml:space="preserve"> the Priced Schedule</w:t>
      </w:r>
      <w:r w:rsidRPr="00AE1207">
        <w:rPr>
          <w:rFonts w:eastAsiaTheme="majorEastAsia"/>
        </w:rPr>
        <w:t xml:space="preserve"> in relation to the Price evaluation. Tenderers must state in the Priced Schedule the ‘</w:t>
      </w:r>
      <w:r w:rsidRPr="00AE1207" w:rsidR="00366F37">
        <w:rPr>
          <w:rFonts w:eastAsiaTheme="majorEastAsia"/>
        </w:rPr>
        <w:t>T</w:t>
      </w:r>
      <w:r w:rsidRPr="00AE1207">
        <w:rPr>
          <w:rFonts w:eastAsiaTheme="majorEastAsia"/>
        </w:rPr>
        <w:t xml:space="preserve">otal </w:t>
      </w:r>
      <w:r w:rsidRPr="00AE1207" w:rsidR="00366F37">
        <w:rPr>
          <w:rFonts w:eastAsiaTheme="majorEastAsia"/>
        </w:rPr>
        <w:t>T</w:t>
      </w:r>
      <w:r w:rsidRPr="00AE1207">
        <w:rPr>
          <w:rFonts w:eastAsiaTheme="majorEastAsia"/>
        </w:rPr>
        <w:t xml:space="preserve">ender </w:t>
      </w:r>
      <w:r w:rsidRPr="00AE1207" w:rsidR="00366F37">
        <w:rPr>
          <w:rFonts w:eastAsiaTheme="majorEastAsia"/>
        </w:rPr>
        <w:t>S</w:t>
      </w:r>
      <w:r w:rsidRPr="00AE1207">
        <w:rPr>
          <w:rFonts w:eastAsiaTheme="majorEastAsia"/>
        </w:rPr>
        <w:t xml:space="preserve">um’ </w:t>
      </w:r>
      <w:proofErr w:type="gramStart"/>
      <w:r w:rsidRPr="00AE1207">
        <w:rPr>
          <w:rFonts w:eastAsiaTheme="majorEastAsia"/>
        </w:rPr>
        <w:t>and also</w:t>
      </w:r>
      <w:proofErr w:type="gramEnd"/>
      <w:r w:rsidRPr="00AE1207">
        <w:rPr>
          <w:rFonts w:eastAsiaTheme="majorEastAsia"/>
        </w:rPr>
        <w:t xml:space="preserve"> carry this forward to the </w:t>
      </w:r>
      <w:r w:rsidRPr="00974800" w:rsidR="00974800">
        <w:rPr>
          <w:rFonts w:eastAsiaTheme="majorEastAsia"/>
        </w:rPr>
        <w:t>Tender Declaration</w:t>
      </w:r>
      <w:r w:rsidRPr="00AE1207">
        <w:rPr>
          <w:rFonts w:eastAsiaTheme="majorEastAsia"/>
        </w:rPr>
        <w:t>.</w:t>
      </w:r>
    </w:p>
    <w:p w:rsidRPr="00AE1207" w:rsidR="00281861" w:rsidP="00571C02" w:rsidRDefault="008E05BD" w14:paraId="4D93D606" w14:textId="6F3B273A">
      <w:pPr>
        <w:ind w:left="720"/>
        <w:rPr>
          <w:rFonts w:eastAsiaTheme="majorEastAsia"/>
        </w:rPr>
      </w:pPr>
      <w:r w:rsidRPr="00AE1207">
        <w:rPr>
          <w:rFonts w:eastAsiaTheme="majorEastAsia"/>
        </w:rPr>
        <w:t xml:space="preserve">The maximum </w:t>
      </w:r>
      <w:r w:rsidRPr="00AE1207" w:rsidR="00FC70F9">
        <w:rPr>
          <w:rFonts w:eastAsiaTheme="majorEastAsia"/>
        </w:rPr>
        <w:t xml:space="preserve">allocated price </w:t>
      </w:r>
      <w:r w:rsidRPr="00AE1207">
        <w:rPr>
          <w:rFonts w:eastAsiaTheme="majorEastAsia"/>
        </w:rPr>
        <w:t xml:space="preserve">percentage </w:t>
      </w:r>
      <w:r w:rsidRPr="00AE1207" w:rsidR="00FC70F9">
        <w:rPr>
          <w:rFonts w:eastAsiaTheme="majorEastAsia"/>
        </w:rPr>
        <w:t xml:space="preserve">will be </w:t>
      </w:r>
      <w:r w:rsidRPr="00AE1207" w:rsidR="00571C02">
        <w:rPr>
          <w:rFonts w:eastAsiaTheme="majorEastAsia"/>
        </w:rPr>
        <w:t>alloca</w:t>
      </w:r>
      <w:r w:rsidRPr="00AE1207" w:rsidR="00FC70F9">
        <w:rPr>
          <w:rFonts w:eastAsiaTheme="majorEastAsia"/>
        </w:rPr>
        <w:t xml:space="preserve">ted </w:t>
      </w:r>
      <w:r w:rsidRPr="00AE1207" w:rsidR="00A95198">
        <w:rPr>
          <w:rFonts w:eastAsiaTheme="majorEastAsia"/>
        </w:rPr>
        <w:t xml:space="preserve">to </w:t>
      </w:r>
      <w:r w:rsidRPr="00AE1207" w:rsidR="00571C02">
        <w:rPr>
          <w:rFonts w:eastAsiaTheme="majorEastAsia"/>
        </w:rPr>
        <w:t>the lowest ‘</w:t>
      </w:r>
      <w:r w:rsidRPr="00AE1207" w:rsidR="00366F37">
        <w:rPr>
          <w:rFonts w:eastAsiaTheme="majorEastAsia"/>
        </w:rPr>
        <w:t>T</w:t>
      </w:r>
      <w:r w:rsidRPr="00AE1207" w:rsidR="00571C02">
        <w:rPr>
          <w:rFonts w:eastAsiaTheme="majorEastAsia"/>
        </w:rPr>
        <w:t xml:space="preserve">otal </w:t>
      </w:r>
      <w:r w:rsidRPr="00AE1207" w:rsidR="00366F37">
        <w:rPr>
          <w:rFonts w:eastAsiaTheme="majorEastAsia"/>
        </w:rPr>
        <w:t>T</w:t>
      </w:r>
      <w:r w:rsidRPr="00AE1207" w:rsidR="00571C02">
        <w:rPr>
          <w:rFonts w:eastAsiaTheme="majorEastAsia"/>
        </w:rPr>
        <w:t xml:space="preserve">ender </w:t>
      </w:r>
      <w:r w:rsidRPr="00AE1207" w:rsidR="00366F37">
        <w:rPr>
          <w:rFonts w:eastAsiaTheme="majorEastAsia"/>
        </w:rPr>
        <w:t>S</w:t>
      </w:r>
      <w:r w:rsidRPr="00AE1207" w:rsidR="00571C02">
        <w:rPr>
          <w:rFonts w:eastAsiaTheme="majorEastAsia"/>
        </w:rPr>
        <w:t xml:space="preserve">um’, stated on </w:t>
      </w:r>
      <w:r w:rsidRPr="00AE1207" w:rsidR="00B52727">
        <w:rPr>
          <w:rFonts w:eastAsiaTheme="majorEastAsia"/>
        </w:rPr>
        <w:t xml:space="preserve">Tenderers </w:t>
      </w:r>
      <w:r w:rsidRPr="00974800" w:rsidR="00974800">
        <w:rPr>
          <w:rFonts w:eastAsiaTheme="majorEastAsia"/>
        </w:rPr>
        <w:t>Tender Declaration</w:t>
      </w:r>
      <w:r w:rsidRPr="00AE1207" w:rsidR="00B52727">
        <w:rPr>
          <w:rFonts w:eastAsiaTheme="majorEastAsia"/>
        </w:rPr>
        <w:t xml:space="preserve">, </w:t>
      </w:r>
      <w:r w:rsidRPr="00AE1207" w:rsidR="008C0AEE">
        <w:rPr>
          <w:rFonts w:eastAsiaTheme="majorEastAsia"/>
        </w:rPr>
        <w:t xml:space="preserve">remaining </w:t>
      </w:r>
      <w:r w:rsidRPr="00AE1207" w:rsidR="00533B59">
        <w:rPr>
          <w:rFonts w:eastAsiaTheme="majorEastAsia"/>
        </w:rPr>
        <w:t xml:space="preserve">bids will be allocated </w:t>
      </w:r>
      <w:r w:rsidRPr="00AE1207" w:rsidR="00571C02">
        <w:rPr>
          <w:rFonts w:eastAsiaTheme="majorEastAsia"/>
        </w:rPr>
        <w:t xml:space="preserve">price points </w:t>
      </w:r>
      <w:r w:rsidRPr="00AE1207" w:rsidR="00533B59">
        <w:rPr>
          <w:rFonts w:eastAsiaTheme="majorEastAsia"/>
        </w:rPr>
        <w:t>calculated off</w:t>
      </w:r>
      <w:r w:rsidRPr="00AE1207" w:rsidR="00571C02">
        <w:rPr>
          <w:rFonts w:eastAsiaTheme="majorEastAsia"/>
        </w:rPr>
        <w:t xml:space="preserve"> the remaining Tenderers scores in relation to this scale.</w:t>
      </w:r>
    </w:p>
    <w:tbl>
      <w:tblPr>
        <w:tblStyle w:val="ListTable3"/>
        <w:tblpPr w:leftFromText="180" w:rightFromText="180" w:vertAnchor="text" w:horzAnchor="margin" w:tblpXSpec="right" w:tblpY="-44"/>
        <w:tblW w:w="8359" w:type="dxa"/>
        <w:tblLook w:val="0000" w:firstRow="0" w:lastRow="0" w:firstColumn="0" w:lastColumn="0" w:noHBand="0" w:noVBand="0"/>
      </w:tblPr>
      <w:tblGrid>
        <w:gridCol w:w="8359"/>
      </w:tblGrid>
      <w:tr w:rsidRPr="00AE1207" w:rsidR="00AE20B6" w:rsidTr="00AE20B6" w14:paraId="07B1C837"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8359" w:type="dxa"/>
            <w:shd w:val="clear" w:color="auto" w:fill="1F3864" w:themeFill="accent1" w:themeFillShade="80"/>
          </w:tcPr>
          <w:p w:rsidRPr="00AE1207" w:rsidR="00AE20B6" w:rsidP="00E8198B" w:rsidRDefault="00AE20B6" w14:paraId="3F465182" w14:textId="7BD4EC4A">
            <w:pPr>
              <w:pStyle w:val="NoSpacing"/>
              <w:rPr>
                <w:b/>
                <w:bCs/>
                <w:u w:val="single"/>
              </w:rPr>
            </w:pPr>
            <w:r w:rsidRPr="00AE1207">
              <w:rPr>
                <w:b/>
                <w:bCs/>
              </w:rPr>
              <w:t xml:space="preserve">Worked Example </w:t>
            </w:r>
            <w:r w:rsidRPr="00AE1207">
              <w:t xml:space="preserve">(For example purposes </w:t>
            </w:r>
            <w:r w:rsidRPr="00415285">
              <w:t>only</w:t>
            </w:r>
            <w:r w:rsidR="00415285">
              <w:t>,</w:t>
            </w:r>
            <w:r w:rsidRPr="00415285" w:rsidR="00415285">
              <w:t xml:space="preserve"> not related to this tender</w:t>
            </w:r>
            <w:r w:rsidRPr="00415285">
              <w:t>)</w:t>
            </w:r>
          </w:p>
        </w:tc>
      </w:tr>
      <w:tr w:rsidRPr="00AE1207" w:rsidR="00AE20B6" w:rsidTr="00AE20B6" w14:paraId="2AB7FE90" w14:textId="77777777">
        <w:trPr>
          <w:trHeight w:val="931"/>
        </w:trPr>
        <w:tc>
          <w:tcPr>
            <w:cnfStyle w:val="000010000000" w:firstRow="0" w:lastRow="0" w:firstColumn="0" w:lastColumn="0" w:oddVBand="1" w:evenVBand="0" w:oddHBand="0" w:evenHBand="0" w:firstRowFirstColumn="0" w:firstRowLastColumn="0" w:lastRowFirstColumn="0" w:lastRowLastColumn="0"/>
            <w:tcW w:w="8359" w:type="dxa"/>
          </w:tcPr>
          <w:p w:rsidRPr="00AE1207" w:rsidR="00AE20B6" w:rsidP="00E8198B" w:rsidRDefault="00AE20B6" w14:paraId="4A5A8D3E" w14:textId="77777777">
            <w:pPr>
              <w:spacing w:after="160" w:line="259" w:lineRule="auto"/>
            </w:pPr>
            <w:r w:rsidRPr="00AE1207">
              <w:t>Tenderer 1 Total Tender Sum = £80,000.00</w:t>
            </w:r>
          </w:p>
          <w:p w:rsidRPr="00AE1207" w:rsidR="00AE20B6" w:rsidP="00E8198B" w:rsidRDefault="00AE20B6" w14:paraId="0EE96442" w14:textId="77777777">
            <w:pPr>
              <w:spacing w:after="160" w:line="259" w:lineRule="auto"/>
            </w:pPr>
            <w:r w:rsidRPr="00AE1207">
              <w:t>Tenderer 2 Total Tender Sum = £50,000.00</w:t>
            </w:r>
          </w:p>
        </w:tc>
      </w:tr>
      <w:tr w:rsidRPr="00AE1207" w:rsidR="00AE20B6" w:rsidTr="00AE20B6" w14:paraId="25575893" w14:textId="77777777">
        <w:trPr>
          <w:cnfStyle w:val="000000100000" w:firstRow="0" w:lastRow="0" w:firstColumn="0" w:lastColumn="0" w:oddVBand="0" w:evenVBand="0" w:oddHBand="1" w:evenHBand="0" w:firstRowFirstColumn="0" w:firstRowLastColumn="0" w:lastRowFirstColumn="0" w:lastRowLastColumn="0"/>
          <w:trHeight w:val="918"/>
        </w:trPr>
        <w:tc>
          <w:tcPr>
            <w:cnfStyle w:val="000010000000" w:firstRow="0" w:lastRow="0" w:firstColumn="0" w:lastColumn="0" w:oddVBand="1" w:evenVBand="0" w:oddHBand="0" w:evenHBand="0" w:firstRowFirstColumn="0" w:firstRowLastColumn="0" w:lastRowFirstColumn="0" w:lastRowLastColumn="0"/>
            <w:tcW w:w="8359" w:type="dxa"/>
          </w:tcPr>
          <w:p w:rsidRPr="00AE1207" w:rsidR="00AE20B6" w:rsidP="00E8198B" w:rsidRDefault="00AE20B6" w14:paraId="6FAD91D5" w14:textId="77777777">
            <w:pPr>
              <w:spacing w:after="160" w:line="259" w:lineRule="auto"/>
              <w:rPr>
                <w:i/>
              </w:rPr>
            </w:pPr>
            <w:r w:rsidRPr="00AE1207">
              <w:rPr>
                <w:i/>
              </w:rPr>
              <w:t>The formula:</w:t>
            </w:r>
          </w:p>
          <w:p w:rsidRPr="00AE1207" w:rsidR="00AE20B6" w:rsidP="00E8198B" w:rsidRDefault="00AE20B6" w14:paraId="70C08912" w14:textId="77777777">
            <w:pPr>
              <w:spacing w:after="160" w:line="259" w:lineRule="auto"/>
              <w:rPr>
                <w:i/>
              </w:rPr>
            </w:pPr>
            <w:r w:rsidRPr="00AE1207">
              <w:rPr>
                <w:i/>
              </w:rPr>
              <w:t>Lowest priced bid/ price of Tenderer being evaluated x 60%</w:t>
            </w:r>
          </w:p>
        </w:tc>
      </w:tr>
      <w:tr w:rsidRPr="00AE1207" w:rsidR="00AE20B6" w:rsidTr="00AE20B6" w14:paraId="2CDD7632" w14:textId="77777777">
        <w:trPr>
          <w:trHeight w:val="1369"/>
        </w:trPr>
        <w:tc>
          <w:tcPr>
            <w:cnfStyle w:val="000010000000" w:firstRow="0" w:lastRow="0" w:firstColumn="0" w:lastColumn="0" w:oddVBand="1" w:evenVBand="0" w:oddHBand="0" w:evenHBand="0" w:firstRowFirstColumn="0" w:firstRowLastColumn="0" w:lastRowFirstColumn="0" w:lastRowLastColumn="0"/>
            <w:tcW w:w="8359" w:type="dxa"/>
            <w:shd w:val="clear" w:color="auto" w:fill="BFBFBF" w:themeFill="background1" w:themeFillShade="BF"/>
          </w:tcPr>
          <w:p w:rsidRPr="00AE1207" w:rsidR="00AE20B6" w:rsidP="00E8198B" w:rsidRDefault="00AE20B6" w14:paraId="22EDBB92" w14:textId="77777777">
            <w:pPr>
              <w:pStyle w:val="NoSpacing"/>
            </w:pPr>
            <w:r w:rsidRPr="00AE1207">
              <w:t>The Scores:</w:t>
            </w:r>
          </w:p>
          <w:p w:rsidRPr="00AE1207" w:rsidR="00AE20B6" w:rsidP="00E8198B" w:rsidRDefault="00AE20B6" w14:paraId="1541A469" w14:textId="77777777">
            <w:pPr>
              <w:pStyle w:val="NoSpacing"/>
            </w:pPr>
          </w:p>
          <w:p w:rsidRPr="00AE1207" w:rsidR="00AE20B6" w:rsidP="00E8198B" w:rsidRDefault="00AE20B6" w14:paraId="124D17DB" w14:textId="77777777">
            <w:pPr>
              <w:pStyle w:val="NoSpacing"/>
            </w:pPr>
            <w:r w:rsidRPr="00AE1207">
              <w:t>Tenderer 1 = 50,000/80,000 x 60% = 37.50%</w:t>
            </w:r>
          </w:p>
          <w:p w:rsidRPr="00AE1207" w:rsidR="00AE20B6" w:rsidP="00E8198B" w:rsidRDefault="00AE20B6" w14:paraId="3298D984" w14:textId="77777777">
            <w:pPr>
              <w:pStyle w:val="NoSpacing"/>
              <w:rPr>
                <w:lang w:val="de-DE"/>
              </w:rPr>
            </w:pPr>
            <w:r w:rsidRPr="00AE1207">
              <w:rPr>
                <w:lang w:val="de-DE"/>
              </w:rPr>
              <w:t>Tenderer 2 = 50,000/50,000 x 60% = 60.00%</w:t>
            </w:r>
          </w:p>
        </w:tc>
      </w:tr>
    </w:tbl>
    <w:p w:rsidRPr="00AE1207" w:rsidR="00681CD1" w:rsidP="00681CD1" w:rsidRDefault="00681CD1" w14:paraId="31D96BAB" w14:textId="77D44BEF">
      <w:pPr>
        <w:ind w:left="720"/>
        <w:jc w:val="right"/>
        <w:rPr>
          <w:rFonts w:eastAsiaTheme="majorEastAsia"/>
          <w:sz w:val="20"/>
          <w:szCs w:val="20"/>
        </w:rPr>
      </w:pPr>
      <w:r w:rsidRPr="00AE1207">
        <w:rPr>
          <w:rFonts w:eastAsiaTheme="majorEastAsia"/>
          <w:sz w:val="20"/>
          <w:szCs w:val="20"/>
        </w:rPr>
        <w:t xml:space="preserve">Table 7 – Price Evaluation </w:t>
      </w:r>
    </w:p>
    <w:p w:rsidRPr="00AE1207" w:rsidR="007C17AF" w:rsidP="00571C02" w:rsidRDefault="00BA781A" w14:paraId="7C374EC3" w14:textId="525A582F">
      <w:pPr>
        <w:ind w:left="720"/>
        <w:rPr>
          <w:rFonts w:eastAsiaTheme="majorEastAsia"/>
        </w:rPr>
      </w:pPr>
      <w:r w:rsidRPr="00AE1207">
        <w:rPr>
          <w:rFonts w:eastAsiaTheme="majorEastAsia"/>
        </w:rPr>
        <w:t xml:space="preserve">Any price deemed abnormally low will be investigated in accordance with the Regulations and </w:t>
      </w:r>
      <w:r w:rsidRPr="00AE1207" w:rsidR="00CD0C1B">
        <w:rPr>
          <w:rFonts w:eastAsiaTheme="majorEastAsia"/>
        </w:rPr>
        <w:t xml:space="preserve">Barcud Shared Services </w:t>
      </w:r>
      <w:r w:rsidRPr="00AE1207">
        <w:rPr>
          <w:rFonts w:eastAsiaTheme="majorEastAsia"/>
        </w:rPr>
        <w:t>reserves the right to reject any bid deemed to be “abnormally low” following the investigation that finds the prices stated are “abnormally low”.</w:t>
      </w:r>
    </w:p>
    <w:p w:rsidRPr="00AE1207" w:rsidR="00EB7262" w:rsidP="00612CBF" w:rsidRDefault="00EB7262" w14:paraId="29B62195" w14:textId="38D6E85B" w14:noSpellErr="1">
      <w:pPr>
        <w:pStyle w:val="Heading2"/>
        <w:numPr>
          <w:ilvl w:val="1"/>
          <w:numId w:val="1"/>
        </w:numPr>
        <w:spacing w:line="360" w:lineRule="auto"/>
        <w:rPr>
          <w:color w:val="1F4E79" w:themeColor="accent5" w:themeShade="80"/>
        </w:rPr>
      </w:pPr>
      <w:bookmarkStart w:name="_Toc1799870441" w:id="1682388218"/>
      <w:r w:rsidRPr="1871EEFA" w:rsidR="00EB7262">
        <w:rPr>
          <w:color w:val="1F4E79" w:themeColor="accent5" w:themeTint="FF" w:themeShade="80"/>
        </w:rPr>
        <w:t xml:space="preserve">Overall </w:t>
      </w:r>
      <w:r w:rsidRPr="1871EEFA" w:rsidR="00681CD1">
        <w:rPr>
          <w:color w:val="1F4E79" w:themeColor="accent5" w:themeTint="FF" w:themeShade="80"/>
        </w:rPr>
        <w:t>S</w:t>
      </w:r>
      <w:r w:rsidRPr="1871EEFA" w:rsidR="00EB7262">
        <w:rPr>
          <w:color w:val="1F4E79" w:themeColor="accent5" w:themeTint="FF" w:themeShade="80"/>
        </w:rPr>
        <w:t>coring</w:t>
      </w:r>
      <w:bookmarkEnd w:id="1682388218"/>
    </w:p>
    <w:p w:rsidRPr="00AE1207" w:rsidR="0006143D" w:rsidP="0006143D" w:rsidRDefault="0006143D" w14:paraId="7705C75F" w14:textId="77777777">
      <w:pPr>
        <w:rPr>
          <w:rFonts w:eastAsiaTheme="majorEastAsia"/>
        </w:rPr>
      </w:pPr>
      <w:r w:rsidRPr="00AE1207">
        <w:rPr>
          <w:rFonts w:eastAsiaTheme="majorEastAsia"/>
        </w:rPr>
        <w:t>Each Tenderer’s score from both the Quality and the Price Evaluation stages will be added together to obtain an overall tender score out of 100%</w:t>
      </w:r>
    </w:p>
    <w:p w:rsidRPr="00AE1207" w:rsidR="0006143D" w:rsidP="0006143D" w:rsidRDefault="0006143D" w14:paraId="33BE7249" w14:textId="77777777">
      <w:pPr>
        <w:rPr>
          <w:rFonts w:eastAsiaTheme="majorEastAsia"/>
        </w:rPr>
      </w:pPr>
      <w:r w:rsidRPr="00AE1207">
        <w:rPr>
          <w:rFonts w:eastAsiaTheme="majorEastAsia"/>
        </w:rPr>
        <w:t>Worked Example (For example purposes only):</w:t>
      </w:r>
    </w:p>
    <w:tbl>
      <w:tblPr>
        <w:tblStyle w:val="TableGrid"/>
        <w:tblW w:w="0" w:type="auto"/>
        <w:tblLook w:val="04A0" w:firstRow="1" w:lastRow="0" w:firstColumn="1" w:lastColumn="0" w:noHBand="0" w:noVBand="1"/>
      </w:tblPr>
      <w:tblGrid>
        <w:gridCol w:w="3005"/>
        <w:gridCol w:w="3005"/>
        <w:gridCol w:w="3006"/>
      </w:tblGrid>
      <w:tr w:rsidRPr="00AE1207" w:rsidR="0006143D" w:rsidTr="00E8198B" w14:paraId="1D7770C6" w14:textId="77777777">
        <w:tc>
          <w:tcPr>
            <w:tcW w:w="3005" w:type="dxa"/>
            <w:shd w:val="clear" w:color="auto" w:fill="1F3864" w:themeFill="accent1" w:themeFillShade="80"/>
          </w:tcPr>
          <w:p w:rsidRPr="00AE1207" w:rsidR="0006143D" w:rsidP="00E8198B" w:rsidRDefault="0006143D" w14:paraId="2C332E37" w14:textId="77777777">
            <w:pPr>
              <w:rPr>
                <w:b/>
                <w:bCs/>
              </w:rPr>
            </w:pPr>
            <w:r w:rsidRPr="00AE1207">
              <w:rPr>
                <w:b/>
                <w:bCs/>
              </w:rPr>
              <w:t>Evaluation Section</w:t>
            </w:r>
          </w:p>
        </w:tc>
        <w:tc>
          <w:tcPr>
            <w:tcW w:w="3005" w:type="dxa"/>
            <w:shd w:val="clear" w:color="auto" w:fill="1F3864" w:themeFill="accent1" w:themeFillShade="80"/>
          </w:tcPr>
          <w:p w:rsidRPr="00AE1207" w:rsidR="0006143D" w:rsidP="00E8198B" w:rsidRDefault="0006143D" w14:paraId="4280C9B3" w14:textId="77777777">
            <w:pPr>
              <w:rPr>
                <w:b/>
                <w:bCs/>
              </w:rPr>
            </w:pPr>
            <w:r w:rsidRPr="00AE1207">
              <w:rPr>
                <w:b/>
                <w:bCs/>
              </w:rPr>
              <w:t>Tenderer 1</w:t>
            </w:r>
          </w:p>
        </w:tc>
        <w:tc>
          <w:tcPr>
            <w:tcW w:w="3006" w:type="dxa"/>
            <w:shd w:val="clear" w:color="auto" w:fill="1F3864" w:themeFill="accent1" w:themeFillShade="80"/>
          </w:tcPr>
          <w:p w:rsidRPr="00AE1207" w:rsidR="0006143D" w:rsidP="00E8198B" w:rsidRDefault="0006143D" w14:paraId="61C6AA12" w14:textId="77777777">
            <w:pPr>
              <w:rPr>
                <w:b/>
                <w:bCs/>
              </w:rPr>
            </w:pPr>
            <w:r w:rsidRPr="00AE1207">
              <w:rPr>
                <w:b/>
                <w:bCs/>
              </w:rPr>
              <w:t>Tenderer 2</w:t>
            </w:r>
          </w:p>
        </w:tc>
      </w:tr>
      <w:tr w:rsidRPr="00AE1207" w:rsidR="0006143D" w:rsidTr="00E8198B" w14:paraId="26467943" w14:textId="77777777">
        <w:tc>
          <w:tcPr>
            <w:tcW w:w="3005" w:type="dxa"/>
          </w:tcPr>
          <w:p w:rsidRPr="00AE1207" w:rsidR="0006143D" w:rsidP="00E8198B" w:rsidRDefault="0006143D" w14:paraId="0A2E158E" w14:textId="77777777">
            <w:r w:rsidRPr="00AE1207">
              <w:t>Quality score</w:t>
            </w:r>
          </w:p>
        </w:tc>
        <w:tc>
          <w:tcPr>
            <w:tcW w:w="3005" w:type="dxa"/>
          </w:tcPr>
          <w:p w:rsidRPr="00AE1207" w:rsidR="0006143D" w:rsidP="00E8198B" w:rsidRDefault="0006143D" w14:paraId="24FD8FDA" w14:textId="77777777">
            <w:r w:rsidRPr="00AE1207">
              <w:t>25.00%</w:t>
            </w:r>
          </w:p>
        </w:tc>
        <w:tc>
          <w:tcPr>
            <w:tcW w:w="3006" w:type="dxa"/>
          </w:tcPr>
          <w:p w:rsidRPr="00AE1207" w:rsidR="0006143D" w:rsidP="00E8198B" w:rsidRDefault="0006143D" w14:paraId="2E845891" w14:textId="77777777">
            <w:r w:rsidRPr="00AE1207">
              <w:t>29.00%</w:t>
            </w:r>
          </w:p>
        </w:tc>
      </w:tr>
      <w:tr w:rsidRPr="00AE1207" w:rsidR="0006143D" w:rsidTr="00E8198B" w14:paraId="4D7DECA2" w14:textId="77777777">
        <w:tc>
          <w:tcPr>
            <w:tcW w:w="3005" w:type="dxa"/>
          </w:tcPr>
          <w:p w:rsidRPr="00AE1207" w:rsidR="0006143D" w:rsidP="00E8198B" w:rsidRDefault="0006143D" w14:paraId="78A6B6DC" w14:textId="77777777">
            <w:r w:rsidRPr="00AE1207">
              <w:t>Price score</w:t>
            </w:r>
          </w:p>
        </w:tc>
        <w:tc>
          <w:tcPr>
            <w:tcW w:w="3005" w:type="dxa"/>
          </w:tcPr>
          <w:p w:rsidRPr="00AE1207" w:rsidR="0006143D" w:rsidP="00E8198B" w:rsidRDefault="0006143D" w14:paraId="2EC2069E" w14:textId="77777777">
            <w:r w:rsidRPr="00AE1207">
              <w:t>37.50%</w:t>
            </w:r>
          </w:p>
        </w:tc>
        <w:tc>
          <w:tcPr>
            <w:tcW w:w="3006" w:type="dxa"/>
          </w:tcPr>
          <w:p w:rsidRPr="00AE1207" w:rsidR="0006143D" w:rsidP="00E8198B" w:rsidRDefault="0006143D" w14:paraId="64849611" w14:textId="77777777">
            <w:r w:rsidRPr="00AE1207">
              <w:t>60.00%</w:t>
            </w:r>
          </w:p>
        </w:tc>
      </w:tr>
      <w:tr w:rsidRPr="00AE1207" w:rsidR="0006143D" w:rsidTr="00E8198B" w14:paraId="6799D165" w14:textId="77777777">
        <w:tc>
          <w:tcPr>
            <w:tcW w:w="3005" w:type="dxa"/>
            <w:shd w:val="clear" w:color="auto" w:fill="D9D9D9" w:themeFill="background1" w:themeFillShade="D9"/>
          </w:tcPr>
          <w:p w:rsidRPr="00AE1207" w:rsidR="0006143D" w:rsidP="00E8198B" w:rsidRDefault="0006143D" w14:paraId="72EBD040" w14:textId="77777777">
            <w:r w:rsidRPr="00AE1207">
              <w:t>Overall tender score</w:t>
            </w:r>
          </w:p>
        </w:tc>
        <w:tc>
          <w:tcPr>
            <w:tcW w:w="3005" w:type="dxa"/>
            <w:shd w:val="clear" w:color="auto" w:fill="D9D9D9" w:themeFill="background1" w:themeFillShade="D9"/>
          </w:tcPr>
          <w:p w:rsidRPr="00AE1207" w:rsidR="0006143D" w:rsidP="00E8198B" w:rsidRDefault="0006143D" w14:paraId="5BA11970" w14:textId="77777777">
            <w:r w:rsidRPr="00AE1207">
              <w:t>62.50%</w:t>
            </w:r>
          </w:p>
        </w:tc>
        <w:tc>
          <w:tcPr>
            <w:tcW w:w="3006" w:type="dxa"/>
            <w:shd w:val="clear" w:color="auto" w:fill="D9D9D9" w:themeFill="background1" w:themeFillShade="D9"/>
          </w:tcPr>
          <w:p w:rsidRPr="00AE1207" w:rsidR="0006143D" w:rsidP="00E8198B" w:rsidRDefault="0006143D" w14:paraId="4E59D6FF" w14:textId="77777777">
            <w:r w:rsidRPr="00AE1207">
              <w:t>89.00%</w:t>
            </w:r>
          </w:p>
        </w:tc>
      </w:tr>
    </w:tbl>
    <w:p w:rsidRPr="00AE1207" w:rsidR="003C6A84" w:rsidP="1871EEFA" w:rsidRDefault="003C6A84" w14:paraId="14BD7113" w14:textId="3C99C72B">
      <w:pPr>
        <w:pStyle w:val="ListParagraph"/>
        <w:ind w:left="360"/>
        <w:jc w:val="right"/>
        <w:rPr>
          <w:rFonts w:eastAsia="游ゴシック Light" w:eastAsiaTheme="majorEastAsia"/>
          <w:sz w:val="20"/>
          <w:szCs w:val="20"/>
        </w:rPr>
        <w:sectPr w:rsidRPr="00AE1207" w:rsidR="003C6A84" w:rsidSect="00F6624D">
          <w:pgSz w:w="11906" w:h="16838" w:orient="portrait"/>
          <w:pgMar w:top="2268" w:right="1440" w:bottom="1440" w:left="1440" w:header="709" w:footer="709" w:gutter="0"/>
          <w:cols w:space="708"/>
          <w:docGrid w:linePitch="360"/>
        </w:sectPr>
      </w:pPr>
      <w:r w:rsidRPr="1871EEFA" w:rsidR="0006143D">
        <w:rPr>
          <w:rFonts w:eastAsia="游ゴシック Light" w:eastAsiaTheme="majorEastAsia"/>
          <w:sz w:val="20"/>
          <w:szCs w:val="20"/>
        </w:rPr>
        <w:t>Table 8 – Overall Scoring</w:t>
      </w:r>
    </w:p>
    <w:p w:rsidRPr="00AE1207" w:rsidR="0006143D" w:rsidP="00612CBF" w:rsidRDefault="003C6A84" w14:paraId="7B7316A9" w14:textId="67B072F5" w14:noSpellErr="1">
      <w:pPr>
        <w:pStyle w:val="Heading1"/>
        <w:numPr>
          <w:ilvl w:val="0"/>
          <w:numId w:val="1"/>
        </w:numPr>
        <w:spacing w:line="360" w:lineRule="auto"/>
        <w:rPr>
          <w:color w:val="1F4E79" w:themeColor="accent5" w:themeShade="80"/>
          <w:sz w:val="32"/>
          <w:szCs w:val="32"/>
        </w:rPr>
      </w:pPr>
      <w:bookmarkStart w:name="_Toc1529914280" w:id="398107474"/>
      <w:r w:rsidRPr="1871EEFA" w:rsidR="003C6A84">
        <w:rPr>
          <w:color w:val="1F4E79" w:themeColor="accent5" w:themeTint="FF" w:themeShade="80"/>
          <w:sz w:val="32"/>
          <w:szCs w:val="32"/>
        </w:rPr>
        <w:t>Tender Acceptance</w:t>
      </w:r>
      <w:bookmarkEnd w:id="398107474"/>
      <w:r w:rsidRPr="1871EEFA" w:rsidR="003C6A84">
        <w:rPr>
          <w:color w:val="1F4E79" w:themeColor="accent5" w:themeTint="FF" w:themeShade="80"/>
          <w:sz w:val="32"/>
          <w:szCs w:val="32"/>
        </w:rPr>
        <w:t xml:space="preserve"> </w:t>
      </w:r>
    </w:p>
    <w:p w:rsidRPr="00AE1207" w:rsidR="009B277E" w:rsidP="009B277E" w:rsidRDefault="009B277E" w14:paraId="46A8BD23" w14:textId="38B7456E">
      <w:pPr>
        <w:rPr>
          <w:rFonts w:eastAsiaTheme="majorEastAsia"/>
        </w:rPr>
      </w:pPr>
      <w:r w:rsidRPr="00AE1207">
        <w:rPr>
          <w:rFonts w:eastAsiaTheme="majorEastAsia"/>
        </w:rPr>
        <w:t xml:space="preserve">Acceptance of a Tender by Barcud Shared Services shall be communicated in writing to the successful Tenderer.   </w:t>
      </w:r>
    </w:p>
    <w:p w:rsidRPr="00AE1207" w:rsidR="009B277E" w:rsidP="009B277E" w:rsidRDefault="009B277E" w14:paraId="6F79514E" w14:textId="77777777">
      <w:pPr>
        <w:rPr>
          <w:rFonts w:eastAsiaTheme="majorEastAsia"/>
        </w:rPr>
      </w:pPr>
      <w:r w:rsidRPr="00AE1207">
        <w:rPr>
          <w:rFonts w:eastAsiaTheme="majorEastAsia"/>
        </w:rPr>
        <w:t xml:space="preserve">The successful Tenderer shall be notified of: </w:t>
      </w:r>
    </w:p>
    <w:p w:rsidRPr="00AE1207" w:rsidR="009B277E" w:rsidP="009B277E" w:rsidRDefault="009B277E" w14:paraId="5D93CEDD" w14:textId="77777777">
      <w:pPr>
        <w:pStyle w:val="ListParagraph"/>
        <w:numPr>
          <w:ilvl w:val="0"/>
          <w:numId w:val="18"/>
        </w:numPr>
        <w:rPr>
          <w:rFonts w:eastAsiaTheme="majorEastAsia"/>
        </w:rPr>
      </w:pPr>
      <w:r w:rsidRPr="00AE1207">
        <w:rPr>
          <w:rFonts w:eastAsiaTheme="majorEastAsia"/>
        </w:rPr>
        <w:t xml:space="preserve">The award criteria. </w:t>
      </w:r>
    </w:p>
    <w:p w:rsidRPr="00AE1207" w:rsidR="009B277E" w:rsidP="009B277E" w:rsidRDefault="009B277E" w14:paraId="1821CE84" w14:textId="3AC3BBB8">
      <w:pPr>
        <w:pStyle w:val="ListParagraph"/>
        <w:numPr>
          <w:ilvl w:val="0"/>
          <w:numId w:val="18"/>
        </w:numPr>
        <w:rPr>
          <w:rFonts w:eastAsiaTheme="majorEastAsia"/>
        </w:rPr>
      </w:pPr>
      <w:r w:rsidRPr="00AE1207">
        <w:rPr>
          <w:rFonts w:eastAsiaTheme="majorEastAsia"/>
        </w:rPr>
        <w:t xml:space="preserve">The score achieved during the </w:t>
      </w:r>
      <w:r w:rsidRPr="00AE1207" w:rsidR="00723BE8">
        <w:rPr>
          <w:rFonts w:eastAsiaTheme="majorEastAsia"/>
        </w:rPr>
        <w:t>evaluation.</w:t>
      </w:r>
      <w:r w:rsidRPr="00AE1207">
        <w:rPr>
          <w:rFonts w:eastAsiaTheme="majorEastAsia"/>
        </w:rPr>
        <w:t xml:space="preserve"> </w:t>
      </w:r>
    </w:p>
    <w:p w:rsidRPr="00AE1207" w:rsidR="009B277E" w:rsidP="009B277E" w:rsidRDefault="009B277E" w14:paraId="61E0D9BA" w14:textId="119F5705">
      <w:pPr>
        <w:pStyle w:val="ListParagraph"/>
        <w:numPr>
          <w:ilvl w:val="0"/>
          <w:numId w:val="18"/>
        </w:numPr>
        <w:rPr>
          <w:rFonts w:eastAsiaTheme="majorEastAsia"/>
        </w:rPr>
      </w:pPr>
      <w:r w:rsidRPr="00AE1207">
        <w:rPr>
          <w:rFonts w:eastAsiaTheme="majorEastAsia"/>
        </w:rPr>
        <w:t xml:space="preserve">Debrief on the quality </w:t>
      </w:r>
      <w:r w:rsidRPr="00AE1207" w:rsidR="00723BE8">
        <w:rPr>
          <w:rFonts w:eastAsiaTheme="majorEastAsia"/>
        </w:rPr>
        <w:t>score.</w:t>
      </w:r>
      <w:r w:rsidRPr="00AE1207">
        <w:rPr>
          <w:rFonts w:eastAsiaTheme="majorEastAsia"/>
        </w:rPr>
        <w:t xml:space="preserve"> </w:t>
      </w:r>
    </w:p>
    <w:p w:rsidRPr="00AE1207" w:rsidR="009B277E" w:rsidP="009B277E" w:rsidRDefault="009B277E" w14:paraId="7B4FF42F" w14:textId="16584C9F">
      <w:pPr>
        <w:rPr>
          <w:rFonts w:eastAsiaTheme="majorEastAsia"/>
        </w:rPr>
      </w:pPr>
      <w:r w:rsidRPr="00AE1207">
        <w:rPr>
          <w:rFonts w:eastAsiaTheme="majorEastAsia"/>
        </w:rPr>
        <w:t>All unsuccessful Tenderer’s shall receive written notification of the decision. The notification will include</w:t>
      </w:r>
      <w:r w:rsidRPr="00AE1207" w:rsidR="006C4F45">
        <w:rPr>
          <w:rFonts w:eastAsiaTheme="majorEastAsia"/>
        </w:rPr>
        <w:t xml:space="preserve"> </w:t>
      </w:r>
      <w:proofErr w:type="gramStart"/>
      <w:r w:rsidRPr="00AE1207" w:rsidR="006C4F45">
        <w:rPr>
          <w:rFonts w:eastAsiaTheme="majorEastAsia"/>
        </w:rPr>
        <w:t>all of</w:t>
      </w:r>
      <w:proofErr w:type="gramEnd"/>
      <w:r w:rsidRPr="00AE1207" w:rsidR="006C4F45">
        <w:rPr>
          <w:rFonts w:eastAsiaTheme="majorEastAsia"/>
        </w:rPr>
        <w:t xml:space="preserve"> the above along with</w:t>
      </w:r>
      <w:r w:rsidRPr="00AE1207">
        <w:rPr>
          <w:rFonts w:eastAsiaTheme="majorEastAsia"/>
        </w:rPr>
        <w:t xml:space="preserve">: </w:t>
      </w:r>
    </w:p>
    <w:p w:rsidRPr="00AE1207" w:rsidR="009B277E" w:rsidP="009B277E" w:rsidRDefault="009B277E" w14:paraId="6471E9DB" w14:textId="77777777">
      <w:pPr>
        <w:pStyle w:val="ListParagraph"/>
        <w:numPr>
          <w:ilvl w:val="0"/>
          <w:numId w:val="19"/>
        </w:numPr>
        <w:rPr>
          <w:rFonts w:eastAsiaTheme="majorEastAsia"/>
        </w:rPr>
      </w:pPr>
      <w:r w:rsidRPr="00AE1207">
        <w:rPr>
          <w:rFonts w:eastAsiaTheme="majorEastAsia"/>
        </w:rPr>
        <w:t xml:space="preserve">The name of the successful Tenderer. </w:t>
      </w:r>
    </w:p>
    <w:p w:rsidRPr="00AE1207" w:rsidR="00E7178B" w:rsidP="00E7178B" w:rsidRDefault="00E7178B" w14:paraId="2B061C5D" w14:textId="77777777">
      <w:pPr>
        <w:pStyle w:val="ListParagraph"/>
        <w:numPr>
          <w:ilvl w:val="0"/>
          <w:numId w:val="19"/>
        </w:numPr>
        <w:rPr>
          <w:rFonts w:eastAsiaTheme="majorEastAsia"/>
        </w:rPr>
      </w:pPr>
      <w:r w:rsidRPr="00AE1207">
        <w:rPr>
          <w:rFonts w:eastAsiaTheme="majorEastAsia"/>
        </w:rPr>
        <w:t xml:space="preserve">The score of the successful Tenderer. </w:t>
      </w:r>
    </w:p>
    <w:p w:rsidRPr="00AE1207" w:rsidR="009B277E" w:rsidP="009B277E" w:rsidRDefault="009B277E" w14:paraId="10A99DCC" w14:textId="2E2EE6F3">
      <w:pPr>
        <w:pStyle w:val="ListParagraph"/>
        <w:numPr>
          <w:ilvl w:val="0"/>
          <w:numId w:val="19"/>
        </w:numPr>
        <w:rPr>
          <w:rFonts w:eastAsiaTheme="majorEastAsia"/>
        </w:rPr>
      </w:pPr>
      <w:r w:rsidRPr="00AE1207">
        <w:rPr>
          <w:rFonts w:eastAsiaTheme="majorEastAsia"/>
        </w:rPr>
        <w:t>The score of the Tenderer receiving the notic</w:t>
      </w:r>
      <w:r w:rsidR="002B603B">
        <w:rPr>
          <w:rFonts w:eastAsiaTheme="majorEastAsia"/>
        </w:rPr>
        <w:t>e</w:t>
      </w:r>
      <w:r w:rsidRPr="00AE1207">
        <w:rPr>
          <w:rFonts w:eastAsiaTheme="majorEastAsia"/>
        </w:rPr>
        <w:t xml:space="preserve">. </w:t>
      </w:r>
    </w:p>
    <w:p w:rsidRPr="00AE1207" w:rsidR="009B277E" w:rsidP="009B277E" w:rsidRDefault="009B277E" w14:paraId="466F7C5C" w14:textId="77777777">
      <w:pPr>
        <w:pStyle w:val="ListParagraph"/>
        <w:numPr>
          <w:ilvl w:val="0"/>
          <w:numId w:val="19"/>
        </w:numPr>
        <w:rPr>
          <w:rFonts w:eastAsiaTheme="majorEastAsia"/>
        </w:rPr>
      </w:pPr>
      <w:r w:rsidRPr="00AE1207">
        <w:rPr>
          <w:rFonts w:eastAsiaTheme="majorEastAsia"/>
        </w:rPr>
        <w:t xml:space="preserve">Debrief on quality score for Tenderer receiving the notice. </w:t>
      </w:r>
    </w:p>
    <w:p w:rsidRPr="00AE1207" w:rsidR="009B277E" w:rsidP="009B277E" w:rsidRDefault="009B277E" w14:paraId="02284CB9" w14:textId="258037B5">
      <w:pPr>
        <w:rPr>
          <w:rFonts w:eastAsiaTheme="majorEastAsia"/>
        </w:rPr>
      </w:pPr>
      <w:r w:rsidRPr="00AE1207">
        <w:rPr>
          <w:rFonts w:eastAsiaTheme="majorEastAsia"/>
        </w:rPr>
        <w:t xml:space="preserve">Where </w:t>
      </w:r>
      <w:r w:rsidRPr="00AE1207" w:rsidR="006F711B">
        <w:rPr>
          <w:rFonts w:eastAsiaTheme="majorEastAsia"/>
        </w:rPr>
        <w:t xml:space="preserve">Barcud Shared Services </w:t>
      </w:r>
      <w:r w:rsidRPr="00AE1207">
        <w:rPr>
          <w:rFonts w:eastAsiaTheme="majorEastAsia"/>
        </w:rPr>
        <w:t xml:space="preserve">decides not to move forward to the award stage, the unsuccessful Tenderers shall be notified of the decision to end the procurement process. </w:t>
      </w:r>
      <w:r w:rsidRPr="00AE1207" w:rsidR="0072062A">
        <w:rPr>
          <w:rFonts w:eastAsiaTheme="majorEastAsia"/>
        </w:rPr>
        <w:t xml:space="preserve"> </w:t>
      </w:r>
    </w:p>
    <w:p w:rsidRPr="00A91EFD" w:rsidR="0059228E" w:rsidP="00612CBF" w:rsidRDefault="0059228E" w14:paraId="581F0C07" w14:textId="14B62741" w14:noSpellErr="1">
      <w:pPr>
        <w:pStyle w:val="Heading1"/>
        <w:numPr>
          <w:ilvl w:val="0"/>
          <w:numId w:val="1"/>
        </w:numPr>
        <w:spacing w:line="360" w:lineRule="auto"/>
        <w:rPr>
          <w:color w:val="1F4E79" w:themeColor="accent5" w:themeShade="80"/>
          <w:sz w:val="32"/>
          <w:szCs w:val="32"/>
        </w:rPr>
      </w:pPr>
      <w:bookmarkStart w:name="_Toc1134268446" w:id="211125682"/>
      <w:r w:rsidRPr="1871EEFA" w:rsidR="0059228E">
        <w:rPr>
          <w:color w:val="1F4E79" w:themeColor="accent5" w:themeTint="FF" w:themeShade="80"/>
          <w:sz w:val="32"/>
          <w:szCs w:val="32"/>
        </w:rPr>
        <w:t>Tender Checklist</w:t>
      </w:r>
      <w:bookmarkEnd w:id="211125682"/>
    </w:p>
    <w:p w:rsidRPr="00DF0136" w:rsidR="00DF0136" w:rsidP="00DF0136" w:rsidRDefault="00DF0136" w14:paraId="1680440B" w14:textId="1C68C035">
      <w:pPr>
        <w:autoSpaceDE w:val="0"/>
        <w:autoSpaceDN w:val="0"/>
        <w:adjustRightInd w:val="0"/>
        <w:spacing w:after="240" w:line="276" w:lineRule="auto"/>
        <w:rPr>
          <w:rFonts w:eastAsiaTheme="majorEastAsia"/>
        </w:rPr>
      </w:pPr>
      <w:r w:rsidRPr="00DF0136">
        <w:rPr>
          <w:rFonts w:eastAsiaTheme="majorEastAsia"/>
        </w:rPr>
        <w:t xml:space="preserve">The following documents are included as </w:t>
      </w:r>
      <w:r>
        <w:rPr>
          <w:rFonts w:eastAsiaTheme="majorEastAsia"/>
        </w:rPr>
        <w:t>appendixes to this T</w:t>
      </w:r>
      <w:r w:rsidRPr="00DF0136">
        <w:rPr>
          <w:rFonts w:eastAsiaTheme="majorEastAsia"/>
        </w:rPr>
        <w:t xml:space="preserve">ender </w:t>
      </w:r>
      <w:r>
        <w:rPr>
          <w:rFonts w:eastAsiaTheme="majorEastAsia"/>
        </w:rPr>
        <w:t xml:space="preserve">Pack: </w:t>
      </w:r>
    </w:p>
    <w:tbl>
      <w:tblPr>
        <w:tblStyle w:val="TableGrid"/>
        <w:tblW w:w="0" w:type="auto"/>
        <w:jc w:val="center"/>
        <w:tblLook w:val="04A0" w:firstRow="1" w:lastRow="0" w:firstColumn="1" w:lastColumn="0" w:noHBand="0" w:noVBand="1"/>
      </w:tblPr>
      <w:tblGrid>
        <w:gridCol w:w="6091"/>
      </w:tblGrid>
      <w:tr w:rsidR="00256C20" w:rsidTr="2E407347" w14:paraId="523A2303" w14:textId="77777777">
        <w:trPr>
          <w:jc w:val="center"/>
        </w:trPr>
        <w:tc>
          <w:tcPr>
            <w:tcW w:w="6091" w:type="dxa"/>
            <w:tcBorders>
              <w:top w:val="single" w:color="auto" w:sz="4" w:space="0"/>
              <w:left w:val="single" w:color="auto" w:sz="4" w:space="0"/>
              <w:bottom w:val="nil"/>
              <w:right w:val="single" w:color="auto" w:sz="4" w:space="0"/>
            </w:tcBorders>
            <w:shd w:val="clear" w:color="auto" w:fill="1F3864" w:themeFill="accent1" w:themeFillShade="80"/>
            <w:hideMark/>
          </w:tcPr>
          <w:p w:rsidR="00256C20" w:rsidP="00E8198B" w:rsidRDefault="00256C20" w14:paraId="5E33F69B" w14:textId="77777777">
            <w:pPr>
              <w:jc w:val="center"/>
              <w:rPr>
                <w:rFonts w:cstheme="minorHAnsi"/>
                <w:b/>
                <w:bCs/>
              </w:rPr>
            </w:pPr>
            <w:r>
              <w:rPr>
                <w:rFonts w:cstheme="minorHAnsi"/>
                <w:b/>
                <w:bCs/>
              </w:rPr>
              <w:t>Tender Pack</w:t>
            </w:r>
          </w:p>
        </w:tc>
      </w:tr>
      <w:tr w:rsidRPr="00A91EFD" w:rsidR="00256C20" w:rsidTr="2E407347" w14:paraId="091387DA" w14:textId="77777777">
        <w:trPr>
          <w:trHeight w:val="340"/>
          <w:jc w:val="center"/>
        </w:trPr>
        <w:tc>
          <w:tcPr>
            <w:tcW w:w="6091" w:type="dxa"/>
            <w:tcBorders>
              <w:top w:val="single" w:color="auto" w:sz="4" w:space="0"/>
              <w:left w:val="single" w:color="auto" w:sz="4" w:space="0"/>
              <w:bottom w:val="nil"/>
              <w:right w:val="single" w:color="auto" w:sz="4" w:space="0"/>
            </w:tcBorders>
            <w:vAlign w:val="center"/>
          </w:tcPr>
          <w:p w:rsidR="00256C20" w:rsidP="00256C20" w:rsidRDefault="00256C20" w14:paraId="551E87A7" w14:textId="77777777">
            <w:pPr>
              <w:jc w:val="center"/>
              <w:rPr>
                <w:rFonts w:cstheme="minorHAnsi"/>
                <w:lang w:val="fr-FR"/>
              </w:rPr>
            </w:pPr>
          </w:p>
          <w:p w:rsidRPr="00A91EFD" w:rsidR="00256C20" w:rsidP="5F4D774D" w:rsidRDefault="00256C20" w14:paraId="4327B7EB" w14:textId="634E809D">
            <w:pPr>
              <w:jc w:val="center"/>
              <w:rPr>
                <w:lang w:val="fr-FR"/>
              </w:rPr>
            </w:pPr>
            <w:r w:rsidRPr="00A91EFD">
              <w:rPr>
                <w:lang w:val="fr-FR"/>
              </w:rPr>
              <w:t xml:space="preserve">Appendix 1 – </w:t>
            </w:r>
            <w:proofErr w:type="spellStart"/>
            <w:r w:rsidRPr="00A91EFD">
              <w:rPr>
                <w:lang w:val="fr-FR"/>
              </w:rPr>
              <w:t>Foundation</w:t>
            </w:r>
            <w:proofErr w:type="spellEnd"/>
            <w:r w:rsidRPr="00A91EFD">
              <w:rPr>
                <w:lang w:val="fr-FR"/>
              </w:rPr>
              <w:t xml:space="preserve"> Questions</w:t>
            </w:r>
          </w:p>
        </w:tc>
      </w:tr>
      <w:tr w:rsidRPr="00A91EFD" w:rsidR="00256C20" w:rsidTr="2E407347" w14:paraId="7A6D7EF7" w14:textId="77777777">
        <w:trPr>
          <w:trHeight w:val="340"/>
          <w:jc w:val="center"/>
        </w:trPr>
        <w:tc>
          <w:tcPr>
            <w:tcW w:w="6091" w:type="dxa"/>
            <w:tcBorders>
              <w:top w:val="nil"/>
              <w:left w:val="single" w:color="auto" w:sz="4" w:space="0"/>
              <w:bottom w:val="nil"/>
              <w:right w:val="single" w:color="auto" w:sz="4" w:space="0"/>
            </w:tcBorders>
            <w:vAlign w:val="center"/>
          </w:tcPr>
          <w:p w:rsidRPr="00A91EFD" w:rsidR="00256C20" w:rsidP="2E407347" w:rsidRDefault="00256C20" w14:paraId="4F07C2C2" w14:textId="5CF3EDFE">
            <w:pPr>
              <w:jc w:val="center"/>
              <w:rPr>
                <w:lang w:val="fr-FR"/>
              </w:rPr>
            </w:pPr>
            <w:r w:rsidRPr="00A91EFD">
              <w:rPr>
                <w:lang w:val="fr-FR"/>
              </w:rPr>
              <w:t xml:space="preserve">Appendix 2 – </w:t>
            </w:r>
            <w:proofErr w:type="spellStart"/>
            <w:r w:rsidRPr="00A91EFD">
              <w:rPr>
                <w:lang w:val="fr-FR"/>
              </w:rPr>
              <w:t>Quality</w:t>
            </w:r>
            <w:proofErr w:type="spellEnd"/>
            <w:r w:rsidRPr="00A91EFD">
              <w:rPr>
                <w:lang w:val="fr-FR"/>
              </w:rPr>
              <w:t xml:space="preserve"> Questions</w:t>
            </w:r>
          </w:p>
          <w:p w:rsidRPr="00A91EFD" w:rsidR="00256C20" w:rsidP="2E407347" w:rsidRDefault="430CD254" w14:paraId="4C7E2EAD" w14:textId="7E65B8EF">
            <w:pPr>
              <w:jc w:val="center"/>
              <w:rPr>
                <w:lang w:val="fr-FR"/>
              </w:rPr>
            </w:pPr>
            <w:r w:rsidRPr="00A91EFD">
              <w:rPr>
                <w:lang w:val="fr-FR"/>
              </w:rPr>
              <w:t xml:space="preserve">Appendix 2.1 - Community </w:t>
            </w:r>
            <w:proofErr w:type="spellStart"/>
            <w:r w:rsidRPr="00A91EFD">
              <w:rPr>
                <w:lang w:val="fr-FR"/>
              </w:rPr>
              <w:t>Ben</w:t>
            </w:r>
            <w:r w:rsidRPr="00A91EFD" w:rsidR="00A71A1A">
              <w:rPr>
                <w:lang w:val="fr-FR"/>
              </w:rPr>
              <w:t>e</w:t>
            </w:r>
            <w:r w:rsidRPr="00A91EFD">
              <w:rPr>
                <w:lang w:val="fr-FR"/>
              </w:rPr>
              <w:t>fits</w:t>
            </w:r>
            <w:proofErr w:type="spellEnd"/>
            <w:r w:rsidRPr="00A91EFD">
              <w:rPr>
                <w:lang w:val="fr-FR"/>
              </w:rPr>
              <w:t xml:space="preserve"> Menu</w:t>
            </w:r>
          </w:p>
        </w:tc>
      </w:tr>
      <w:tr w:rsidRPr="00A91EFD" w:rsidR="00256C20" w:rsidTr="2E407347" w14:paraId="5DE04932" w14:textId="77777777">
        <w:trPr>
          <w:trHeight w:val="340"/>
          <w:jc w:val="center"/>
        </w:trPr>
        <w:tc>
          <w:tcPr>
            <w:tcW w:w="6091" w:type="dxa"/>
            <w:tcBorders>
              <w:top w:val="nil"/>
              <w:left w:val="single" w:color="auto" w:sz="4" w:space="0"/>
              <w:bottom w:val="nil"/>
              <w:right w:val="single" w:color="auto" w:sz="4" w:space="0"/>
            </w:tcBorders>
            <w:vAlign w:val="center"/>
          </w:tcPr>
          <w:p w:rsidRPr="00A91EFD" w:rsidR="00256C20" w:rsidP="5F4D774D" w:rsidRDefault="00256C20" w14:paraId="368B6CCE" w14:textId="1AF055C7">
            <w:pPr>
              <w:jc w:val="center"/>
            </w:pPr>
            <w:r w:rsidRPr="00A91EFD">
              <w:t xml:space="preserve">Appendix 3 – </w:t>
            </w:r>
            <w:r w:rsidRPr="00A91EFD" w:rsidR="000A2EAD">
              <w:t>Quality Questions</w:t>
            </w:r>
          </w:p>
        </w:tc>
      </w:tr>
      <w:tr w:rsidRPr="00A91EFD" w:rsidR="00256C20" w:rsidTr="2E407347" w14:paraId="3911DA71" w14:textId="77777777">
        <w:trPr>
          <w:trHeight w:val="340"/>
          <w:jc w:val="center"/>
        </w:trPr>
        <w:tc>
          <w:tcPr>
            <w:tcW w:w="6091" w:type="dxa"/>
            <w:tcBorders>
              <w:top w:val="nil"/>
              <w:left w:val="single" w:color="auto" w:sz="4" w:space="0"/>
              <w:bottom w:val="nil"/>
              <w:right w:val="single" w:color="auto" w:sz="4" w:space="0"/>
            </w:tcBorders>
            <w:vAlign w:val="center"/>
          </w:tcPr>
          <w:p w:rsidRPr="00A91EFD" w:rsidR="00256C20" w:rsidP="00256C20" w:rsidRDefault="00256C20" w14:paraId="5CC3F4AA" w14:textId="658C9314">
            <w:pPr>
              <w:jc w:val="center"/>
              <w:rPr>
                <w:rFonts w:cstheme="minorHAnsi"/>
                <w:lang w:val="fr-FR"/>
              </w:rPr>
            </w:pPr>
            <w:r w:rsidRPr="00A91EFD">
              <w:rPr>
                <w:rFonts w:cstheme="minorHAnsi"/>
                <w:lang w:val="fr-FR"/>
              </w:rPr>
              <w:t xml:space="preserve">Appendix 4 – </w:t>
            </w:r>
            <w:r w:rsidR="004F31B7">
              <w:rPr>
                <w:rFonts w:cstheme="minorHAnsi"/>
                <w:lang w:val="fr-FR"/>
              </w:rPr>
              <w:t>Price Schedule</w:t>
            </w:r>
          </w:p>
        </w:tc>
      </w:tr>
      <w:tr w:rsidRPr="00A91EFD" w:rsidR="00256C20" w:rsidTr="2E407347" w14:paraId="00D55D5A" w14:textId="77777777">
        <w:trPr>
          <w:trHeight w:val="340"/>
          <w:jc w:val="center"/>
        </w:trPr>
        <w:tc>
          <w:tcPr>
            <w:tcW w:w="6091" w:type="dxa"/>
            <w:tcBorders>
              <w:top w:val="nil"/>
              <w:left w:val="single" w:color="auto" w:sz="4" w:space="0"/>
              <w:bottom w:val="nil"/>
              <w:right w:val="single" w:color="auto" w:sz="4" w:space="0"/>
            </w:tcBorders>
            <w:vAlign w:val="center"/>
          </w:tcPr>
          <w:p w:rsidRPr="00A91EFD" w:rsidR="00256C20" w:rsidP="00256C20" w:rsidRDefault="00256C20" w14:paraId="38126519" w14:textId="751514AB">
            <w:pPr>
              <w:jc w:val="center"/>
              <w:rPr>
                <w:rFonts w:cstheme="minorHAnsi"/>
                <w:lang w:val="fr-FR"/>
              </w:rPr>
            </w:pPr>
            <w:r w:rsidRPr="00A91EFD">
              <w:rPr>
                <w:rFonts w:cstheme="minorHAnsi"/>
                <w:lang w:val="fr-FR"/>
              </w:rPr>
              <w:t xml:space="preserve">Appendix 5 – </w:t>
            </w:r>
            <w:r w:rsidRPr="00A91EFD" w:rsidR="004B5A7A">
              <w:rPr>
                <w:rFonts w:cstheme="minorHAnsi"/>
                <w:lang w:val="fr-FR"/>
              </w:rPr>
              <w:t>Framework Agreement</w:t>
            </w:r>
          </w:p>
        </w:tc>
      </w:tr>
      <w:tr w:rsidRPr="00A91EFD" w:rsidR="00256C20" w:rsidTr="2E407347" w14:paraId="65E8EA09" w14:textId="77777777">
        <w:trPr>
          <w:trHeight w:val="340"/>
          <w:jc w:val="center"/>
        </w:trPr>
        <w:tc>
          <w:tcPr>
            <w:tcW w:w="6091" w:type="dxa"/>
            <w:tcBorders>
              <w:top w:val="nil"/>
              <w:left w:val="single" w:color="auto" w:sz="4" w:space="0"/>
              <w:bottom w:val="nil"/>
              <w:right w:val="single" w:color="auto" w:sz="4" w:space="0"/>
            </w:tcBorders>
            <w:vAlign w:val="center"/>
          </w:tcPr>
          <w:p w:rsidR="00256C20" w:rsidP="00256C20" w:rsidRDefault="00256C20" w14:paraId="029C0063" w14:textId="38642A21">
            <w:pPr>
              <w:jc w:val="center"/>
              <w:rPr>
                <w:rFonts w:cstheme="minorHAnsi"/>
                <w:lang w:val="fr-FR"/>
              </w:rPr>
            </w:pPr>
            <w:r w:rsidRPr="00A91EFD">
              <w:rPr>
                <w:rFonts w:cstheme="minorHAnsi"/>
                <w:lang w:val="fr-FR"/>
              </w:rPr>
              <w:t xml:space="preserve">Appendix 6 – </w:t>
            </w:r>
            <w:proofErr w:type="spellStart"/>
            <w:r w:rsidRPr="00A91EFD" w:rsidR="00F13A84">
              <w:rPr>
                <w:rFonts w:cstheme="minorHAnsi"/>
                <w:lang w:val="fr-FR"/>
              </w:rPr>
              <w:t>Specifications</w:t>
            </w:r>
            <w:proofErr w:type="spellEnd"/>
            <w:r w:rsidR="004F31B7">
              <w:rPr>
                <w:rFonts w:cstheme="minorHAnsi"/>
                <w:lang w:val="fr-FR"/>
              </w:rPr>
              <w:t xml:space="preserve"> Lot 1&amp;2</w:t>
            </w:r>
          </w:p>
          <w:p w:rsidRPr="00A91EFD" w:rsidR="00CA4A36" w:rsidP="00256C20" w:rsidRDefault="00CA4A36" w14:paraId="4AD94A9B" w14:textId="5808D006">
            <w:pPr>
              <w:jc w:val="center"/>
              <w:rPr>
                <w:rFonts w:cstheme="minorHAnsi"/>
                <w:lang w:val="fr-FR"/>
              </w:rPr>
            </w:pPr>
            <w:r>
              <w:rPr>
                <w:rFonts w:cstheme="minorHAnsi"/>
                <w:lang w:val="fr-FR"/>
              </w:rPr>
              <w:t xml:space="preserve">Appendix 7 – Lift </w:t>
            </w:r>
            <w:proofErr w:type="spellStart"/>
            <w:r>
              <w:rPr>
                <w:rFonts w:cstheme="minorHAnsi"/>
                <w:lang w:val="fr-FR"/>
              </w:rPr>
              <w:t>Spec</w:t>
            </w:r>
            <w:r w:rsidR="004F31B7">
              <w:rPr>
                <w:rFonts w:cstheme="minorHAnsi"/>
                <w:lang w:val="fr-FR"/>
              </w:rPr>
              <w:t>ification</w:t>
            </w:r>
            <w:proofErr w:type="spellEnd"/>
            <w:r w:rsidR="004F31B7">
              <w:rPr>
                <w:rFonts w:cstheme="minorHAnsi"/>
                <w:lang w:val="fr-FR"/>
              </w:rPr>
              <w:t xml:space="preserve"> Lot 3</w:t>
            </w:r>
          </w:p>
        </w:tc>
      </w:tr>
      <w:tr w:rsidRPr="00A91EFD" w:rsidR="00256C20" w:rsidTr="2E407347" w14:paraId="0B39FA51" w14:textId="77777777">
        <w:trPr>
          <w:trHeight w:val="340"/>
          <w:jc w:val="center"/>
        </w:trPr>
        <w:tc>
          <w:tcPr>
            <w:tcW w:w="6091" w:type="dxa"/>
            <w:tcBorders>
              <w:top w:val="nil"/>
              <w:left w:val="single" w:color="auto" w:sz="4" w:space="0"/>
              <w:bottom w:val="single" w:color="auto" w:sz="4" w:space="0"/>
              <w:right w:val="single" w:color="auto" w:sz="4" w:space="0"/>
            </w:tcBorders>
            <w:vAlign w:val="center"/>
          </w:tcPr>
          <w:p w:rsidRPr="00A91EFD" w:rsidR="00256C20" w:rsidP="00256C20" w:rsidRDefault="00256C20" w14:paraId="4A32A3C6" w14:textId="24FF7DDA">
            <w:pPr>
              <w:jc w:val="center"/>
              <w:rPr>
                <w:rFonts w:cstheme="minorHAnsi"/>
                <w:lang w:val="fr-FR"/>
              </w:rPr>
            </w:pPr>
          </w:p>
        </w:tc>
      </w:tr>
    </w:tbl>
    <w:p w:rsidRPr="00A91EFD" w:rsidR="00256C20" w:rsidP="00256C20" w:rsidRDefault="00256C20" w14:paraId="2EE80EA3" w14:textId="405F598B">
      <w:pPr>
        <w:jc w:val="right"/>
        <w:rPr>
          <w:rFonts w:eastAsiaTheme="majorEastAsia"/>
          <w:sz w:val="20"/>
          <w:szCs w:val="20"/>
        </w:rPr>
      </w:pPr>
      <w:r w:rsidRPr="00A91EFD">
        <w:rPr>
          <w:rFonts w:eastAsiaTheme="majorEastAsia"/>
          <w:sz w:val="20"/>
          <w:szCs w:val="20"/>
        </w:rPr>
        <w:t xml:space="preserve">Table 9 – Tender Pack </w:t>
      </w:r>
    </w:p>
    <w:p w:rsidRPr="00A91EFD" w:rsidR="003A1FAE" w:rsidP="003A1FAE" w:rsidRDefault="003A1FAE" w14:paraId="5749A545" w14:textId="33213FBB">
      <w:pPr>
        <w:rPr>
          <w:rFonts w:eastAsiaTheme="majorEastAsia"/>
        </w:rPr>
      </w:pPr>
      <w:r w:rsidRPr="00A91EFD">
        <w:rPr>
          <w:rFonts w:eastAsiaTheme="majorEastAsia"/>
        </w:rPr>
        <w:t>Once you have reviewed all documentation and completed your tender response, please review the below check list to ensure you are submitting a full and complete tender response</w:t>
      </w:r>
      <w:r w:rsidRPr="00A91EFD" w:rsidR="00447131">
        <w:rPr>
          <w:rFonts w:eastAsiaTheme="majorEastAsia"/>
        </w:rPr>
        <w:t xml:space="preserve"> within Sell2Wales</w:t>
      </w:r>
      <w:r w:rsidRPr="00A91EFD">
        <w:rPr>
          <w:rFonts w:eastAsiaTheme="majorEastAsia"/>
        </w:rPr>
        <w:t>:</w:t>
      </w:r>
    </w:p>
    <w:tbl>
      <w:tblPr>
        <w:tblW w:w="6237" w:type="dxa"/>
        <w:tblInd w:w="14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237"/>
      </w:tblGrid>
      <w:tr w:rsidRPr="00A91EFD" w:rsidR="00D43104" w:rsidTr="2E407347" w14:paraId="0BA7CDE6" w14:textId="77777777">
        <w:trPr>
          <w:trHeight w:val="300"/>
        </w:trPr>
        <w:tc>
          <w:tcPr>
            <w:tcW w:w="6237" w:type="dxa"/>
            <w:tcBorders>
              <w:top w:val="single" w:color="auto" w:sz="6" w:space="0"/>
              <w:left w:val="single" w:color="auto" w:sz="6" w:space="0"/>
              <w:bottom w:val="single" w:color="auto" w:sz="6" w:space="0"/>
              <w:right w:val="single" w:color="auto" w:sz="6" w:space="0"/>
            </w:tcBorders>
            <w:shd w:val="clear" w:color="auto" w:fill="1F3864" w:themeFill="accent1" w:themeFillShade="80"/>
            <w:hideMark/>
          </w:tcPr>
          <w:p w:rsidRPr="00A91EFD" w:rsidR="00D43104" w:rsidP="00D43104" w:rsidRDefault="00CA199D" w14:paraId="4714FFD8" w14:textId="6AC9A977">
            <w:pPr>
              <w:spacing w:after="0" w:line="240" w:lineRule="auto"/>
              <w:jc w:val="center"/>
              <w:textAlignment w:val="baseline"/>
              <w:rPr>
                <w:rFonts w:ascii="Segoe UI" w:hAnsi="Segoe UI" w:eastAsia="Times New Roman" w:cs="Segoe UI"/>
                <w:sz w:val="18"/>
                <w:szCs w:val="18"/>
                <w:lang w:eastAsia="en-GB"/>
              </w:rPr>
            </w:pPr>
            <w:r w:rsidRPr="00A91EFD">
              <w:rPr>
                <w:rFonts w:ascii="Calibri" w:hAnsi="Calibri" w:eastAsia="Times New Roman" w:cs="Calibri"/>
                <w:b/>
                <w:bCs/>
                <w:color w:val="FFFFFF"/>
                <w:lang w:eastAsia="en-GB"/>
              </w:rPr>
              <w:t>Tender Checklist</w:t>
            </w:r>
            <w:r w:rsidRPr="00A91EFD" w:rsidR="00D43104">
              <w:rPr>
                <w:rFonts w:ascii="Calibri" w:hAnsi="Calibri" w:eastAsia="Times New Roman" w:cs="Calibri"/>
                <w:lang w:eastAsia="en-GB"/>
              </w:rPr>
              <w:t> </w:t>
            </w:r>
          </w:p>
        </w:tc>
      </w:tr>
      <w:tr w:rsidRPr="00AE1207" w:rsidR="00D43104" w:rsidTr="2E407347" w14:paraId="7138F2ED" w14:textId="77777777">
        <w:trPr>
          <w:trHeight w:val="300"/>
        </w:trPr>
        <w:tc>
          <w:tcPr>
            <w:tcW w:w="6237" w:type="dxa"/>
            <w:tcBorders>
              <w:top w:val="single" w:color="auto" w:sz="6" w:space="0"/>
              <w:left w:val="single" w:color="auto" w:sz="6" w:space="0"/>
              <w:bottom w:val="single" w:color="auto" w:sz="6" w:space="0"/>
              <w:right w:val="single" w:color="auto" w:sz="6" w:space="0"/>
            </w:tcBorders>
            <w:hideMark/>
          </w:tcPr>
          <w:p w:rsidRPr="00A91EFD" w:rsidR="00CA199D" w:rsidP="00D43104" w:rsidRDefault="00CA199D" w14:paraId="570FC86B" w14:textId="77777777">
            <w:pPr>
              <w:spacing w:after="0"/>
              <w:jc w:val="center"/>
              <w:rPr>
                <w:rFonts w:eastAsiaTheme="majorEastAsia"/>
                <w:lang w:val="fr-FR"/>
              </w:rPr>
            </w:pPr>
          </w:p>
          <w:p w:rsidRPr="00A91EFD" w:rsidR="00DF0136" w:rsidP="00DF0136" w:rsidRDefault="00DF0136" w14:paraId="3BE77E80" w14:textId="77777777">
            <w:pPr>
              <w:spacing w:after="0"/>
              <w:jc w:val="center"/>
              <w:rPr>
                <w:rFonts w:eastAsiaTheme="majorEastAsia"/>
                <w:lang w:val="fr-FR"/>
              </w:rPr>
            </w:pPr>
            <w:r w:rsidRPr="00A91EFD">
              <w:rPr>
                <w:rFonts w:eastAsiaTheme="majorEastAsia"/>
                <w:lang w:val="fr-FR"/>
              </w:rPr>
              <w:t xml:space="preserve">Appendix 1 – ITT </w:t>
            </w:r>
            <w:proofErr w:type="spellStart"/>
            <w:r w:rsidRPr="00A91EFD">
              <w:rPr>
                <w:rFonts w:eastAsiaTheme="majorEastAsia"/>
                <w:lang w:val="fr-FR"/>
              </w:rPr>
              <w:t>Foundation</w:t>
            </w:r>
            <w:proofErr w:type="spellEnd"/>
            <w:r w:rsidRPr="00A91EFD">
              <w:rPr>
                <w:rFonts w:eastAsiaTheme="majorEastAsia"/>
                <w:lang w:val="fr-FR"/>
              </w:rPr>
              <w:t xml:space="preserve"> Questions</w:t>
            </w:r>
          </w:p>
          <w:p w:rsidRPr="00A91EFD" w:rsidR="00DF0136" w:rsidP="00DF0136" w:rsidRDefault="00DF0136" w14:paraId="3AECD7EE" w14:textId="77777777">
            <w:pPr>
              <w:spacing w:after="0"/>
              <w:jc w:val="center"/>
              <w:rPr>
                <w:rFonts w:eastAsiaTheme="majorEastAsia"/>
                <w:lang w:val="fr-FR"/>
              </w:rPr>
            </w:pPr>
            <w:r w:rsidRPr="00A91EFD">
              <w:rPr>
                <w:rFonts w:eastAsiaTheme="majorEastAsia"/>
                <w:lang w:val="fr-FR"/>
              </w:rPr>
              <w:t xml:space="preserve">Appendix 2 – ITT </w:t>
            </w:r>
            <w:proofErr w:type="spellStart"/>
            <w:r w:rsidRPr="00A91EFD">
              <w:rPr>
                <w:rFonts w:eastAsiaTheme="majorEastAsia"/>
                <w:lang w:val="fr-FR"/>
              </w:rPr>
              <w:t>Quality</w:t>
            </w:r>
            <w:proofErr w:type="spellEnd"/>
            <w:r w:rsidRPr="00A91EFD">
              <w:rPr>
                <w:rFonts w:eastAsiaTheme="majorEastAsia"/>
                <w:lang w:val="fr-FR"/>
              </w:rPr>
              <w:t xml:space="preserve"> Questions</w:t>
            </w:r>
          </w:p>
          <w:p w:rsidRPr="00A91EFD" w:rsidR="00E3156C" w:rsidP="2E407347" w:rsidRDefault="00E3156C" w14:paraId="37EFDD80" w14:textId="208FE055">
            <w:pPr>
              <w:jc w:val="center"/>
              <w:rPr>
                <w:lang w:val="fr-FR"/>
              </w:rPr>
            </w:pPr>
            <w:r w:rsidRPr="00A91EFD">
              <w:rPr>
                <w:lang w:val="fr-FR"/>
              </w:rPr>
              <w:lastRenderedPageBreak/>
              <w:t xml:space="preserve">Appendix 2.1 - Community </w:t>
            </w:r>
            <w:proofErr w:type="spellStart"/>
            <w:r w:rsidRPr="00A91EFD">
              <w:rPr>
                <w:lang w:val="fr-FR"/>
              </w:rPr>
              <w:t>Ben</w:t>
            </w:r>
            <w:r w:rsidRPr="00A91EFD" w:rsidR="00B7626A">
              <w:rPr>
                <w:lang w:val="fr-FR"/>
              </w:rPr>
              <w:t>e</w:t>
            </w:r>
            <w:r w:rsidRPr="00A91EFD">
              <w:rPr>
                <w:lang w:val="fr-FR"/>
              </w:rPr>
              <w:t>fits</w:t>
            </w:r>
            <w:proofErr w:type="spellEnd"/>
            <w:r w:rsidRPr="00A91EFD">
              <w:rPr>
                <w:lang w:val="fr-FR"/>
              </w:rPr>
              <w:t xml:space="preserve"> Menu</w:t>
            </w:r>
          </w:p>
          <w:p w:rsidR="00DF0136" w:rsidP="00DF0136" w:rsidRDefault="00DF0136" w14:paraId="49DE5541" w14:textId="77777777">
            <w:pPr>
              <w:spacing w:after="0"/>
              <w:jc w:val="center"/>
              <w:rPr>
                <w:rFonts w:eastAsiaTheme="majorEastAsia"/>
              </w:rPr>
            </w:pPr>
            <w:r w:rsidRPr="00A91EFD">
              <w:rPr>
                <w:rFonts w:eastAsiaTheme="majorEastAsia"/>
              </w:rPr>
              <w:t>Appendix 3 – ITT Price Schedule</w:t>
            </w:r>
          </w:p>
          <w:p w:rsidRPr="00331752" w:rsidR="00331752" w:rsidP="00DF0136" w:rsidRDefault="00331752" w14:paraId="69F5C04E" w14:textId="77777777">
            <w:pPr>
              <w:spacing w:after="0"/>
              <w:rPr>
                <w:rFonts w:eastAsiaTheme="majorEastAsia"/>
              </w:rPr>
            </w:pPr>
          </w:p>
          <w:p w:rsidRPr="00AE1207" w:rsidR="00D43104" w:rsidP="00D43104" w:rsidRDefault="00D43104" w14:paraId="7436B133" w14:textId="346D77B7">
            <w:pPr>
              <w:spacing w:after="0" w:line="240" w:lineRule="auto"/>
              <w:jc w:val="center"/>
              <w:textAlignment w:val="baseline"/>
              <w:rPr>
                <w:rFonts w:ascii="Segoe UI" w:hAnsi="Segoe UI" w:eastAsia="Times New Roman" w:cs="Segoe UI"/>
                <w:sz w:val="18"/>
                <w:szCs w:val="18"/>
                <w:lang w:eastAsia="en-GB"/>
              </w:rPr>
            </w:pPr>
          </w:p>
        </w:tc>
      </w:tr>
    </w:tbl>
    <w:p w:rsidRPr="00AE1207" w:rsidR="00447131" w:rsidP="00CA199D" w:rsidRDefault="00D43104" w14:paraId="6A5694D1" w14:textId="3C04626A">
      <w:pPr>
        <w:jc w:val="right"/>
        <w:rPr>
          <w:rFonts w:eastAsiaTheme="majorEastAsia"/>
          <w:sz w:val="20"/>
          <w:szCs w:val="20"/>
        </w:rPr>
      </w:pPr>
      <w:r w:rsidRPr="00AE1207">
        <w:rPr>
          <w:rFonts w:eastAsiaTheme="majorEastAsia"/>
          <w:sz w:val="20"/>
          <w:szCs w:val="20"/>
        </w:rPr>
        <w:lastRenderedPageBreak/>
        <w:t xml:space="preserve">Table </w:t>
      </w:r>
      <w:r w:rsidR="00256C20">
        <w:rPr>
          <w:rFonts w:eastAsiaTheme="majorEastAsia"/>
          <w:sz w:val="20"/>
          <w:szCs w:val="20"/>
        </w:rPr>
        <w:t>10</w:t>
      </w:r>
      <w:r w:rsidRPr="00AE1207" w:rsidR="00CA199D">
        <w:rPr>
          <w:rFonts w:eastAsiaTheme="majorEastAsia"/>
          <w:sz w:val="20"/>
          <w:szCs w:val="20"/>
        </w:rPr>
        <w:t xml:space="preserve"> – Tender Checklist </w:t>
      </w:r>
    </w:p>
    <w:p w:rsidRPr="003A1FAE" w:rsidR="0059228E" w:rsidP="003A1FAE" w:rsidRDefault="003A1FAE" w14:paraId="219E440F" w14:textId="1CE865D8">
      <w:pPr>
        <w:rPr>
          <w:rFonts w:eastAsiaTheme="majorEastAsia"/>
        </w:rPr>
      </w:pPr>
      <w:r w:rsidRPr="00AE1207">
        <w:rPr>
          <w:rFonts w:eastAsiaTheme="majorEastAsia"/>
        </w:rPr>
        <w:t xml:space="preserve">Please ensure that you have attached any </w:t>
      </w:r>
      <w:r w:rsidRPr="00AE1207" w:rsidR="00B97C30">
        <w:rPr>
          <w:rFonts w:eastAsiaTheme="majorEastAsia"/>
        </w:rPr>
        <w:t xml:space="preserve">further </w:t>
      </w:r>
      <w:r w:rsidRPr="00AE1207">
        <w:rPr>
          <w:rFonts w:eastAsiaTheme="majorEastAsia"/>
        </w:rPr>
        <w:t>relevant documentation, clearly labelling what it is and if it should be used in conjunction with any other documents.</w:t>
      </w:r>
    </w:p>
    <w:p w:rsidRPr="00352B5A" w:rsidR="00F2169A" w:rsidP="00352B5A" w:rsidRDefault="00F2169A" w14:paraId="698D8E9F" w14:textId="77777777">
      <w:pPr>
        <w:rPr>
          <w:rFonts w:eastAsiaTheme="majorEastAsia"/>
        </w:rPr>
      </w:pPr>
    </w:p>
    <w:p w:rsidRPr="00EB7262" w:rsidR="00760ECD" w:rsidP="00EB7262" w:rsidRDefault="00760ECD" w14:paraId="372C7E23" w14:textId="77777777">
      <w:pPr>
        <w:rPr>
          <w:rFonts w:asciiTheme="majorHAnsi" w:hAnsiTheme="majorHAnsi" w:eastAsiaTheme="majorEastAsia" w:cstheme="majorBidi"/>
          <w:color w:val="2F5496" w:themeColor="accent1" w:themeShade="BF"/>
          <w:sz w:val="28"/>
          <w:szCs w:val="28"/>
        </w:rPr>
      </w:pPr>
    </w:p>
    <w:p w:rsidRPr="00760ECD" w:rsidR="00760ECD" w:rsidP="00760ECD" w:rsidRDefault="00760ECD" w14:paraId="341509B3" w14:textId="77777777">
      <w:pPr>
        <w:rPr>
          <w:rFonts w:asciiTheme="majorHAnsi" w:hAnsiTheme="majorHAnsi" w:eastAsiaTheme="majorEastAsia" w:cstheme="majorBidi"/>
          <w:color w:val="2F5496" w:themeColor="accent1" w:themeShade="BF"/>
          <w:sz w:val="28"/>
          <w:szCs w:val="28"/>
        </w:rPr>
      </w:pPr>
    </w:p>
    <w:sectPr w:rsidRPr="00760ECD" w:rsidR="00760ECD" w:rsidSect="00F6624D">
      <w:pgSz w:w="11906" w:h="16838" w:orient="portrait"/>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2F68" w:rsidP="00530856" w:rsidRDefault="00A22F68" w14:paraId="07E42498" w14:textId="77777777">
      <w:pPr>
        <w:spacing w:after="0" w:line="240" w:lineRule="auto"/>
      </w:pPr>
      <w:r>
        <w:separator/>
      </w:r>
    </w:p>
  </w:endnote>
  <w:endnote w:type="continuationSeparator" w:id="0">
    <w:p w:rsidR="00A22F68" w:rsidP="00530856" w:rsidRDefault="00A22F68" w14:paraId="3828B0D8" w14:textId="77777777">
      <w:pPr>
        <w:spacing w:after="0" w:line="240" w:lineRule="auto"/>
      </w:pPr>
      <w:r>
        <w:continuationSeparator/>
      </w:r>
    </w:p>
  </w:endnote>
  <w:endnote w:type="continuationNotice" w:id="1">
    <w:p w:rsidR="00A22F68" w:rsidRDefault="00A22F68" w14:paraId="23398A8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ilyUPC">
    <w:charset w:val="DE"/>
    <w:family w:val="swiss"/>
    <w:pitch w:val="variable"/>
    <w:sig w:usb0="81000003" w:usb1="00000000" w:usb2="00000000" w:usb3="00000000" w:csb0="0001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881804"/>
      <w:docPartObj>
        <w:docPartGallery w:val="Page Numbers (Bottom of Page)"/>
        <w:docPartUnique/>
      </w:docPartObj>
    </w:sdtPr>
    <w:sdtEndPr>
      <w:rPr>
        <w:noProof/>
      </w:rPr>
    </w:sdtEndPr>
    <w:sdtContent>
      <w:p w:rsidR="00D44EE8" w:rsidP="00D44EE8" w:rsidRDefault="00D44EE8" w14:paraId="2AC17DC8" w14:textId="2A7F57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07D00" w:rsidR="00763889" w:rsidP="00707D00" w:rsidRDefault="00763889" w14:paraId="1A9C0ECC" w14:textId="655CE638">
    <w:pPr>
      <w:pStyle w:val="Footer"/>
    </w:pPr>
    <w: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2F68" w:rsidP="00530856" w:rsidRDefault="00A22F68" w14:paraId="6C0C070D" w14:textId="77777777">
      <w:pPr>
        <w:spacing w:after="0" w:line="240" w:lineRule="auto"/>
      </w:pPr>
      <w:r>
        <w:separator/>
      </w:r>
    </w:p>
  </w:footnote>
  <w:footnote w:type="continuationSeparator" w:id="0">
    <w:p w:rsidR="00A22F68" w:rsidP="00530856" w:rsidRDefault="00A22F68" w14:paraId="154C7443" w14:textId="77777777">
      <w:pPr>
        <w:spacing w:after="0" w:line="240" w:lineRule="auto"/>
      </w:pPr>
      <w:r>
        <w:continuationSeparator/>
      </w:r>
    </w:p>
  </w:footnote>
  <w:footnote w:type="continuationNotice" w:id="1">
    <w:p w:rsidR="00A22F68" w:rsidRDefault="00A22F68" w14:paraId="0997FB8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44EE8" w:rsidRDefault="00D44EE8" w14:paraId="2497159E" w14:textId="4B692002">
    <w:pPr>
      <w:pStyle w:val="Header"/>
    </w:pPr>
    <w:r>
      <w:rPr>
        <w:noProof/>
      </w:rPr>
      <w:drawing>
        <wp:anchor distT="0" distB="0" distL="114300" distR="114300" simplePos="0" relativeHeight="251658245" behindDoc="0" locked="0" layoutInCell="1" allowOverlap="1" wp14:anchorId="3BE0C086" wp14:editId="21EC4FE1">
          <wp:simplePos x="0" y="0"/>
          <wp:positionH relativeFrom="margin">
            <wp:posOffset>169545</wp:posOffset>
          </wp:positionH>
          <wp:positionV relativeFrom="paragraph">
            <wp:posOffset>56677</wp:posOffset>
          </wp:positionV>
          <wp:extent cx="2115820" cy="752475"/>
          <wp:effectExtent l="0" t="0" r="0" b="9525"/>
          <wp:wrapNone/>
          <wp:docPr id="1167114438" name="Picture 116711443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5820" cy="7524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4B5338CA" wp14:editId="2925C123">
          <wp:simplePos x="0" y="0"/>
          <wp:positionH relativeFrom="page">
            <wp:posOffset>8890</wp:posOffset>
          </wp:positionH>
          <wp:positionV relativeFrom="paragraph">
            <wp:posOffset>-432908</wp:posOffset>
          </wp:positionV>
          <wp:extent cx="7551420" cy="1211580"/>
          <wp:effectExtent l="0" t="0" r="0" b="0"/>
          <wp:wrapNone/>
          <wp:docPr id="1220742086" name="Picture 1220742086"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51420" cy="1211580"/>
                  </a:xfrm>
                  <a:prstGeom prst="rect">
                    <a:avLst/>
                  </a:prstGeom>
                </pic:spPr>
              </pic:pic>
            </a:graphicData>
          </a:graphic>
          <wp14:sizeRelH relativeFrom="page">
            <wp14:pctWidth>0</wp14:pctWidth>
          </wp14:sizeRelH>
          <wp14:sizeRelV relativeFrom="page">
            <wp14:pctHeight>0</wp14:pctHeight>
          </wp14:sizeRelV>
        </wp:anchor>
      </w:drawing>
    </w:r>
  </w:p>
  <w:p w:rsidRPr="00D44EE8" w:rsidR="00D44EE8" w:rsidRDefault="00D44EE8" w14:paraId="4E557994" w14:textId="59C35893">
    <w:pPr>
      <w:pStyle w:val="Header"/>
      <w:rPr>
        <w:sz w:val="32"/>
        <w:szCs w:val="32"/>
      </w:rPr>
    </w:pPr>
  </w:p>
  <w:p w:rsidR="00D44EE8" w:rsidP="00D44EE8" w:rsidRDefault="00D44EE8" w14:paraId="6F493B0A" w14:textId="56632052">
    <w:pPr>
      <w:pStyle w:val="Header"/>
      <w:jc w:val="right"/>
    </w:pPr>
    <w:r>
      <w:t>I</w:t>
    </w:r>
    <w:r w:rsidR="00962F14">
      <w:t>T</w:t>
    </w:r>
    <w:r>
      <w:t xml:space="preserve">T: </w:t>
    </w:r>
    <w:r w:rsidRPr="70F4A1F9" w:rsidR="00BA06E5">
      <w:rPr>
        <w:rStyle w:val="normaltextrun"/>
        <w:rFonts w:ascii="Calibri" w:hAnsi="Calibri" w:cs="Calibri"/>
      </w:rPr>
      <w:t>BSS2300</w:t>
    </w:r>
    <w:r w:rsidR="00BA06E5">
      <w:rPr>
        <w:rStyle w:val="normaltextrun"/>
        <w:rFonts w:ascii="Calibri" w:hAnsi="Calibri" w:cs="Calibri"/>
      </w:rPr>
      <w:t>5</w:t>
    </w:r>
    <w:r w:rsidRPr="70F4A1F9" w:rsidR="00BA06E5">
      <w:rPr>
        <w:rStyle w:val="normaltextrun"/>
        <w:rFonts w:ascii="Calibri" w:hAnsi="Calibri" w:cs="Calibri"/>
      </w:rPr>
      <w:t xml:space="preserve"> – </w:t>
    </w:r>
    <w:r w:rsidR="00BA06E5">
      <w:rPr>
        <w:rStyle w:val="normaltextrun"/>
        <w:rFonts w:ascii="Calibri" w:hAnsi="Calibri" w:cs="Calibri"/>
      </w:rPr>
      <w:t>Works of Adaptations (WOA)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D5E7D" w:rsidP="001D5E7D" w:rsidRDefault="001D5E7D" w14:paraId="1DCDFD7E" w14:textId="59D94245">
    <w:pPr>
      <w:pStyle w:val="Header"/>
      <w:jc w:val="right"/>
    </w:pPr>
    <w:r>
      <w:rPr>
        <w:noProof/>
      </w:rPr>
      <w:drawing>
        <wp:anchor distT="0" distB="0" distL="114300" distR="114300" simplePos="0" relativeHeight="251658240" behindDoc="0" locked="0" layoutInCell="1" allowOverlap="1" wp14:anchorId="2F6A9042" wp14:editId="6633549D">
          <wp:simplePos x="0" y="0"/>
          <wp:positionH relativeFrom="page">
            <wp:align>right</wp:align>
          </wp:positionH>
          <wp:positionV relativeFrom="paragraph">
            <wp:posOffset>-450215</wp:posOffset>
          </wp:positionV>
          <wp:extent cx="7551420" cy="1212112"/>
          <wp:effectExtent l="0" t="0" r="0" b="0"/>
          <wp:wrapNone/>
          <wp:docPr id="560720370" name="Picture 560720370"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p>
  <w:p w:rsidRPr="001D5E7D" w:rsidR="001D5E7D" w:rsidP="001D5E7D" w:rsidRDefault="001D5E7D" w14:paraId="6299D5C6" w14:textId="62CFFDD5">
    <w:pPr>
      <w:pStyle w:val="Header"/>
      <w:jc w:val="right"/>
      <w:rPr>
        <w:sz w:val="28"/>
        <w:szCs w:val="28"/>
      </w:rPr>
    </w:pPr>
  </w:p>
  <w:p w:rsidR="00530856" w:rsidP="00F6624D" w:rsidRDefault="00D44EE8" w14:paraId="41553EC7" w14:textId="504FE763">
    <w:pPr>
      <w:pStyle w:val="Footer"/>
      <w:jc w:val="center"/>
    </w:pPr>
    <w:r>
      <w:rPr>
        <w:noProof/>
      </w:rPr>
      <w:drawing>
        <wp:anchor distT="0" distB="0" distL="114300" distR="114300" simplePos="0" relativeHeight="251658243" behindDoc="0" locked="0" layoutInCell="1" allowOverlap="1" wp14:anchorId="1DAA3217" wp14:editId="0A89DCD6">
          <wp:simplePos x="0" y="0"/>
          <wp:positionH relativeFrom="page">
            <wp:posOffset>11430</wp:posOffset>
          </wp:positionH>
          <wp:positionV relativeFrom="page">
            <wp:posOffset>4028278</wp:posOffset>
          </wp:positionV>
          <wp:extent cx="7505700" cy="6631305"/>
          <wp:effectExtent l="0" t="0" r="0" b="0"/>
          <wp:wrapSquare wrapText="bothSides"/>
          <wp:docPr id="697897927" name="Picture 697897927" descr="A logo with rainbow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07222" name="Picture 1" descr="A logo with rainbow colored lines&#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r="59783"/>
                  <a:stretch/>
                </pic:blipFill>
                <pic:spPr bwMode="auto">
                  <a:xfrm flipH="1">
                    <a:off x="0" y="0"/>
                    <a:ext cx="7505700" cy="6631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44EE8" w:rsidP="001D5E7D" w:rsidRDefault="00D44EE8" w14:paraId="764563F4" w14:textId="77777777">
    <w:pPr>
      <w:pStyle w:val="Header"/>
      <w:jc w:val="right"/>
    </w:pPr>
    <w:r>
      <w:rPr>
        <w:noProof/>
      </w:rPr>
      <w:drawing>
        <wp:anchor distT="0" distB="0" distL="114300" distR="114300" simplePos="0" relativeHeight="251658241" behindDoc="0" locked="0" layoutInCell="1" allowOverlap="1" wp14:anchorId="2548533C" wp14:editId="62ADEDDA">
          <wp:simplePos x="0" y="0"/>
          <wp:positionH relativeFrom="page">
            <wp:align>right</wp:align>
          </wp:positionH>
          <wp:positionV relativeFrom="paragraph">
            <wp:posOffset>-450215</wp:posOffset>
          </wp:positionV>
          <wp:extent cx="7551420" cy="1212112"/>
          <wp:effectExtent l="0" t="0" r="0" b="0"/>
          <wp:wrapNone/>
          <wp:docPr id="1649752089" name="Picture 1649752089"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458AA1DB" wp14:editId="72702A58">
          <wp:simplePos x="0" y="0"/>
          <wp:positionH relativeFrom="margin">
            <wp:posOffset>148590</wp:posOffset>
          </wp:positionH>
          <wp:positionV relativeFrom="paragraph">
            <wp:posOffset>0</wp:posOffset>
          </wp:positionV>
          <wp:extent cx="2244090" cy="798195"/>
          <wp:effectExtent l="0" t="0" r="3810" b="1905"/>
          <wp:wrapNone/>
          <wp:docPr id="909114234" name="Picture 90911423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4090" cy="798195"/>
                  </a:xfrm>
                  <a:prstGeom prst="rect">
                    <a:avLst/>
                  </a:prstGeom>
                </pic:spPr>
              </pic:pic>
            </a:graphicData>
          </a:graphic>
          <wp14:sizeRelH relativeFrom="page">
            <wp14:pctWidth>0</wp14:pctWidth>
          </wp14:sizeRelH>
          <wp14:sizeRelV relativeFrom="page">
            <wp14:pctHeight>0</wp14:pctHeight>
          </wp14:sizeRelV>
        </wp:anchor>
      </w:drawing>
    </w:r>
  </w:p>
  <w:p w:rsidRPr="001D5E7D" w:rsidR="00D44EE8" w:rsidP="001D5E7D" w:rsidRDefault="00D44EE8" w14:paraId="5F18709D" w14:textId="77777777">
    <w:pPr>
      <w:pStyle w:val="Header"/>
      <w:jc w:val="right"/>
      <w:rPr>
        <w:sz w:val="28"/>
        <w:szCs w:val="28"/>
      </w:rPr>
    </w:pPr>
  </w:p>
  <w:p w:rsidR="00D44EE8" w:rsidP="001D5E7D" w:rsidRDefault="00D44EE8" w14:paraId="47A5234E" w14:textId="77777777">
    <w:pPr>
      <w:pStyle w:val="Footer"/>
      <w:jc w:val="right"/>
    </w:pPr>
    <w:r>
      <w:t>IIT: [Contract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4944"/>
    <w:multiLevelType w:val="multilevel"/>
    <w:tmpl w:val="CD5CCAD4"/>
    <w:lvl w:ilvl="0">
      <w:start w:val="1"/>
      <w:numFmt w:val="decimal"/>
      <w:lvlText w:val="%1."/>
      <w:lvlJc w:val="left"/>
      <w:pPr>
        <w:ind w:left="360" w:hanging="360"/>
      </w:pPr>
      <w:rPr>
        <w:rFonts w:hint="default"/>
      </w:rPr>
    </w:lvl>
    <w:lvl w:ilvl="1">
      <w:start w:val="1"/>
      <w:numFmt w:val="decimal"/>
      <w:lvlText w:val="%1.%2."/>
      <w:lvlJc w:val="left"/>
      <w:pPr>
        <w:ind w:left="43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71328"/>
    <w:multiLevelType w:val="hybridMultilevel"/>
    <w:tmpl w:val="9D3A5E4A"/>
    <w:lvl w:ilvl="0" w:tplc="6B48460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B966A6"/>
    <w:multiLevelType w:val="multilevel"/>
    <w:tmpl w:val="D6EEF868"/>
    <w:styleLink w:val="CurrentList1"/>
    <w:lvl w:ilvl="0">
      <w:start w:val="1"/>
      <w:numFmt w:val="lowerLetter"/>
      <w:lvlText w:val="%1)"/>
      <w:lvlJc w:val="left"/>
      <w:pPr>
        <w:ind w:left="720" w:hanging="720"/>
      </w:pPr>
      <w:rPr>
        <w:rFonts w:asciiTheme="minorHAnsi" w:hAnsiTheme="minorHAnsi" w:eastAsiaTheme="majorEastAsia"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DB934CA"/>
    <w:multiLevelType w:val="hybridMultilevel"/>
    <w:tmpl w:val="EC46F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93778"/>
    <w:multiLevelType w:val="multilevel"/>
    <w:tmpl w:val="CD5CCAD4"/>
    <w:lvl w:ilvl="0">
      <w:start w:val="1"/>
      <w:numFmt w:val="decimal"/>
      <w:lvlText w:val="%1."/>
      <w:lvlJc w:val="left"/>
      <w:pPr>
        <w:ind w:left="360" w:hanging="360"/>
      </w:pPr>
      <w:rPr>
        <w:rFonts w:hint="default"/>
      </w:rPr>
    </w:lvl>
    <w:lvl w:ilvl="1">
      <w:start w:val="1"/>
      <w:numFmt w:val="decimal"/>
      <w:lvlText w:val="%1.%2."/>
      <w:lvlJc w:val="left"/>
      <w:pPr>
        <w:ind w:left="43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907C24"/>
    <w:multiLevelType w:val="hybridMultilevel"/>
    <w:tmpl w:val="97F6296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9F3B4B"/>
    <w:multiLevelType w:val="hybridMultilevel"/>
    <w:tmpl w:val="E90C30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1E7FE9"/>
    <w:multiLevelType w:val="hybridMultilevel"/>
    <w:tmpl w:val="9DF42436"/>
    <w:lvl w:ilvl="0" w:tplc="D57210B0">
      <w:start w:val="1"/>
      <w:numFmt w:val="lowerLetter"/>
      <w:lvlText w:val="%1)"/>
      <w:lvlJc w:val="left"/>
      <w:pPr>
        <w:ind w:left="1080" w:hanging="720"/>
      </w:pPr>
      <w:rPr>
        <w:rFonts w:hint="default" w:asciiTheme="minorHAnsi" w:hAnsiTheme="minorHAnsi" w:eastAsiaTheme="majorEastAsia"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2939A3"/>
    <w:multiLevelType w:val="hybridMultilevel"/>
    <w:tmpl w:val="CE7AD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11C97"/>
    <w:multiLevelType w:val="hybridMultilevel"/>
    <w:tmpl w:val="295C3B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A931026"/>
    <w:multiLevelType w:val="hybridMultilevel"/>
    <w:tmpl w:val="4EE2C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E7AEB"/>
    <w:multiLevelType w:val="multilevel"/>
    <w:tmpl w:val="CD5CCAD4"/>
    <w:lvl w:ilvl="0">
      <w:start w:val="1"/>
      <w:numFmt w:val="decimal"/>
      <w:lvlText w:val="%1."/>
      <w:lvlJc w:val="left"/>
      <w:pPr>
        <w:ind w:left="360" w:hanging="360"/>
      </w:pPr>
      <w:rPr>
        <w:rFonts w:hint="default"/>
      </w:rPr>
    </w:lvl>
    <w:lvl w:ilvl="1">
      <w:start w:val="1"/>
      <w:numFmt w:val="decimal"/>
      <w:lvlText w:val="%1.%2."/>
      <w:lvlJc w:val="left"/>
      <w:pPr>
        <w:ind w:left="43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BE62A9"/>
    <w:multiLevelType w:val="hybridMultilevel"/>
    <w:tmpl w:val="69C057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F833F6A"/>
    <w:multiLevelType w:val="hybridMultilevel"/>
    <w:tmpl w:val="100A9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DA3271"/>
    <w:multiLevelType w:val="hybridMultilevel"/>
    <w:tmpl w:val="54129524"/>
    <w:lvl w:ilvl="0" w:tplc="FFFFFFFF">
      <w:start w:val="1"/>
      <w:numFmt w:val="lowerLetter"/>
      <w:lvlText w:val="%1)"/>
      <w:lvlJc w:val="left"/>
      <w:pPr>
        <w:ind w:left="720" w:hanging="720"/>
      </w:pPr>
      <w:rPr>
        <w:rFonts w:asciiTheme="minorHAnsi" w:hAnsiTheme="minorHAnsi" w:eastAsiaTheme="majorEastAsia"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43A1F6A"/>
    <w:multiLevelType w:val="hybridMultilevel"/>
    <w:tmpl w:val="D8A606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52C7199"/>
    <w:multiLevelType w:val="hybridMultilevel"/>
    <w:tmpl w:val="80606100"/>
    <w:lvl w:ilvl="0" w:tplc="61E4F5B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327FD8"/>
    <w:multiLevelType w:val="hybridMultilevel"/>
    <w:tmpl w:val="1396CA70"/>
    <w:lvl w:ilvl="0" w:tplc="B1CA2E60">
      <w:numFmt w:val="bullet"/>
      <w:lvlText w:val="•"/>
      <w:lvlJc w:val="left"/>
      <w:pPr>
        <w:ind w:left="1080" w:hanging="720"/>
      </w:pPr>
      <w:rPr>
        <w:rFonts w:hint="default" w:ascii="Calibri" w:hAnsi="Calibri" w:cs="Calibri" w:eastAsiaTheme="majorEastAsia"/>
      </w:rPr>
    </w:lvl>
    <w:lvl w:ilvl="1" w:tplc="B0ECC976">
      <w:numFmt w:val="bullet"/>
      <w:lvlText w:val="-"/>
      <w:lvlJc w:val="left"/>
      <w:pPr>
        <w:ind w:left="1800" w:hanging="720"/>
      </w:pPr>
      <w:rPr>
        <w:rFonts w:hint="default" w:ascii="Calibri" w:hAnsi="Calibri" w:cs="Calibri" w:eastAsiaTheme="majorEastAsia"/>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FB16EAE"/>
    <w:multiLevelType w:val="hybridMultilevel"/>
    <w:tmpl w:val="BDD651E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3B174FC"/>
    <w:multiLevelType w:val="hybridMultilevel"/>
    <w:tmpl w:val="64520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5C03DC"/>
    <w:multiLevelType w:val="hybridMultilevel"/>
    <w:tmpl w:val="759C80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1F5339E"/>
    <w:multiLevelType w:val="hybridMultilevel"/>
    <w:tmpl w:val="5B8C7B06"/>
    <w:lvl w:ilvl="0" w:tplc="FFFFFFFF">
      <w:numFmt w:val="bullet"/>
      <w:lvlText w:val="•"/>
      <w:lvlJc w:val="left"/>
      <w:pPr>
        <w:ind w:left="1080" w:hanging="720"/>
      </w:pPr>
      <w:rPr>
        <w:rFonts w:hint="default" w:ascii="Calibri" w:hAnsi="Calibri" w:cs="Calibri" w:eastAsiaTheme="majorEastAsia"/>
      </w:rPr>
    </w:lvl>
    <w:lvl w:ilvl="1" w:tplc="B1CA2E60">
      <w:numFmt w:val="bullet"/>
      <w:lvlText w:val="•"/>
      <w:lvlJc w:val="left"/>
      <w:pPr>
        <w:ind w:left="1440" w:hanging="360"/>
      </w:pPr>
      <w:rPr>
        <w:rFonts w:hint="default" w:ascii="Calibri" w:hAnsi="Calibri" w:cs="Calibri" w:eastAsiaTheme="majorEastAsia"/>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626467C9"/>
    <w:multiLevelType w:val="hybridMultilevel"/>
    <w:tmpl w:val="0B6ED764"/>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64223DE6"/>
    <w:multiLevelType w:val="multilevel"/>
    <w:tmpl w:val="CD5CCAD4"/>
    <w:lvl w:ilvl="0">
      <w:start w:val="1"/>
      <w:numFmt w:val="decimal"/>
      <w:lvlText w:val="%1."/>
      <w:lvlJc w:val="left"/>
      <w:pPr>
        <w:ind w:left="360" w:hanging="360"/>
      </w:pPr>
      <w:rPr>
        <w:rFonts w:hint="default"/>
      </w:rPr>
    </w:lvl>
    <w:lvl w:ilvl="1">
      <w:start w:val="1"/>
      <w:numFmt w:val="decimal"/>
      <w:lvlText w:val="%1.%2."/>
      <w:lvlJc w:val="left"/>
      <w:pPr>
        <w:ind w:left="43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BF7BCB"/>
    <w:multiLevelType w:val="hybridMultilevel"/>
    <w:tmpl w:val="A4887038"/>
    <w:lvl w:ilvl="0" w:tplc="C8364B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C9C677E"/>
    <w:multiLevelType w:val="hybridMultilevel"/>
    <w:tmpl w:val="88CC777C"/>
    <w:lvl w:ilvl="0" w:tplc="6E3A4A7A">
      <w:start w:val="4"/>
      <w:numFmt w:val="bullet"/>
      <w:lvlText w:val="·"/>
      <w:lvlJc w:val="left"/>
      <w:pPr>
        <w:ind w:left="720" w:hanging="360"/>
      </w:pPr>
      <w:rPr>
        <w:rFonts w:hint="default" w:ascii="Calibri" w:hAnsi="Calibri" w:cs="Calibri" w:eastAsiaTheme="maj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6BE3031"/>
    <w:multiLevelType w:val="hybridMultilevel"/>
    <w:tmpl w:val="DFE02368"/>
    <w:lvl w:ilvl="0" w:tplc="CD1AEB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680C7C"/>
    <w:multiLevelType w:val="hybridMultilevel"/>
    <w:tmpl w:val="8C482C4A"/>
    <w:lvl w:ilvl="0" w:tplc="7D62B86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3343119">
    <w:abstractNumId w:val="23"/>
  </w:num>
  <w:num w:numId="2" w16cid:durableId="1087116861">
    <w:abstractNumId w:val="16"/>
  </w:num>
  <w:num w:numId="3" w16cid:durableId="222179993">
    <w:abstractNumId w:val="7"/>
  </w:num>
  <w:num w:numId="4" w16cid:durableId="842670476">
    <w:abstractNumId w:val="27"/>
  </w:num>
  <w:num w:numId="5" w16cid:durableId="483737255">
    <w:abstractNumId w:val="15"/>
  </w:num>
  <w:num w:numId="6" w16cid:durableId="247083713">
    <w:abstractNumId w:val="17"/>
  </w:num>
  <w:num w:numId="7" w16cid:durableId="1601183346">
    <w:abstractNumId w:val="21"/>
  </w:num>
  <w:num w:numId="8" w16cid:durableId="1283422684">
    <w:abstractNumId w:val="18"/>
  </w:num>
  <w:num w:numId="9" w16cid:durableId="1474904659">
    <w:abstractNumId w:val="1"/>
  </w:num>
  <w:num w:numId="10" w16cid:durableId="1629969163">
    <w:abstractNumId w:val="5"/>
  </w:num>
  <w:num w:numId="11" w16cid:durableId="797650872">
    <w:abstractNumId w:val="24"/>
  </w:num>
  <w:num w:numId="12" w16cid:durableId="1465656250">
    <w:abstractNumId w:val="12"/>
  </w:num>
  <w:num w:numId="13" w16cid:durableId="663972081">
    <w:abstractNumId w:val="13"/>
  </w:num>
  <w:num w:numId="14" w16cid:durableId="624312808">
    <w:abstractNumId w:val="9"/>
  </w:num>
  <w:num w:numId="15" w16cid:durableId="1639602026">
    <w:abstractNumId w:val="20"/>
  </w:num>
  <w:num w:numId="16" w16cid:durableId="1448235778">
    <w:abstractNumId w:val="25"/>
  </w:num>
  <w:num w:numId="17" w16cid:durableId="1370687694">
    <w:abstractNumId w:val="22"/>
  </w:num>
  <w:num w:numId="18" w16cid:durableId="775759775">
    <w:abstractNumId w:val="10"/>
  </w:num>
  <w:num w:numId="19" w16cid:durableId="1155300193">
    <w:abstractNumId w:val="3"/>
  </w:num>
  <w:num w:numId="20" w16cid:durableId="191917641">
    <w:abstractNumId w:val="8"/>
  </w:num>
  <w:num w:numId="21" w16cid:durableId="1247493207">
    <w:abstractNumId w:val="14"/>
  </w:num>
  <w:num w:numId="22" w16cid:durableId="1211573565">
    <w:abstractNumId w:val="2"/>
  </w:num>
  <w:num w:numId="23" w16cid:durableId="114640810">
    <w:abstractNumId w:val="6"/>
  </w:num>
  <w:num w:numId="24" w16cid:durableId="216936204">
    <w:abstractNumId w:val="4"/>
  </w:num>
  <w:num w:numId="25" w16cid:durableId="1480728163">
    <w:abstractNumId w:val="0"/>
  </w:num>
  <w:num w:numId="26" w16cid:durableId="2111076597">
    <w:abstractNumId w:val="11"/>
  </w:num>
  <w:num w:numId="27" w16cid:durableId="739332026">
    <w:abstractNumId w:val="26"/>
  </w:num>
  <w:num w:numId="28" w16cid:durableId="19458411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56"/>
    <w:rsid w:val="000025BF"/>
    <w:rsid w:val="00002EE7"/>
    <w:rsid w:val="00010883"/>
    <w:rsid w:val="00015E8E"/>
    <w:rsid w:val="00026EFB"/>
    <w:rsid w:val="00031940"/>
    <w:rsid w:val="00040861"/>
    <w:rsid w:val="00044344"/>
    <w:rsid w:val="000447A1"/>
    <w:rsid w:val="000517EC"/>
    <w:rsid w:val="000555B1"/>
    <w:rsid w:val="00057FA2"/>
    <w:rsid w:val="0006143D"/>
    <w:rsid w:val="000624D4"/>
    <w:rsid w:val="00064FAC"/>
    <w:rsid w:val="000670EA"/>
    <w:rsid w:val="00070406"/>
    <w:rsid w:val="0007115C"/>
    <w:rsid w:val="0008563E"/>
    <w:rsid w:val="00086636"/>
    <w:rsid w:val="00087491"/>
    <w:rsid w:val="00090249"/>
    <w:rsid w:val="00097DD8"/>
    <w:rsid w:val="000A17D3"/>
    <w:rsid w:val="000A2EAD"/>
    <w:rsid w:val="000A390F"/>
    <w:rsid w:val="000C1E58"/>
    <w:rsid w:val="000D40E7"/>
    <w:rsid w:val="000E3F78"/>
    <w:rsid w:val="000F0FF6"/>
    <w:rsid w:val="000F5E90"/>
    <w:rsid w:val="000F6B9C"/>
    <w:rsid w:val="00101203"/>
    <w:rsid w:val="00113090"/>
    <w:rsid w:val="00113C56"/>
    <w:rsid w:val="00113F76"/>
    <w:rsid w:val="00115C8E"/>
    <w:rsid w:val="00116257"/>
    <w:rsid w:val="00116ADB"/>
    <w:rsid w:val="00137C11"/>
    <w:rsid w:val="00157278"/>
    <w:rsid w:val="00170FB3"/>
    <w:rsid w:val="001873A7"/>
    <w:rsid w:val="001A0344"/>
    <w:rsid w:val="001B27B5"/>
    <w:rsid w:val="001B4664"/>
    <w:rsid w:val="001D13DE"/>
    <w:rsid w:val="001D5E7D"/>
    <w:rsid w:val="001D77F5"/>
    <w:rsid w:val="001E404F"/>
    <w:rsid w:val="001E4888"/>
    <w:rsid w:val="002141CF"/>
    <w:rsid w:val="002361F5"/>
    <w:rsid w:val="00242380"/>
    <w:rsid w:val="0024343B"/>
    <w:rsid w:val="00243FAF"/>
    <w:rsid w:val="00251286"/>
    <w:rsid w:val="00254FD2"/>
    <w:rsid w:val="00256C20"/>
    <w:rsid w:val="00265483"/>
    <w:rsid w:val="002664F9"/>
    <w:rsid w:val="00272CD3"/>
    <w:rsid w:val="0027331C"/>
    <w:rsid w:val="00281861"/>
    <w:rsid w:val="002821D1"/>
    <w:rsid w:val="0028699F"/>
    <w:rsid w:val="002875D8"/>
    <w:rsid w:val="00293A6A"/>
    <w:rsid w:val="00294300"/>
    <w:rsid w:val="002A43DA"/>
    <w:rsid w:val="002A5A52"/>
    <w:rsid w:val="002B4109"/>
    <w:rsid w:val="002B603B"/>
    <w:rsid w:val="002C5E40"/>
    <w:rsid w:val="002D0282"/>
    <w:rsid w:val="002D143C"/>
    <w:rsid w:val="002D1689"/>
    <w:rsid w:val="002D5FA5"/>
    <w:rsid w:val="002DD368"/>
    <w:rsid w:val="002E7318"/>
    <w:rsid w:val="002E7E66"/>
    <w:rsid w:val="002F0BA9"/>
    <w:rsid w:val="00302C96"/>
    <w:rsid w:val="00312AF3"/>
    <w:rsid w:val="00331752"/>
    <w:rsid w:val="003333CD"/>
    <w:rsid w:val="0033390E"/>
    <w:rsid w:val="00333E29"/>
    <w:rsid w:val="00344EE9"/>
    <w:rsid w:val="00351398"/>
    <w:rsid w:val="00352B5A"/>
    <w:rsid w:val="00360D8B"/>
    <w:rsid w:val="00366023"/>
    <w:rsid w:val="00366F37"/>
    <w:rsid w:val="00371297"/>
    <w:rsid w:val="003826C4"/>
    <w:rsid w:val="00384CD4"/>
    <w:rsid w:val="003A030A"/>
    <w:rsid w:val="003A0C25"/>
    <w:rsid w:val="003A1FAE"/>
    <w:rsid w:val="003A28C9"/>
    <w:rsid w:val="003B105B"/>
    <w:rsid w:val="003C1AEC"/>
    <w:rsid w:val="003C6A84"/>
    <w:rsid w:val="003F4927"/>
    <w:rsid w:val="003F6EF5"/>
    <w:rsid w:val="003F7402"/>
    <w:rsid w:val="00403077"/>
    <w:rsid w:val="00405C59"/>
    <w:rsid w:val="00411A86"/>
    <w:rsid w:val="00412A9B"/>
    <w:rsid w:val="00415285"/>
    <w:rsid w:val="00416462"/>
    <w:rsid w:val="00421316"/>
    <w:rsid w:val="00425720"/>
    <w:rsid w:val="004408F1"/>
    <w:rsid w:val="00447131"/>
    <w:rsid w:val="00476001"/>
    <w:rsid w:val="004760B8"/>
    <w:rsid w:val="004824A2"/>
    <w:rsid w:val="00492C9D"/>
    <w:rsid w:val="00494C31"/>
    <w:rsid w:val="00496555"/>
    <w:rsid w:val="004A3843"/>
    <w:rsid w:val="004A40BF"/>
    <w:rsid w:val="004B0DC8"/>
    <w:rsid w:val="004B5A7A"/>
    <w:rsid w:val="004B7DA0"/>
    <w:rsid w:val="004C1B72"/>
    <w:rsid w:val="004D0BA7"/>
    <w:rsid w:val="004D7990"/>
    <w:rsid w:val="004E2834"/>
    <w:rsid w:val="004F053A"/>
    <w:rsid w:val="004F0679"/>
    <w:rsid w:val="004F31B7"/>
    <w:rsid w:val="004F72CE"/>
    <w:rsid w:val="005204CE"/>
    <w:rsid w:val="00530856"/>
    <w:rsid w:val="00533B59"/>
    <w:rsid w:val="00542661"/>
    <w:rsid w:val="00552363"/>
    <w:rsid w:val="00557CFA"/>
    <w:rsid w:val="00560806"/>
    <w:rsid w:val="005631DC"/>
    <w:rsid w:val="005706C0"/>
    <w:rsid w:val="00571C02"/>
    <w:rsid w:val="0057482A"/>
    <w:rsid w:val="00574899"/>
    <w:rsid w:val="00580F4B"/>
    <w:rsid w:val="00581B46"/>
    <w:rsid w:val="0059228E"/>
    <w:rsid w:val="005B3697"/>
    <w:rsid w:val="005B3C9B"/>
    <w:rsid w:val="005B7630"/>
    <w:rsid w:val="005C553C"/>
    <w:rsid w:val="005D17C4"/>
    <w:rsid w:val="005E0AAC"/>
    <w:rsid w:val="005E2A4A"/>
    <w:rsid w:val="005F6228"/>
    <w:rsid w:val="00612CBF"/>
    <w:rsid w:val="00630EAE"/>
    <w:rsid w:val="00634D74"/>
    <w:rsid w:val="00635CE7"/>
    <w:rsid w:val="006430C6"/>
    <w:rsid w:val="00643B2F"/>
    <w:rsid w:val="0066157D"/>
    <w:rsid w:val="00671BF3"/>
    <w:rsid w:val="00672753"/>
    <w:rsid w:val="00673E1F"/>
    <w:rsid w:val="006769EF"/>
    <w:rsid w:val="00676EDA"/>
    <w:rsid w:val="00681CD1"/>
    <w:rsid w:val="00685858"/>
    <w:rsid w:val="00692724"/>
    <w:rsid w:val="0069741A"/>
    <w:rsid w:val="006C4F45"/>
    <w:rsid w:val="006D01E6"/>
    <w:rsid w:val="006D26DE"/>
    <w:rsid w:val="006E6835"/>
    <w:rsid w:val="006F159E"/>
    <w:rsid w:val="006F5008"/>
    <w:rsid w:val="006F711B"/>
    <w:rsid w:val="00706CCA"/>
    <w:rsid w:val="00707D00"/>
    <w:rsid w:val="007133B9"/>
    <w:rsid w:val="00716423"/>
    <w:rsid w:val="0072062A"/>
    <w:rsid w:val="00723BE8"/>
    <w:rsid w:val="00733607"/>
    <w:rsid w:val="00753EF2"/>
    <w:rsid w:val="007601DC"/>
    <w:rsid w:val="00760ECD"/>
    <w:rsid w:val="00763889"/>
    <w:rsid w:val="00797A49"/>
    <w:rsid w:val="007A35A7"/>
    <w:rsid w:val="007B6113"/>
    <w:rsid w:val="007C0CDA"/>
    <w:rsid w:val="007C17AF"/>
    <w:rsid w:val="007D07CD"/>
    <w:rsid w:val="007D1D48"/>
    <w:rsid w:val="007D2922"/>
    <w:rsid w:val="007F366B"/>
    <w:rsid w:val="008146D0"/>
    <w:rsid w:val="00821310"/>
    <w:rsid w:val="008302C9"/>
    <w:rsid w:val="00834409"/>
    <w:rsid w:val="00841AF0"/>
    <w:rsid w:val="008469E6"/>
    <w:rsid w:val="00852DA2"/>
    <w:rsid w:val="00863BE5"/>
    <w:rsid w:val="00880A55"/>
    <w:rsid w:val="0088412F"/>
    <w:rsid w:val="00886F5E"/>
    <w:rsid w:val="00890557"/>
    <w:rsid w:val="00893298"/>
    <w:rsid w:val="008A4512"/>
    <w:rsid w:val="008A566F"/>
    <w:rsid w:val="008B0468"/>
    <w:rsid w:val="008B3C1D"/>
    <w:rsid w:val="008B48D8"/>
    <w:rsid w:val="008C0AEE"/>
    <w:rsid w:val="008C1ACD"/>
    <w:rsid w:val="008D3118"/>
    <w:rsid w:val="008D6ABE"/>
    <w:rsid w:val="008D7F34"/>
    <w:rsid w:val="008E05BD"/>
    <w:rsid w:val="008E4F92"/>
    <w:rsid w:val="00902030"/>
    <w:rsid w:val="00906711"/>
    <w:rsid w:val="00906A82"/>
    <w:rsid w:val="00907E3B"/>
    <w:rsid w:val="0091620F"/>
    <w:rsid w:val="00924357"/>
    <w:rsid w:val="009326EF"/>
    <w:rsid w:val="00947AEE"/>
    <w:rsid w:val="00951F04"/>
    <w:rsid w:val="00954053"/>
    <w:rsid w:val="00960549"/>
    <w:rsid w:val="009613A1"/>
    <w:rsid w:val="00962F14"/>
    <w:rsid w:val="00963C3B"/>
    <w:rsid w:val="00967402"/>
    <w:rsid w:val="00974800"/>
    <w:rsid w:val="009763BD"/>
    <w:rsid w:val="0098428C"/>
    <w:rsid w:val="00986515"/>
    <w:rsid w:val="00990BAB"/>
    <w:rsid w:val="0099235D"/>
    <w:rsid w:val="009A3E48"/>
    <w:rsid w:val="009B277E"/>
    <w:rsid w:val="009B3BB0"/>
    <w:rsid w:val="009D1CAE"/>
    <w:rsid w:val="009D529B"/>
    <w:rsid w:val="009D6312"/>
    <w:rsid w:val="009E0A5E"/>
    <w:rsid w:val="009F33BA"/>
    <w:rsid w:val="009F3A28"/>
    <w:rsid w:val="009F7C20"/>
    <w:rsid w:val="00A01D56"/>
    <w:rsid w:val="00A05BA2"/>
    <w:rsid w:val="00A22F68"/>
    <w:rsid w:val="00A23755"/>
    <w:rsid w:val="00A30643"/>
    <w:rsid w:val="00A3408D"/>
    <w:rsid w:val="00A35D5C"/>
    <w:rsid w:val="00A427D4"/>
    <w:rsid w:val="00A42D7A"/>
    <w:rsid w:val="00A46D90"/>
    <w:rsid w:val="00A52185"/>
    <w:rsid w:val="00A54AE9"/>
    <w:rsid w:val="00A6251E"/>
    <w:rsid w:val="00A71A1A"/>
    <w:rsid w:val="00A91EFD"/>
    <w:rsid w:val="00A95198"/>
    <w:rsid w:val="00A95900"/>
    <w:rsid w:val="00A97623"/>
    <w:rsid w:val="00AA13DE"/>
    <w:rsid w:val="00AA6D98"/>
    <w:rsid w:val="00AB019A"/>
    <w:rsid w:val="00AB7D14"/>
    <w:rsid w:val="00AC0C49"/>
    <w:rsid w:val="00AD256A"/>
    <w:rsid w:val="00AD2F81"/>
    <w:rsid w:val="00AD7745"/>
    <w:rsid w:val="00AD7D7C"/>
    <w:rsid w:val="00AE1207"/>
    <w:rsid w:val="00AE20B6"/>
    <w:rsid w:val="00AE6D79"/>
    <w:rsid w:val="00B06BAB"/>
    <w:rsid w:val="00B1482B"/>
    <w:rsid w:val="00B335FA"/>
    <w:rsid w:val="00B42A20"/>
    <w:rsid w:val="00B4304A"/>
    <w:rsid w:val="00B464C9"/>
    <w:rsid w:val="00B52727"/>
    <w:rsid w:val="00B53547"/>
    <w:rsid w:val="00B5734F"/>
    <w:rsid w:val="00B754CB"/>
    <w:rsid w:val="00B7626A"/>
    <w:rsid w:val="00B921FC"/>
    <w:rsid w:val="00B97C30"/>
    <w:rsid w:val="00BA06E5"/>
    <w:rsid w:val="00BA480A"/>
    <w:rsid w:val="00BA6458"/>
    <w:rsid w:val="00BA781A"/>
    <w:rsid w:val="00BC2AC8"/>
    <w:rsid w:val="00BE0CDD"/>
    <w:rsid w:val="00BE70F9"/>
    <w:rsid w:val="00BF05E0"/>
    <w:rsid w:val="00BF4119"/>
    <w:rsid w:val="00C04B92"/>
    <w:rsid w:val="00C3019E"/>
    <w:rsid w:val="00C36FDB"/>
    <w:rsid w:val="00C46E1A"/>
    <w:rsid w:val="00C52302"/>
    <w:rsid w:val="00C546FE"/>
    <w:rsid w:val="00C55CB0"/>
    <w:rsid w:val="00C61243"/>
    <w:rsid w:val="00C71148"/>
    <w:rsid w:val="00C818C0"/>
    <w:rsid w:val="00C81E4B"/>
    <w:rsid w:val="00C84B10"/>
    <w:rsid w:val="00C907FF"/>
    <w:rsid w:val="00C91ED5"/>
    <w:rsid w:val="00C9696F"/>
    <w:rsid w:val="00CA199D"/>
    <w:rsid w:val="00CA2BB5"/>
    <w:rsid w:val="00CA40D4"/>
    <w:rsid w:val="00CA4A36"/>
    <w:rsid w:val="00CB4968"/>
    <w:rsid w:val="00CC2A99"/>
    <w:rsid w:val="00CC2C42"/>
    <w:rsid w:val="00CC5089"/>
    <w:rsid w:val="00CD08BE"/>
    <w:rsid w:val="00CD0C1B"/>
    <w:rsid w:val="00CE67A6"/>
    <w:rsid w:val="00CE6C89"/>
    <w:rsid w:val="00D060B7"/>
    <w:rsid w:val="00D17798"/>
    <w:rsid w:val="00D22193"/>
    <w:rsid w:val="00D26530"/>
    <w:rsid w:val="00D31E81"/>
    <w:rsid w:val="00D333C5"/>
    <w:rsid w:val="00D40059"/>
    <w:rsid w:val="00D43104"/>
    <w:rsid w:val="00D443B3"/>
    <w:rsid w:val="00D44EE8"/>
    <w:rsid w:val="00D52B23"/>
    <w:rsid w:val="00D6754A"/>
    <w:rsid w:val="00D70392"/>
    <w:rsid w:val="00D73E49"/>
    <w:rsid w:val="00D82124"/>
    <w:rsid w:val="00D865ED"/>
    <w:rsid w:val="00DA09B8"/>
    <w:rsid w:val="00DA179F"/>
    <w:rsid w:val="00DB10EA"/>
    <w:rsid w:val="00DB3618"/>
    <w:rsid w:val="00DB6CAC"/>
    <w:rsid w:val="00DF0136"/>
    <w:rsid w:val="00DF536C"/>
    <w:rsid w:val="00DF5B17"/>
    <w:rsid w:val="00E145A5"/>
    <w:rsid w:val="00E1655C"/>
    <w:rsid w:val="00E16A9D"/>
    <w:rsid w:val="00E25593"/>
    <w:rsid w:val="00E279AC"/>
    <w:rsid w:val="00E3156C"/>
    <w:rsid w:val="00E3575E"/>
    <w:rsid w:val="00E500A4"/>
    <w:rsid w:val="00E65C6E"/>
    <w:rsid w:val="00E67306"/>
    <w:rsid w:val="00E701A4"/>
    <w:rsid w:val="00E70590"/>
    <w:rsid w:val="00E7178B"/>
    <w:rsid w:val="00E8198B"/>
    <w:rsid w:val="00E841DE"/>
    <w:rsid w:val="00E85AA1"/>
    <w:rsid w:val="00EA3753"/>
    <w:rsid w:val="00EA7F5D"/>
    <w:rsid w:val="00EB7262"/>
    <w:rsid w:val="00EC3A6D"/>
    <w:rsid w:val="00EC4AF1"/>
    <w:rsid w:val="00EE0683"/>
    <w:rsid w:val="00EE6C7F"/>
    <w:rsid w:val="00EF6E9C"/>
    <w:rsid w:val="00F10409"/>
    <w:rsid w:val="00F104D0"/>
    <w:rsid w:val="00F108F4"/>
    <w:rsid w:val="00F135A0"/>
    <w:rsid w:val="00F13A84"/>
    <w:rsid w:val="00F20C97"/>
    <w:rsid w:val="00F20EEC"/>
    <w:rsid w:val="00F2169A"/>
    <w:rsid w:val="00F41422"/>
    <w:rsid w:val="00F55652"/>
    <w:rsid w:val="00F64E42"/>
    <w:rsid w:val="00F6624D"/>
    <w:rsid w:val="00F678A5"/>
    <w:rsid w:val="00F67CC1"/>
    <w:rsid w:val="00F76581"/>
    <w:rsid w:val="00F840AB"/>
    <w:rsid w:val="00F86394"/>
    <w:rsid w:val="00F87519"/>
    <w:rsid w:val="00F91A35"/>
    <w:rsid w:val="00F95E8F"/>
    <w:rsid w:val="00F96514"/>
    <w:rsid w:val="00F97AA5"/>
    <w:rsid w:val="00FA7C1D"/>
    <w:rsid w:val="00FB4DB1"/>
    <w:rsid w:val="00FC3471"/>
    <w:rsid w:val="00FC5792"/>
    <w:rsid w:val="00FC70F9"/>
    <w:rsid w:val="00FD28DC"/>
    <w:rsid w:val="00FD37F3"/>
    <w:rsid w:val="00FF6D2B"/>
    <w:rsid w:val="01E4273E"/>
    <w:rsid w:val="02B76BF9"/>
    <w:rsid w:val="0338C7DA"/>
    <w:rsid w:val="03667FCE"/>
    <w:rsid w:val="03AE6ACB"/>
    <w:rsid w:val="03CF1FD5"/>
    <w:rsid w:val="063EA1B8"/>
    <w:rsid w:val="0698FA0B"/>
    <w:rsid w:val="074989BC"/>
    <w:rsid w:val="07C2D91F"/>
    <w:rsid w:val="07C7F662"/>
    <w:rsid w:val="09C61C08"/>
    <w:rsid w:val="0A080613"/>
    <w:rsid w:val="0A2538FC"/>
    <w:rsid w:val="0AFF9724"/>
    <w:rsid w:val="0C9B6785"/>
    <w:rsid w:val="0CB5F4F6"/>
    <w:rsid w:val="0F413B95"/>
    <w:rsid w:val="10963772"/>
    <w:rsid w:val="148D510D"/>
    <w:rsid w:val="162168B1"/>
    <w:rsid w:val="17EAAE37"/>
    <w:rsid w:val="1871EEFA"/>
    <w:rsid w:val="19934F58"/>
    <w:rsid w:val="1AE6C3C8"/>
    <w:rsid w:val="1BCB5C91"/>
    <w:rsid w:val="1F176CA8"/>
    <w:rsid w:val="20BE6142"/>
    <w:rsid w:val="227337F4"/>
    <w:rsid w:val="2360C6B4"/>
    <w:rsid w:val="2369537D"/>
    <w:rsid w:val="2379F2AF"/>
    <w:rsid w:val="246D2AF7"/>
    <w:rsid w:val="2540E186"/>
    <w:rsid w:val="2594D0C0"/>
    <w:rsid w:val="27200E71"/>
    <w:rsid w:val="287B4945"/>
    <w:rsid w:val="2AAD4CC0"/>
    <w:rsid w:val="2B24EB9F"/>
    <w:rsid w:val="2C1FDE19"/>
    <w:rsid w:val="2D6A8B19"/>
    <w:rsid w:val="2D77E67B"/>
    <w:rsid w:val="2E0863D1"/>
    <w:rsid w:val="2E407347"/>
    <w:rsid w:val="2FEC07C5"/>
    <w:rsid w:val="3018B4A6"/>
    <w:rsid w:val="308EF1E5"/>
    <w:rsid w:val="30E91DD9"/>
    <w:rsid w:val="32A847FA"/>
    <w:rsid w:val="34EC25C9"/>
    <w:rsid w:val="38FE6121"/>
    <w:rsid w:val="395A04AA"/>
    <w:rsid w:val="3AC8EAD4"/>
    <w:rsid w:val="3C202263"/>
    <w:rsid w:val="3C477B09"/>
    <w:rsid w:val="42A54367"/>
    <w:rsid w:val="430CD254"/>
    <w:rsid w:val="4343102C"/>
    <w:rsid w:val="43553E5B"/>
    <w:rsid w:val="45027CDD"/>
    <w:rsid w:val="45EE6EED"/>
    <w:rsid w:val="49AB5782"/>
    <w:rsid w:val="49BE86B2"/>
    <w:rsid w:val="4A4A7C46"/>
    <w:rsid w:val="4A863F68"/>
    <w:rsid w:val="4AB53EFD"/>
    <w:rsid w:val="4B14A404"/>
    <w:rsid w:val="4B605040"/>
    <w:rsid w:val="4E1678AA"/>
    <w:rsid w:val="4E39AA51"/>
    <w:rsid w:val="4F8BB3F5"/>
    <w:rsid w:val="50D57E7B"/>
    <w:rsid w:val="536B6225"/>
    <w:rsid w:val="536C19F2"/>
    <w:rsid w:val="56033B74"/>
    <w:rsid w:val="5B543594"/>
    <w:rsid w:val="5D2A3DD8"/>
    <w:rsid w:val="5EEFF52D"/>
    <w:rsid w:val="5F4D774D"/>
    <w:rsid w:val="5FC675A4"/>
    <w:rsid w:val="5FF97F32"/>
    <w:rsid w:val="6015F3D4"/>
    <w:rsid w:val="63D56887"/>
    <w:rsid w:val="63ECCF73"/>
    <w:rsid w:val="63F1D5BF"/>
    <w:rsid w:val="640F6FDC"/>
    <w:rsid w:val="64C46E4B"/>
    <w:rsid w:val="65891681"/>
    <w:rsid w:val="668C1DF8"/>
    <w:rsid w:val="66A7EBDA"/>
    <w:rsid w:val="66FB1DB0"/>
    <w:rsid w:val="686E5BDD"/>
    <w:rsid w:val="6ABA2732"/>
    <w:rsid w:val="6B24D33B"/>
    <w:rsid w:val="6C08678E"/>
    <w:rsid w:val="6C856952"/>
    <w:rsid w:val="6EF6C5BE"/>
    <w:rsid w:val="6F59CC77"/>
    <w:rsid w:val="6F9ED32C"/>
    <w:rsid w:val="70E8BAD3"/>
    <w:rsid w:val="713AA38D"/>
    <w:rsid w:val="71985377"/>
    <w:rsid w:val="71A695B2"/>
    <w:rsid w:val="7298C395"/>
    <w:rsid w:val="72EBFFB6"/>
    <w:rsid w:val="73D7A39A"/>
    <w:rsid w:val="745E05A3"/>
    <w:rsid w:val="74A4D177"/>
    <w:rsid w:val="7570F15D"/>
    <w:rsid w:val="75C181D2"/>
    <w:rsid w:val="766DBD1E"/>
    <w:rsid w:val="77DB692C"/>
    <w:rsid w:val="7882215B"/>
    <w:rsid w:val="79C30A82"/>
    <w:rsid w:val="7A6FB802"/>
    <w:rsid w:val="7AE97359"/>
    <w:rsid w:val="7C01C2FB"/>
    <w:rsid w:val="7C8543BA"/>
    <w:rsid w:val="7D9CFD1C"/>
    <w:rsid w:val="7DEA250B"/>
    <w:rsid w:val="7E3E4D9B"/>
    <w:rsid w:val="7E5016C7"/>
    <w:rsid w:val="7F1D637E"/>
    <w:rsid w:val="7FBCE4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698C8"/>
  <w15:chartTrackingRefBased/>
  <w15:docId w15:val="{4C4992D1-BD93-48E5-8E7B-8371E5A0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0856"/>
  </w:style>
  <w:style w:type="paragraph" w:styleId="Heading1">
    <w:name w:val="heading 1"/>
    <w:basedOn w:val="Normal"/>
    <w:next w:val="Normal"/>
    <w:link w:val="Heading1Char"/>
    <w:uiPriority w:val="9"/>
    <w:qFormat/>
    <w:rsid w:val="00530856"/>
    <w:pPr>
      <w:keepNext/>
      <w:keepLines/>
      <w:spacing w:before="320" w:after="0" w:line="240" w:lineRule="auto"/>
      <w:outlineLvl w:val="0"/>
    </w:pPr>
    <w:rPr>
      <w:rFonts w:asciiTheme="majorHAnsi" w:hAnsiTheme="majorHAnsi" w:eastAsiaTheme="majorEastAsia"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30856"/>
    <w:pPr>
      <w:keepNext/>
      <w:keepLines/>
      <w:spacing w:before="40" w:after="0" w:line="240" w:lineRule="auto"/>
      <w:outlineLvl w:val="1"/>
    </w:pPr>
    <w:rPr>
      <w:rFonts w:asciiTheme="majorHAnsi" w:hAnsiTheme="majorHAnsi" w:eastAsiaTheme="majorEastAsia"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30856"/>
    <w:pPr>
      <w:keepNext/>
      <w:keepLines/>
      <w:spacing w:before="40" w:after="0" w:line="240" w:lineRule="auto"/>
      <w:outlineLvl w:val="2"/>
    </w:pPr>
    <w:rPr>
      <w:rFonts w:asciiTheme="majorHAnsi" w:hAnsiTheme="majorHAnsi" w:eastAsiaTheme="majorEastAsia"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30856"/>
    <w:pPr>
      <w:keepNext/>
      <w:keepLines/>
      <w:spacing w:before="40" w:after="0"/>
      <w:outlineLvl w:val="3"/>
    </w:pPr>
    <w:rPr>
      <w:rFonts w:asciiTheme="majorHAnsi" w:hAnsiTheme="majorHAnsi" w:eastAsiaTheme="majorEastAsia"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30856"/>
    <w:pPr>
      <w:keepNext/>
      <w:keepLines/>
      <w:spacing w:before="40" w:after="0"/>
      <w:outlineLvl w:val="4"/>
    </w:pPr>
    <w:rPr>
      <w:rFonts w:asciiTheme="majorHAnsi" w:hAnsiTheme="majorHAnsi" w:eastAsiaTheme="majorEastAsia"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30856"/>
    <w:pPr>
      <w:keepNext/>
      <w:keepLines/>
      <w:spacing w:before="40" w:after="0"/>
      <w:outlineLvl w:val="5"/>
    </w:pPr>
    <w:rPr>
      <w:rFonts w:asciiTheme="majorHAnsi" w:hAnsiTheme="majorHAnsi" w:eastAsiaTheme="majorEastAsia"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30856"/>
    <w:pPr>
      <w:keepNext/>
      <w:keepLines/>
      <w:spacing w:before="40" w:after="0"/>
      <w:outlineLvl w:val="6"/>
    </w:pPr>
    <w:rPr>
      <w:rFonts w:asciiTheme="majorHAnsi" w:hAnsiTheme="majorHAnsi" w:eastAsiaTheme="majorEastAsia" w:cstheme="majorBidi"/>
      <w:color w:val="1F3864" w:themeColor="accent1" w:themeShade="80"/>
    </w:rPr>
  </w:style>
  <w:style w:type="paragraph" w:styleId="Heading8">
    <w:name w:val="heading 8"/>
    <w:basedOn w:val="Normal"/>
    <w:next w:val="Normal"/>
    <w:link w:val="Heading8Char"/>
    <w:uiPriority w:val="9"/>
    <w:semiHidden/>
    <w:unhideWhenUsed/>
    <w:qFormat/>
    <w:rsid w:val="00530856"/>
    <w:pPr>
      <w:keepNext/>
      <w:keepLines/>
      <w:spacing w:before="40" w:after="0"/>
      <w:outlineLvl w:val="7"/>
    </w:pPr>
    <w:rPr>
      <w:rFonts w:asciiTheme="majorHAnsi" w:hAnsiTheme="majorHAnsi" w:eastAsiaTheme="majorEastAsia"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30856"/>
    <w:pPr>
      <w:keepNext/>
      <w:keepLines/>
      <w:spacing w:before="40" w:after="0"/>
      <w:outlineLvl w:val="8"/>
    </w:pPr>
    <w:rPr>
      <w:rFonts w:asciiTheme="majorHAnsi" w:hAnsiTheme="majorHAnsi" w:eastAsiaTheme="majorEastAsia" w:cstheme="majorBidi"/>
      <w:color w:val="385623" w:themeColor="accent6"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30856"/>
    <w:rPr>
      <w:color w:val="0563C1" w:themeColor="hyperlink"/>
      <w:u w:val="single"/>
    </w:rPr>
  </w:style>
  <w:style w:type="paragraph" w:styleId="Header">
    <w:name w:val="header"/>
    <w:basedOn w:val="Normal"/>
    <w:link w:val="HeaderChar"/>
    <w:uiPriority w:val="99"/>
    <w:unhideWhenUsed/>
    <w:rsid w:val="00530856"/>
    <w:pPr>
      <w:tabs>
        <w:tab w:val="center" w:pos="4513"/>
        <w:tab w:val="right" w:pos="9026"/>
      </w:tabs>
    </w:pPr>
  </w:style>
  <w:style w:type="character" w:styleId="HeaderChar" w:customStyle="1">
    <w:name w:val="Header Char"/>
    <w:basedOn w:val="DefaultParagraphFont"/>
    <w:link w:val="Header"/>
    <w:uiPriority w:val="99"/>
    <w:rsid w:val="00530856"/>
    <w:rPr>
      <w:rFonts w:ascii="Times New Roman" w:hAnsi="Times New Roman" w:eastAsia="Times New Roman" w:cs="Times New Roman"/>
      <w:kern w:val="0"/>
      <w:sz w:val="20"/>
      <w:szCs w:val="20"/>
      <w:lang w:eastAsia="en-GB"/>
      <w14:ligatures w14:val="none"/>
    </w:rPr>
  </w:style>
  <w:style w:type="paragraph" w:styleId="Footer">
    <w:name w:val="footer"/>
    <w:basedOn w:val="Normal"/>
    <w:link w:val="FooterChar"/>
    <w:uiPriority w:val="99"/>
    <w:unhideWhenUsed/>
    <w:rsid w:val="00530856"/>
    <w:pPr>
      <w:tabs>
        <w:tab w:val="center" w:pos="4513"/>
        <w:tab w:val="right" w:pos="9026"/>
      </w:tabs>
    </w:pPr>
  </w:style>
  <w:style w:type="character" w:styleId="FooterChar" w:customStyle="1">
    <w:name w:val="Footer Char"/>
    <w:basedOn w:val="DefaultParagraphFont"/>
    <w:link w:val="Footer"/>
    <w:uiPriority w:val="99"/>
    <w:rsid w:val="00530856"/>
    <w:rPr>
      <w:rFonts w:ascii="Times New Roman" w:hAnsi="Times New Roman" w:eastAsia="Times New Roman" w:cs="Times New Roman"/>
      <w:kern w:val="0"/>
      <w:sz w:val="20"/>
      <w:szCs w:val="20"/>
      <w:lang w:eastAsia="en-GB"/>
      <w14:ligatures w14:val="none"/>
    </w:rPr>
  </w:style>
  <w:style w:type="character" w:styleId="Heading1Char" w:customStyle="1">
    <w:name w:val="Heading 1 Char"/>
    <w:basedOn w:val="DefaultParagraphFont"/>
    <w:link w:val="Heading1"/>
    <w:uiPriority w:val="9"/>
    <w:rsid w:val="00530856"/>
    <w:rPr>
      <w:rFonts w:asciiTheme="majorHAnsi" w:hAnsiTheme="majorHAnsi" w:eastAsiaTheme="majorEastAsia" w:cstheme="majorBidi"/>
      <w:color w:val="2F5496" w:themeColor="accent1" w:themeShade="BF"/>
      <w:sz w:val="30"/>
      <w:szCs w:val="30"/>
    </w:rPr>
  </w:style>
  <w:style w:type="paragraph" w:styleId="TOCHeading">
    <w:name w:val="TOC Heading"/>
    <w:basedOn w:val="Heading1"/>
    <w:next w:val="Normal"/>
    <w:uiPriority w:val="39"/>
    <w:unhideWhenUsed/>
    <w:qFormat/>
    <w:rsid w:val="00530856"/>
    <w:pPr>
      <w:outlineLvl w:val="9"/>
    </w:pPr>
  </w:style>
  <w:style w:type="paragraph" w:styleId="ListParagraph">
    <w:name w:val="List Paragraph"/>
    <w:basedOn w:val="Normal"/>
    <w:uiPriority w:val="34"/>
    <w:qFormat/>
    <w:rsid w:val="00530856"/>
    <w:pPr>
      <w:ind w:left="720"/>
      <w:contextualSpacing/>
    </w:pPr>
  </w:style>
  <w:style w:type="character" w:styleId="Heading2Char" w:customStyle="1">
    <w:name w:val="Heading 2 Char"/>
    <w:basedOn w:val="DefaultParagraphFont"/>
    <w:link w:val="Heading2"/>
    <w:uiPriority w:val="9"/>
    <w:rsid w:val="00530856"/>
    <w:rPr>
      <w:rFonts w:asciiTheme="majorHAnsi" w:hAnsiTheme="majorHAnsi" w:eastAsiaTheme="majorEastAsia" w:cstheme="majorBidi"/>
      <w:color w:val="C45911" w:themeColor="accent2" w:themeShade="BF"/>
      <w:sz w:val="28"/>
      <w:szCs w:val="28"/>
    </w:rPr>
  </w:style>
  <w:style w:type="character" w:styleId="Heading3Char" w:customStyle="1">
    <w:name w:val="Heading 3 Char"/>
    <w:basedOn w:val="DefaultParagraphFont"/>
    <w:link w:val="Heading3"/>
    <w:uiPriority w:val="9"/>
    <w:rsid w:val="00530856"/>
    <w:rPr>
      <w:rFonts w:asciiTheme="majorHAnsi" w:hAnsiTheme="majorHAnsi" w:eastAsiaTheme="majorEastAsia" w:cstheme="majorBidi"/>
      <w:color w:val="538135" w:themeColor="accent6" w:themeShade="BF"/>
      <w:sz w:val="26"/>
      <w:szCs w:val="26"/>
    </w:rPr>
  </w:style>
  <w:style w:type="character" w:styleId="Heading4Char" w:customStyle="1">
    <w:name w:val="Heading 4 Char"/>
    <w:basedOn w:val="DefaultParagraphFont"/>
    <w:link w:val="Heading4"/>
    <w:uiPriority w:val="9"/>
    <w:semiHidden/>
    <w:rsid w:val="00530856"/>
    <w:rPr>
      <w:rFonts w:asciiTheme="majorHAnsi" w:hAnsiTheme="majorHAnsi" w:eastAsiaTheme="majorEastAsia" w:cstheme="majorBidi"/>
      <w:i/>
      <w:iCs/>
      <w:color w:val="2E74B5" w:themeColor="accent5" w:themeShade="BF"/>
      <w:sz w:val="25"/>
      <w:szCs w:val="25"/>
    </w:rPr>
  </w:style>
  <w:style w:type="character" w:styleId="Heading5Char" w:customStyle="1">
    <w:name w:val="Heading 5 Char"/>
    <w:basedOn w:val="DefaultParagraphFont"/>
    <w:link w:val="Heading5"/>
    <w:uiPriority w:val="9"/>
    <w:semiHidden/>
    <w:rsid w:val="00530856"/>
    <w:rPr>
      <w:rFonts w:asciiTheme="majorHAnsi" w:hAnsiTheme="majorHAnsi" w:eastAsiaTheme="majorEastAsia" w:cstheme="majorBidi"/>
      <w:i/>
      <w:iCs/>
      <w:color w:val="833C0B" w:themeColor="accent2" w:themeShade="80"/>
      <w:sz w:val="24"/>
      <w:szCs w:val="24"/>
    </w:rPr>
  </w:style>
  <w:style w:type="character" w:styleId="Heading6Char" w:customStyle="1">
    <w:name w:val="Heading 6 Char"/>
    <w:basedOn w:val="DefaultParagraphFont"/>
    <w:link w:val="Heading6"/>
    <w:uiPriority w:val="9"/>
    <w:semiHidden/>
    <w:rsid w:val="00530856"/>
    <w:rPr>
      <w:rFonts w:asciiTheme="majorHAnsi" w:hAnsiTheme="majorHAnsi" w:eastAsiaTheme="majorEastAsia" w:cstheme="majorBidi"/>
      <w:i/>
      <w:iCs/>
      <w:color w:val="385623" w:themeColor="accent6" w:themeShade="80"/>
      <w:sz w:val="23"/>
      <w:szCs w:val="23"/>
    </w:rPr>
  </w:style>
  <w:style w:type="character" w:styleId="Heading7Char" w:customStyle="1">
    <w:name w:val="Heading 7 Char"/>
    <w:basedOn w:val="DefaultParagraphFont"/>
    <w:link w:val="Heading7"/>
    <w:uiPriority w:val="9"/>
    <w:semiHidden/>
    <w:rsid w:val="00530856"/>
    <w:rPr>
      <w:rFonts w:asciiTheme="majorHAnsi" w:hAnsiTheme="majorHAnsi" w:eastAsiaTheme="majorEastAsia" w:cstheme="majorBidi"/>
      <w:color w:val="1F3864" w:themeColor="accent1" w:themeShade="80"/>
    </w:rPr>
  </w:style>
  <w:style w:type="character" w:styleId="Heading8Char" w:customStyle="1">
    <w:name w:val="Heading 8 Char"/>
    <w:basedOn w:val="DefaultParagraphFont"/>
    <w:link w:val="Heading8"/>
    <w:uiPriority w:val="9"/>
    <w:semiHidden/>
    <w:rsid w:val="00530856"/>
    <w:rPr>
      <w:rFonts w:asciiTheme="majorHAnsi" w:hAnsiTheme="majorHAnsi" w:eastAsiaTheme="majorEastAsia" w:cstheme="majorBidi"/>
      <w:color w:val="833C0B" w:themeColor="accent2" w:themeShade="80"/>
      <w:sz w:val="21"/>
      <w:szCs w:val="21"/>
    </w:rPr>
  </w:style>
  <w:style w:type="character" w:styleId="Heading9Char" w:customStyle="1">
    <w:name w:val="Heading 9 Char"/>
    <w:basedOn w:val="DefaultParagraphFont"/>
    <w:link w:val="Heading9"/>
    <w:uiPriority w:val="9"/>
    <w:semiHidden/>
    <w:rsid w:val="00530856"/>
    <w:rPr>
      <w:rFonts w:asciiTheme="majorHAnsi" w:hAnsiTheme="majorHAnsi" w:eastAsiaTheme="majorEastAsia" w:cstheme="majorBidi"/>
      <w:color w:val="385623" w:themeColor="accent6" w:themeShade="80"/>
    </w:rPr>
  </w:style>
  <w:style w:type="paragraph" w:styleId="Caption">
    <w:name w:val="caption"/>
    <w:basedOn w:val="Normal"/>
    <w:next w:val="Normal"/>
    <w:uiPriority w:val="35"/>
    <w:semiHidden/>
    <w:unhideWhenUsed/>
    <w:qFormat/>
    <w:rsid w:val="00530856"/>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530856"/>
    <w:pPr>
      <w:spacing w:after="0" w:line="240" w:lineRule="auto"/>
      <w:contextualSpacing/>
    </w:pPr>
    <w:rPr>
      <w:rFonts w:asciiTheme="majorHAnsi" w:hAnsiTheme="majorHAnsi" w:eastAsiaTheme="majorEastAsia" w:cstheme="majorBidi"/>
      <w:color w:val="2F5496" w:themeColor="accent1" w:themeShade="BF"/>
      <w:spacing w:val="-10"/>
      <w:sz w:val="52"/>
      <w:szCs w:val="52"/>
    </w:rPr>
  </w:style>
  <w:style w:type="character" w:styleId="TitleChar" w:customStyle="1">
    <w:name w:val="Title Char"/>
    <w:basedOn w:val="DefaultParagraphFont"/>
    <w:link w:val="Title"/>
    <w:uiPriority w:val="10"/>
    <w:rsid w:val="00530856"/>
    <w:rPr>
      <w:rFonts w:asciiTheme="majorHAnsi" w:hAnsiTheme="majorHAnsi" w:eastAsiaTheme="majorEastAsia"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30856"/>
    <w:pPr>
      <w:numPr>
        <w:ilvl w:val="1"/>
      </w:numPr>
      <w:spacing w:line="240" w:lineRule="auto"/>
    </w:pPr>
    <w:rPr>
      <w:rFonts w:asciiTheme="majorHAnsi" w:hAnsiTheme="majorHAnsi" w:eastAsiaTheme="majorEastAsia" w:cstheme="majorBidi"/>
    </w:rPr>
  </w:style>
  <w:style w:type="character" w:styleId="SubtitleChar" w:customStyle="1">
    <w:name w:val="Subtitle Char"/>
    <w:basedOn w:val="DefaultParagraphFont"/>
    <w:link w:val="Subtitle"/>
    <w:uiPriority w:val="11"/>
    <w:rsid w:val="00530856"/>
    <w:rPr>
      <w:rFonts w:asciiTheme="majorHAnsi" w:hAnsiTheme="majorHAnsi" w:eastAsiaTheme="majorEastAsia" w:cstheme="majorBidi"/>
    </w:rPr>
  </w:style>
  <w:style w:type="character" w:styleId="Strong">
    <w:name w:val="Strong"/>
    <w:basedOn w:val="DefaultParagraphFont"/>
    <w:uiPriority w:val="22"/>
    <w:qFormat/>
    <w:rsid w:val="00530856"/>
    <w:rPr>
      <w:b/>
      <w:bCs/>
    </w:rPr>
  </w:style>
  <w:style w:type="character" w:styleId="Emphasis">
    <w:name w:val="Emphasis"/>
    <w:basedOn w:val="DefaultParagraphFont"/>
    <w:uiPriority w:val="20"/>
    <w:qFormat/>
    <w:rsid w:val="00530856"/>
    <w:rPr>
      <w:i/>
      <w:iCs/>
    </w:rPr>
  </w:style>
  <w:style w:type="paragraph" w:styleId="NoSpacing">
    <w:name w:val="No Spacing"/>
    <w:link w:val="NoSpacingChar"/>
    <w:uiPriority w:val="1"/>
    <w:qFormat/>
    <w:rsid w:val="00530856"/>
    <w:pPr>
      <w:spacing w:after="0" w:line="240" w:lineRule="auto"/>
    </w:pPr>
  </w:style>
  <w:style w:type="paragraph" w:styleId="Quote">
    <w:name w:val="Quote"/>
    <w:basedOn w:val="Normal"/>
    <w:next w:val="Normal"/>
    <w:link w:val="QuoteChar"/>
    <w:uiPriority w:val="29"/>
    <w:qFormat/>
    <w:rsid w:val="00530856"/>
    <w:pPr>
      <w:spacing w:before="120"/>
      <w:ind w:left="720" w:right="720"/>
      <w:jc w:val="center"/>
    </w:pPr>
    <w:rPr>
      <w:i/>
      <w:iCs/>
    </w:rPr>
  </w:style>
  <w:style w:type="character" w:styleId="QuoteChar" w:customStyle="1">
    <w:name w:val="Quote Char"/>
    <w:basedOn w:val="DefaultParagraphFont"/>
    <w:link w:val="Quote"/>
    <w:uiPriority w:val="29"/>
    <w:rsid w:val="00530856"/>
    <w:rPr>
      <w:i/>
      <w:iCs/>
    </w:rPr>
  </w:style>
  <w:style w:type="paragraph" w:styleId="IntenseQuote">
    <w:name w:val="Intense Quote"/>
    <w:basedOn w:val="Normal"/>
    <w:next w:val="Normal"/>
    <w:link w:val="IntenseQuoteChar"/>
    <w:uiPriority w:val="30"/>
    <w:qFormat/>
    <w:rsid w:val="00530856"/>
    <w:pPr>
      <w:spacing w:before="120" w:line="300" w:lineRule="auto"/>
      <w:ind w:left="576" w:right="576"/>
      <w:jc w:val="center"/>
    </w:pPr>
    <w:rPr>
      <w:rFonts w:asciiTheme="majorHAnsi" w:hAnsiTheme="majorHAnsi" w:eastAsiaTheme="majorEastAsia" w:cstheme="majorBidi"/>
      <w:color w:val="4472C4" w:themeColor="accent1"/>
      <w:sz w:val="24"/>
      <w:szCs w:val="24"/>
    </w:rPr>
  </w:style>
  <w:style w:type="character" w:styleId="IntenseQuoteChar" w:customStyle="1">
    <w:name w:val="Intense Quote Char"/>
    <w:basedOn w:val="DefaultParagraphFont"/>
    <w:link w:val="IntenseQuote"/>
    <w:uiPriority w:val="30"/>
    <w:rsid w:val="00530856"/>
    <w:rPr>
      <w:rFonts w:asciiTheme="majorHAnsi" w:hAnsiTheme="majorHAnsi" w:eastAsiaTheme="majorEastAsia" w:cstheme="majorBidi"/>
      <w:color w:val="4472C4" w:themeColor="accent1"/>
      <w:sz w:val="24"/>
      <w:szCs w:val="24"/>
    </w:rPr>
  </w:style>
  <w:style w:type="character" w:styleId="SubtleEmphasis">
    <w:name w:val="Subtle Emphasis"/>
    <w:basedOn w:val="DefaultParagraphFont"/>
    <w:uiPriority w:val="19"/>
    <w:qFormat/>
    <w:rsid w:val="00530856"/>
    <w:rPr>
      <w:i/>
      <w:iCs/>
      <w:color w:val="404040" w:themeColor="text1" w:themeTint="BF"/>
    </w:rPr>
  </w:style>
  <w:style w:type="character" w:styleId="IntenseEmphasis">
    <w:name w:val="Intense Emphasis"/>
    <w:basedOn w:val="DefaultParagraphFont"/>
    <w:uiPriority w:val="21"/>
    <w:qFormat/>
    <w:rsid w:val="00530856"/>
    <w:rPr>
      <w:b w:val="0"/>
      <w:bCs w:val="0"/>
      <w:i/>
      <w:iCs/>
      <w:color w:val="4472C4" w:themeColor="accent1"/>
    </w:rPr>
  </w:style>
  <w:style w:type="character" w:styleId="SubtleReference">
    <w:name w:val="Subtle Reference"/>
    <w:basedOn w:val="DefaultParagraphFont"/>
    <w:uiPriority w:val="31"/>
    <w:qFormat/>
    <w:rsid w:val="0053085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0856"/>
    <w:rPr>
      <w:b/>
      <w:bCs/>
      <w:smallCaps/>
      <w:color w:val="4472C4" w:themeColor="accent1"/>
      <w:spacing w:val="5"/>
      <w:u w:val="single"/>
    </w:rPr>
  </w:style>
  <w:style w:type="character" w:styleId="BookTitle">
    <w:name w:val="Book Title"/>
    <w:basedOn w:val="DefaultParagraphFont"/>
    <w:uiPriority w:val="33"/>
    <w:qFormat/>
    <w:rsid w:val="00530856"/>
    <w:rPr>
      <w:b/>
      <w:bCs/>
      <w:smallCaps/>
    </w:rPr>
  </w:style>
  <w:style w:type="character" w:styleId="NoSpacingChar" w:customStyle="1">
    <w:name w:val="No Spacing Char"/>
    <w:basedOn w:val="DefaultParagraphFont"/>
    <w:link w:val="NoSpacing"/>
    <w:uiPriority w:val="1"/>
    <w:rsid w:val="00A3408D"/>
  </w:style>
  <w:style w:type="table" w:styleId="TableGrid">
    <w:name w:val="Table Grid"/>
    <w:basedOn w:val="TableNormal"/>
    <w:uiPriority w:val="59"/>
    <w:rsid w:val="00760ECD"/>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unhideWhenUsed/>
    <w:rsid w:val="009326EF"/>
    <w:rPr>
      <w:sz w:val="16"/>
      <w:szCs w:val="16"/>
    </w:rPr>
  </w:style>
  <w:style w:type="paragraph" w:styleId="CommentText">
    <w:name w:val="annotation text"/>
    <w:basedOn w:val="Normal"/>
    <w:link w:val="CommentTextChar"/>
    <w:uiPriority w:val="99"/>
    <w:unhideWhenUsed/>
    <w:rsid w:val="009326EF"/>
    <w:pPr>
      <w:spacing w:after="0" w:line="240" w:lineRule="auto"/>
    </w:pPr>
    <w:rPr>
      <w:rFonts w:ascii="Times New Roman" w:hAnsi="Times New Roman" w:eastAsia="Times New Roman" w:cs="Times New Roman"/>
      <w:sz w:val="20"/>
      <w:szCs w:val="20"/>
      <w:lang w:eastAsia="en-GB"/>
    </w:rPr>
  </w:style>
  <w:style w:type="character" w:styleId="CommentTextChar" w:customStyle="1">
    <w:name w:val="Comment Text Char"/>
    <w:basedOn w:val="DefaultParagraphFont"/>
    <w:link w:val="CommentText"/>
    <w:uiPriority w:val="99"/>
    <w:rsid w:val="009326EF"/>
    <w:rPr>
      <w:rFonts w:ascii="Times New Roman" w:hAnsi="Times New Roman" w:eastAsia="Times New Roman" w:cs="Times New Roman"/>
      <w:sz w:val="20"/>
      <w:szCs w:val="20"/>
      <w:lang w:eastAsia="en-GB"/>
    </w:rPr>
  </w:style>
  <w:style w:type="table" w:styleId="ListTable3">
    <w:name w:val="List Table 3"/>
    <w:basedOn w:val="TableNormal"/>
    <w:uiPriority w:val="48"/>
    <w:rsid w:val="00CC2C42"/>
    <w:pPr>
      <w:spacing w:after="0" w:line="240" w:lineRule="auto"/>
    </w:pPr>
    <w:rPr>
      <w:rFonts w:eastAsiaTheme="minorHAnsi"/>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character" w:styleId="normaltextrun" w:customStyle="1">
    <w:name w:val="normaltextrun"/>
    <w:basedOn w:val="DefaultParagraphFont"/>
    <w:rsid w:val="00E1655C"/>
  </w:style>
  <w:style w:type="paragraph" w:styleId="paragraph" w:customStyle="1">
    <w:name w:val="paragraph"/>
    <w:basedOn w:val="Normal"/>
    <w:rsid w:val="00D4310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D43104"/>
  </w:style>
  <w:style w:type="numbering" w:styleId="CurrentList1" w:customStyle="1">
    <w:name w:val="Current List1"/>
    <w:uiPriority w:val="99"/>
    <w:rsid w:val="00BA480A"/>
    <w:pPr>
      <w:numPr>
        <w:numId w:val="22"/>
      </w:numPr>
    </w:pPr>
  </w:style>
  <w:style w:type="paragraph" w:styleId="TOC1">
    <w:name w:val="toc 1"/>
    <w:basedOn w:val="Normal"/>
    <w:next w:val="Normal"/>
    <w:autoRedefine/>
    <w:uiPriority w:val="39"/>
    <w:unhideWhenUsed/>
    <w:rsid w:val="002D143C"/>
    <w:pPr>
      <w:spacing w:after="100"/>
    </w:pPr>
  </w:style>
  <w:style w:type="paragraph" w:styleId="TOC2">
    <w:name w:val="toc 2"/>
    <w:basedOn w:val="Normal"/>
    <w:next w:val="Normal"/>
    <w:autoRedefine/>
    <w:uiPriority w:val="39"/>
    <w:unhideWhenUsed/>
    <w:rsid w:val="002D143C"/>
    <w:pPr>
      <w:spacing w:after="100"/>
      <w:ind w:left="220"/>
    </w:pPr>
  </w:style>
  <w:style w:type="paragraph" w:styleId="TOC3">
    <w:name w:val="toc 3"/>
    <w:basedOn w:val="Normal"/>
    <w:next w:val="Normal"/>
    <w:autoRedefine/>
    <w:uiPriority w:val="39"/>
    <w:unhideWhenUsed/>
    <w:rsid w:val="00612CBF"/>
    <w:pPr>
      <w:spacing w:after="100"/>
      <w:ind w:left="440"/>
    </w:pPr>
  </w:style>
  <w:style w:type="paragraph" w:styleId="CommentSubject">
    <w:name w:val="annotation subject"/>
    <w:basedOn w:val="CommentText"/>
    <w:next w:val="CommentText"/>
    <w:link w:val="CommentSubjectChar"/>
    <w:uiPriority w:val="99"/>
    <w:semiHidden/>
    <w:unhideWhenUsed/>
    <w:rsid w:val="009763BD"/>
    <w:pPr>
      <w:spacing w:after="160"/>
    </w:pPr>
    <w:rPr>
      <w:rFonts w:asciiTheme="minorHAnsi" w:hAnsiTheme="minorHAnsi" w:eastAsiaTheme="minorEastAsia" w:cstheme="minorBidi"/>
      <w:b/>
      <w:bCs/>
      <w:lang w:eastAsia="en-US"/>
    </w:rPr>
  </w:style>
  <w:style w:type="character" w:styleId="CommentSubjectChar" w:customStyle="1">
    <w:name w:val="Comment Subject Char"/>
    <w:basedOn w:val="CommentTextChar"/>
    <w:link w:val="CommentSubject"/>
    <w:uiPriority w:val="99"/>
    <w:semiHidden/>
    <w:rsid w:val="009763BD"/>
    <w:rPr>
      <w:rFonts w:ascii="Times New Roman" w:hAnsi="Times New Roman" w:eastAsia="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232758">
      <w:bodyDiv w:val="1"/>
      <w:marLeft w:val="0"/>
      <w:marRight w:val="0"/>
      <w:marTop w:val="0"/>
      <w:marBottom w:val="0"/>
      <w:divBdr>
        <w:top w:val="none" w:sz="0" w:space="0" w:color="auto"/>
        <w:left w:val="none" w:sz="0" w:space="0" w:color="auto"/>
        <w:bottom w:val="none" w:sz="0" w:space="0" w:color="auto"/>
        <w:right w:val="none" w:sz="0" w:space="0" w:color="auto"/>
      </w:divBdr>
    </w:div>
    <w:div w:id="775561403">
      <w:bodyDiv w:val="1"/>
      <w:marLeft w:val="0"/>
      <w:marRight w:val="0"/>
      <w:marTop w:val="0"/>
      <w:marBottom w:val="0"/>
      <w:divBdr>
        <w:top w:val="none" w:sz="0" w:space="0" w:color="auto"/>
        <w:left w:val="none" w:sz="0" w:space="0" w:color="auto"/>
        <w:bottom w:val="none" w:sz="0" w:space="0" w:color="auto"/>
        <w:right w:val="none" w:sz="0" w:space="0" w:color="auto"/>
      </w:divBdr>
      <w:divsChild>
        <w:div w:id="752628967">
          <w:marLeft w:val="0"/>
          <w:marRight w:val="0"/>
          <w:marTop w:val="0"/>
          <w:marBottom w:val="0"/>
          <w:divBdr>
            <w:top w:val="none" w:sz="0" w:space="0" w:color="auto"/>
            <w:left w:val="none" w:sz="0" w:space="0" w:color="auto"/>
            <w:bottom w:val="none" w:sz="0" w:space="0" w:color="auto"/>
            <w:right w:val="none" w:sz="0" w:space="0" w:color="auto"/>
          </w:divBdr>
          <w:divsChild>
            <w:div w:id="766656819">
              <w:marLeft w:val="0"/>
              <w:marRight w:val="0"/>
              <w:marTop w:val="0"/>
              <w:marBottom w:val="0"/>
              <w:divBdr>
                <w:top w:val="none" w:sz="0" w:space="0" w:color="auto"/>
                <w:left w:val="none" w:sz="0" w:space="0" w:color="auto"/>
                <w:bottom w:val="none" w:sz="0" w:space="0" w:color="auto"/>
                <w:right w:val="none" w:sz="0" w:space="0" w:color="auto"/>
              </w:divBdr>
            </w:div>
            <w:div w:id="848060405">
              <w:marLeft w:val="0"/>
              <w:marRight w:val="0"/>
              <w:marTop w:val="0"/>
              <w:marBottom w:val="0"/>
              <w:divBdr>
                <w:top w:val="none" w:sz="0" w:space="0" w:color="auto"/>
                <w:left w:val="none" w:sz="0" w:space="0" w:color="auto"/>
                <w:bottom w:val="none" w:sz="0" w:space="0" w:color="auto"/>
                <w:right w:val="none" w:sz="0" w:space="0" w:color="auto"/>
              </w:divBdr>
            </w:div>
            <w:div w:id="1365331769">
              <w:marLeft w:val="0"/>
              <w:marRight w:val="0"/>
              <w:marTop w:val="0"/>
              <w:marBottom w:val="0"/>
              <w:divBdr>
                <w:top w:val="none" w:sz="0" w:space="0" w:color="auto"/>
                <w:left w:val="none" w:sz="0" w:space="0" w:color="auto"/>
                <w:bottom w:val="none" w:sz="0" w:space="0" w:color="auto"/>
                <w:right w:val="none" w:sz="0" w:space="0" w:color="auto"/>
              </w:divBdr>
            </w:div>
            <w:div w:id="1454834384">
              <w:marLeft w:val="0"/>
              <w:marRight w:val="0"/>
              <w:marTop w:val="0"/>
              <w:marBottom w:val="0"/>
              <w:divBdr>
                <w:top w:val="none" w:sz="0" w:space="0" w:color="auto"/>
                <w:left w:val="none" w:sz="0" w:space="0" w:color="auto"/>
                <w:bottom w:val="none" w:sz="0" w:space="0" w:color="auto"/>
                <w:right w:val="none" w:sz="0" w:space="0" w:color="auto"/>
              </w:divBdr>
            </w:div>
            <w:div w:id="1653172386">
              <w:marLeft w:val="0"/>
              <w:marRight w:val="0"/>
              <w:marTop w:val="0"/>
              <w:marBottom w:val="0"/>
              <w:divBdr>
                <w:top w:val="none" w:sz="0" w:space="0" w:color="auto"/>
                <w:left w:val="none" w:sz="0" w:space="0" w:color="auto"/>
                <w:bottom w:val="none" w:sz="0" w:space="0" w:color="auto"/>
                <w:right w:val="none" w:sz="0" w:space="0" w:color="auto"/>
              </w:divBdr>
            </w:div>
            <w:div w:id="1873112690">
              <w:marLeft w:val="0"/>
              <w:marRight w:val="0"/>
              <w:marTop w:val="0"/>
              <w:marBottom w:val="0"/>
              <w:divBdr>
                <w:top w:val="none" w:sz="0" w:space="0" w:color="auto"/>
                <w:left w:val="none" w:sz="0" w:space="0" w:color="auto"/>
                <w:bottom w:val="none" w:sz="0" w:space="0" w:color="auto"/>
                <w:right w:val="none" w:sz="0" w:space="0" w:color="auto"/>
              </w:divBdr>
            </w:div>
          </w:divsChild>
        </w:div>
        <w:div w:id="1987467375">
          <w:marLeft w:val="0"/>
          <w:marRight w:val="0"/>
          <w:marTop w:val="0"/>
          <w:marBottom w:val="0"/>
          <w:divBdr>
            <w:top w:val="none" w:sz="0" w:space="0" w:color="auto"/>
            <w:left w:val="none" w:sz="0" w:space="0" w:color="auto"/>
            <w:bottom w:val="none" w:sz="0" w:space="0" w:color="auto"/>
            <w:right w:val="none" w:sz="0" w:space="0" w:color="auto"/>
          </w:divBdr>
          <w:divsChild>
            <w:div w:id="998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2360">
      <w:bodyDiv w:val="1"/>
      <w:marLeft w:val="0"/>
      <w:marRight w:val="0"/>
      <w:marTop w:val="0"/>
      <w:marBottom w:val="0"/>
      <w:divBdr>
        <w:top w:val="none" w:sz="0" w:space="0" w:color="auto"/>
        <w:left w:val="none" w:sz="0" w:space="0" w:color="auto"/>
        <w:bottom w:val="none" w:sz="0" w:space="0" w:color="auto"/>
        <w:right w:val="none" w:sz="0" w:space="0" w:color="auto"/>
      </w:divBdr>
      <w:divsChild>
        <w:div w:id="112948954">
          <w:marLeft w:val="274"/>
          <w:marRight w:val="0"/>
          <w:marTop w:val="60"/>
          <w:marBottom w:val="60"/>
          <w:divBdr>
            <w:top w:val="none" w:sz="0" w:space="0" w:color="auto"/>
            <w:left w:val="none" w:sz="0" w:space="0" w:color="auto"/>
            <w:bottom w:val="none" w:sz="0" w:space="0" w:color="auto"/>
            <w:right w:val="none" w:sz="0" w:space="0" w:color="auto"/>
          </w:divBdr>
        </w:div>
        <w:div w:id="262884780">
          <w:marLeft w:val="274"/>
          <w:marRight w:val="0"/>
          <w:marTop w:val="60"/>
          <w:marBottom w:val="60"/>
          <w:divBdr>
            <w:top w:val="none" w:sz="0" w:space="0" w:color="auto"/>
            <w:left w:val="none" w:sz="0" w:space="0" w:color="auto"/>
            <w:bottom w:val="none" w:sz="0" w:space="0" w:color="auto"/>
            <w:right w:val="none" w:sz="0" w:space="0" w:color="auto"/>
          </w:divBdr>
        </w:div>
        <w:div w:id="278269159">
          <w:marLeft w:val="274"/>
          <w:marRight w:val="0"/>
          <w:marTop w:val="60"/>
          <w:marBottom w:val="60"/>
          <w:divBdr>
            <w:top w:val="none" w:sz="0" w:space="0" w:color="auto"/>
            <w:left w:val="none" w:sz="0" w:space="0" w:color="auto"/>
            <w:bottom w:val="none" w:sz="0" w:space="0" w:color="auto"/>
            <w:right w:val="none" w:sz="0" w:space="0" w:color="auto"/>
          </w:divBdr>
        </w:div>
        <w:div w:id="473832893">
          <w:marLeft w:val="274"/>
          <w:marRight w:val="0"/>
          <w:marTop w:val="60"/>
          <w:marBottom w:val="60"/>
          <w:divBdr>
            <w:top w:val="none" w:sz="0" w:space="0" w:color="auto"/>
            <w:left w:val="none" w:sz="0" w:space="0" w:color="auto"/>
            <w:bottom w:val="none" w:sz="0" w:space="0" w:color="auto"/>
            <w:right w:val="none" w:sz="0" w:space="0" w:color="auto"/>
          </w:divBdr>
        </w:div>
        <w:div w:id="475533820">
          <w:marLeft w:val="274"/>
          <w:marRight w:val="0"/>
          <w:marTop w:val="60"/>
          <w:marBottom w:val="60"/>
          <w:divBdr>
            <w:top w:val="none" w:sz="0" w:space="0" w:color="auto"/>
            <w:left w:val="none" w:sz="0" w:space="0" w:color="auto"/>
            <w:bottom w:val="none" w:sz="0" w:space="0" w:color="auto"/>
            <w:right w:val="none" w:sz="0" w:space="0" w:color="auto"/>
          </w:divBdr>
        </w:div>
        <w:div w:id="853496956">
          <w:marLeft w:val="274"/>
          <w:marRight w:val="0"/>
          <w:marTop w:val="60"/>
          <w:marBottom w:val="60"/>
          <w:divBdr>
            <w:top w:val="none" w:sz="0" w:space="0" w:color="auto"/>
            <w:left w:val="none" w:sz="0" w:space="0" w:color="auto"/>
            <w:bottom w:val="none" w:sz="0" w:space="0" w:color="auto"/>
            <w:right w:val="none" w:sz="0" w:space="0" w:color="auto"/>
          </w:divBdr>
        </w:div>
        <w:div w:id="990401119">
          <w:marLeft w:val="274"/>
          <w:marRight w:val="0"/>
          <w:marTop w:val="60"/>
          <w:marBottom w:val="60"/>
          <w:divBdr>
            <w:top w:val="none" w:sz="0" w:space="0" w:color="auto"/>
            <w:left w:val="none" w:sz="0" w:space="0" w:color="auto"/>
            <w:bottom w:val="none" w:sz="0" w:space="0" w:color="auto"/>
            <w:right w:val="none" w:sz="0" w:space="0" w:color="auto"/>
          </w:divBdr>
        </w:div>
        <w:div w:id="1020618390">
          <w:marLeft w:val="274"/>
          <w:marRight w:val="0"/>
          <w:marTop w:val="60"/>
          <w:marBottom w:val="60"/>
          <w:divBdr>
            <w:top w:val="none" w:sz="0" w:space="0" w:color="auto"/>
            <w:left w:val="none" w:sz="0" w:space="0" w:color="auto"/>
            <w:bottom w:val="none" w:sz="0" w:space="0" w:color="auto"/>
            <w:right w:val="none" w:sz="0" w:space="0" w:color="auto"/>
          </w:divBdr>
        </w:div>
        <w:div w:id="1144548601">
          <w:marLeft w:val="274"/>
          <w:marRight w:val="0"/>
          <w:marTop w:val="60"/>
          <w:marBottom w:val="60"/>
          <w:divBdr>
            <w:top w:val="none" w:sz="0" w:space="0" w:color="auto"/>
            <w:left w:val="none" w:sz="0" w:space="0" w:color="auto"/>
            <w:bottom w:val="none" w:sz="0" w:space="0" w:color="auto"/>
            <w:right w:val="none" w:sz="0" w:space="0" w:color="auto"/>
          </w:divBdr>
        </w:div>
        <w:div w:id="1455759071">
          <w:marLeft w:val="274"/>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F097A2A9C53B46A2A2A3E035776DDC" ma:contentTypeVersion="14" ma:contentTypeDescription="Create a new document." ma:contentTypeScope="" ma:versionID="cf65d9bfa7cb1f0fb2cf549252b47d19">
  <xsd:schema xmlns:xsd="http://www.w3.org/2001/XMLSchema" xmlns:xs="http://www.w3.org/2001/XMLSchema" xmlns:p="http://schemas.microsoft.com/office/2006/metadata/properties" xmlns:ns2="912bda9d-ccbe-4622-9efb-69345a66d32f" xmlns:ns3="7906fc63-780d-48a7-9c94-060763554290" targetNamespace="http://schemas.microsoft.com/office/2006/metadata/properties" ma:root="true" ma:fieldsID="ee03000710d76f3feb02bedbf4aa4340" ns2:_="" ns3:_="">
    <xsd:import namespace="912bda9d-ccbe-4622-9efb-69345a66d32f"/>
    <xsd:import namespace="7906fc63-780d-48a7-9c94-0607635542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bda9d-ccbe-4622-9efb-69345a66d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3b5818-5592-4a89-994d-4f249e4d7d1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06fc63-780d-48a7-9c94-06076355429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91e1efc-3c8b-476d-853c-bd3365b90675}" ma:internalName="TaxCatchAll" ma:showField="CatchAllData" ma:web="7906fc63-780d-48a7-9c94-06076355429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906fc63-780d-48a7-9c94-060763554290" xsi:nil="true"/>
    <lcf76f155ced4ddcb4097134ff3c332f xmlns="912bda9d-ccbe-4622-9efb-69345a66d32f">
      <Terms xmlns="http://schemas.microsoft.com/office/infopath/2007/PartnerControls"/>
    </lcf76f155ced4ddcb4097134ff3c332f>
    <SharedWithUsers xmlns="7906fc63-780d-48a7-9c94-060763554290">
      <UserInfo>
        <DisplayName/>
        <AccountId xsi:nil="true"/>
        <AccountType/>
      </UserInfo>
    </SharedWithUsers>
  </documentManagement>
</p:properties>
</file>

<file path=customXml/itemProps1.xml><?xml version="1.0" encoding="utf-8"?>
<ds:datastoreItem xmlns:ds="http://schemas.openxmlformats.org/officeDocument/2006/customXml" ds:itemID="{AE3C2923-1110-4533-AD24-14677043F2C0}">
  <ds:schemaRefs>
    <ds:schemaRef ds:uri="http://schemas.microsoft.com/sharepoint/v3/contenttype/forms"/>
  </ds:schemaRefs>
</ds:datastoreItem>
</file>

<file path=customXml/itemProps2.xml><?xml version="1.0" encoding="utf-8"?>
<ds:datastoreItem xmlns:ds="http://schemas.openxmlformats.org/officeDocument/2006/customXml" ds:itemID="{DFF9B722-66C2-4060-A156-25B0B80656AD}">
  <ds:schemaRefs>
    <ds:schemaRef ds:uri="http://schemas.openxmlformats.org/officeDocument/2006/bibliography"/>
  </ds:schemaRefs>
</ds:datastoreItem>
</file>

<file path=customXml/itemProps3.xml><?xml version="1.0" encoding="utf-8"?>
<ds:datastoreItem xmlns:ds="http://schemas.openxmlformats.org/officeDocument/2006/customXml" ds:itemID="{94CC5B38-E8A9-47F6-BCB3-3AC4F0C92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bda9d-ccbe-4622-9efb-69345a66d32f"/>
    <ds:schemaRef ds:uri="7906fc63-780d-48a7-9c94-060763554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453CE-6E6F-4843-90E3-81CAC37CE157}">
  <ds:schemaRefs>
    <ds:schemaRef ds:uri="http://schemas.microsoft.com/office/2006/metadata/properties"/>
    <ds:schemaRef ds:uri="http://schemas.microsoft.com/office/infopath/2007/PartnerControls"/>
    <ds:schemaRef ds:uri="7906fc63-780d-48a7-9c94-060763554290"/>
    <ds:schemaRef ds:uri="912bda9d-ccbe-4622-9efb-69345a66d32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Johnston</dc:creator>
  <cp:keywords/>
  <dc:description/>
  <cp:lastModifiedBy>Brad Richards</cp:lastModifiedBy>
  <cp:revision>75</cp:revision>
  <dcterms:created xsi:type="dcterms:W3CDTF">2024-02-06T22:44:00Z</dcterms:created>
  <dcterms:modified xsi:type="dcterms:W3CDTF">2025-08-20T10:27:47Z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0x01010024F097A2A9C53B46A2A2A3E035776DDC</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GrammarlyDocumentId">
    <vt:lpwstr>d7ee1a4b-5411-41f1-baa5-90e7150d1730</vt:lpwstr>
  </property>
</Properties>
</file>